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14A</w:t>
      </w:r>
    </w:p>
    <w:p>
      <w:pPr>
        <w:spacing w:after="0" w:line="27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4"/>
          <w:szCs w:val="24"/>
          <w:color w:val="auto"/>
        </w:rPr>
      </w:pPr>
    </w:p>
    <w:p>
      <w:pPr>
        <w:ind w:left="4000"/>
        <w:spacing w:after="0"/>
        <w:tabs>
          <w:tab w:leader="none" w:pos="7340"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36"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36" w:lineRule="exact"/>
        <w:rPr>
          <w:sz w:val="24"/>
          <w:szCs w:val="24"/>
          <w:color w:val="auto"/>
        </w:rPr>
      </w:pPr>
    </w:p>
    <w:p>
      <w:pPr>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Soliciting Material Pursuant to §240.14a-12</w:t>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7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7"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-1249045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ind w:left="20"/>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266" w:lineRule="exact"/>
        <w:rPr>
          <w:sz w:val="24"/>
          <w:szCs w:val="24"/>
          <w:color w:val="auto"/>
        </w:rPr>
      </w:pPr>
    </w:p>
    <w:p>
      <w:pPr>
        <w:ind w:left="540" w:hanging="524"/>
        <w:spacing w:after="0" w:line="268" w:lineRule="auto"/>
        <w:tabs>
          <w:tab w:leader="none" w:pos="211"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6"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1967230</wp:posOffset>
            </wp:positionH>
            <wp:positionV relativeFrom="page">
              <wp:posOffset>2953385</wp:posOffset>
            </wp:positionV>
            <wp:extent cx="3627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page">
              <wp:posOffset>3570605</wp:posOffset>
            </wp:positionH>
            <wp:positionV relativeFrom="page">
              <wp:posOffset>2533015</wp:posOffset>
            </wp:positionV>
            <wp:extent cx="42037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203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81"/>
          <w:szCs w:val="81"/>
          <w:b w:val="1"/>
          <w:bCs w:val="1"/>
          <w:color w:val="CE0E41"/>
        </w:rPr>
        <w:t>PROXY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78"/>
          <w:szCs w:val="78"/>
          <w:b w:val="1"/>
          <w:bCs w:val="1"/>
          <w:color w:val="CE0E41"/>
        </w:rPr>
        <w:t>STATEMENT</w:t>
      </w:r>
    </w:p>
    <w:p>
      <w:pPr>
        <w:spacing w:after="0" w:line="29" w:lineRule="exact"/>
        <w:rPr>
          <w:sz w:val="20"/>
          <w:szCs w:val="20"/>
          <w:color w:val="auto"/>
        </w:rPr>
      </w:pPr>
    </w:p>
    <w:p>
      <w:pPr>
        <w:jc w:val="center"/>
        <w:ind w:left="3560" w:right="40"/>
        <w:spacing w:after="0"/>
        <w:rPr>
          <w:sz w:val="20"/>
          <w:szCs w:val="20"/>
          <w:color w:val="auto"/>
        </w:rPr>
      </w:pPr>
      <w:r>
        <w:rPr>
          <w:rFonts w:ascii="Arial" w:cs="Arial" w:eastAsia="Arial" w:hAnsi="Arial"/>
          <w:sz w:val="41"/>
          <w:szCs w:val="41"/>
          <w:b w:val="1"/>
          <w:bCs w:val="1"/>
          <w:color w:val="CE0E41"/>
        </w:rPr>
        <w:t>NOTICE OF ANNUAL GENERAL MEETING OF SHAREHOLDERS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CE0E41"/>
        </w:rPr>
        <w:t>TO BE HELD ON JUNE 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99"/>
          <w:szCs w:val="99"/>
          <w:b w:val="1"/>
          <w:bCs w:val="1"/>
          <w:color w:val="CE0E41"/>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-7620</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CE0E41"/>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2433320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898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0540" cy="8987155"/>
                    </a:xfrm>
                    <a:prstGeom prst="rect">
                      <a:avLst/>
                    </a:prstGeom>
                    <a:noFill/>
                  </pic:spPr>
                </pic:pic>
              </a:graphicData>
            </a:graphic>
          </wp:anchor>
        </w:drawing>
        <w:t>OUR COMMITMENT TO SUSTAINABILITY</w:t>
      </w: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We are committed to embedding sustainable practices into our business which embrace opportunities and manage risks from economic, environmental and social influences to create lasting value for our shareholders, clients, employees and the communities in which we operate.</w:t>
      </w:r>
    </w:p>
    <w:p>
      <w:pPr>
        <w:spacing w:after="0" w:line="13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818284"/>
        </w:rPr>
        <w:t>In 2014, an Environmental Entrepreneurs Award program was initiated by a committee of business leaders at Weatherford to recognize employee-driven initiatives that demonstrate commitment to environmental excellence leading to cost savings and revenue generation and implemented through the Weatherford Global Environmental Practitioners Network– a group of environmentally conscious employees from all segments and levels of our organization. Please join us in congratulating the award winners of each category:</w:t>
      </w:r>
    </w:p>
    <w:p>
      <w:pPr>
        <w:spacing w:after="0" w:line="188" w:lineRule="exact"/>
        <w:rPr>
          <w:sz w:val="20"/>
          <w:szCs w:val="20"/>
          <w:color w:val="auto"/>
        </w:rPr>
      </w:pPr>
    </w:p>
    <w:p>
      <w:pPr>
        <w:ind w:right="2280"/>
        <w:spacing w:after="0" w:line="267" w:lineRule="auto"/>
        <w:rPr>
          <w:sz w:val="20"/>
          <w:szCs w:val="20"/>
          <w:color w:val="auto"/>
        </w:rPr>
      </w:pPr>
      <w:r>
        <w:rPr>
          <w:rFonts w:ascii="Arial" w:cs="Arial" w:eastAsia="Arial" w:hAnsi="Arial"/>
          <w:sz w:val="28"/>
          <w:szCs w:val="28"/>
          <w:b w:val="1"/>
          <w:bCs w:val="1"/>
          <w:color w:val="818284"/>
        </w:rPr>
        <w:t xml:space="preserve">MOST INNOVATIVE ENVIRONMENTAL PROJECT </w:t>
      </w:r>
      <w:r>
        <w:rPr>
          <w:rFonts w:ascii="Arial" w:cs="Arial" w:eastAsia="Arial" w:hAnsi="Arial"/>
          <w:sz w:val="28"/>
          <w:szCs w:val="28"/>
          <w:b w:val="1"/>
          <w:bCs w:val="1"/>
          <w:color w:val="000000"/>
        </w:rPr>
        <w:t>WEATHERFORD COLOMBIA LTD – NEIVA, COLOMBIA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Alternative Temporary Secondary Containment</w:t>
      </w:r>
    </w:p>
    <w:p>
      <w:pPr>
        <w:spacing w:after="0" w:line="16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818284"/>
        </w:rPr>
        <w:t>By reusing empty bulk totes that would have otherwise gone to waste, our team created a mobile containment system to properly hold any potential spills during waste and material storage, preventing contamination and reducing the cost of purchasing new containment systems.</w:t>
      </w:r>
    </w:p>
    <w:p>
      <w:pPr>
        <w:spacing w:after="0" w:line="190" w:lineRule="exact"/>
        <w:rPr>
          <w:sz w:val="20"/>
          <w:szCs w:val="20"/>
          <w:color w:val="auto"/>
        </w:rPr>
      </w:pPr>
    </w:p>
    <w:p>
      <w:pPr>
        <w:ind w:right="2620"/>
        <w:spacing w:after="0" w:line="259" w:lineRule="auto"/>
        <w:rPr>
          <w:sz w:val="20"/>
          <w:szCs w:val="20"/>
          <w:color w:val="auto"/>
        </w:rPr>
      </w:pPr>
      <w:r>
        <w:rPr>
          <w:rFonts w:ascii="Arial" w:cs="Arial" w:eastAsia="Arial" w:hAnsi="Arial"/>
          <w:sz w:val="32"/>
          <w:szCs w:val="32"/>
          <w:b w:val="1"/>
          <w:bCs w:val="1"/>
          <w:color w:val="818284"/>
        </w:rPr>
        <w:t>BEST PRACTICE IN RAISING PARTICIPATION, COMMUNICATION AND AWARENESS</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WEATHERFORD LABORATORIES – HOUSTON, TEXAS,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Single Stream Recycling Program</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818284"/>
        </w:rPr>
        <w:t>After finding an approved vendor for waste collection and recycling, our Houston, Texas, office brought all members together for an ongoing initiative of gathering recyclable material (plastic, paper, cardboard, aluminum, tin, steel and glass) into one bin, resulting in an estimated annual savings of $28,188.</w:t>
      </w:r>
    </w:p>
    <w:p>
      <w:pPr>
        <w:spacing w:after="0" w:line="190" w:lineRule="exact"/>
        <w:rPr>
          <w:sz w:val="20"/>
          <w:szCs w:val="20"/>
          <w:color w:val="auto"/>
        </w:rPr>
      </w:pPr>
    </w:p>
    <w:p>
      <w:pPr>
        <w:ind w:right="1340"/>
        <w:spacing w:after="0" w:line="254" w:lineRule="auto"/>
        <w:rPr>
          <w:sz w:val="20"/>
          <w:szCs w:val="20"/>
          <w:color w:val="auto"/>
        </w:rPr>
      </w:pPr>
      <w:r>
        <w:rPr>
          <w:rFonts w:ascii="Arial" w:cs="Arial" w:eastAsia="Arial" w:hAnsi="Arial"/>
          <w:sz w:val="32"/>
          <w:szCs w:val="32"/>
          <w:b w:val="1"/>
          <w:bCs w:val="1"/>
          <w:color w:val="818284"/>
        </w:rPr>
        <w:t xml:space="preserve">MOST POTENTIAL FOR POSITIVE FINANCIAL IMPACT </w:t>
      </w:r>
      <w:r>
        <w:rPr>
          <w:rFonts w:ascii="Arial" w:cs="Arial" w:eastAsia="Arial" w:hAnsi="Arial"/>
          <w:sz w:val="32"/>
          <w:szCs w:val="32"/>
          <w:b w:val="1"/>
          <w:bCs w:val="1"/>
          <w:color w:val="000000"/>
        </w:rPr>
        <w:t>PROGRESSING CAVITY PUMP STRATHCONA MANUFACTURING FACILITY – ALBERTA, CANADA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Reduction in Cost and Waste</w:t>
      </w:r>
    </w:p>
    <w:p>
      <w:pPr>
        <w:spacing w:after="0" w:line="16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818284"/>
        </w:rPr>
        <w:t>Our facility achieved annual savings of more than $130,000 by implementing a distillation recycling program allowing the reuse of 200 liters of spent n-Propyl bromide (n-PB), as well as a consolidated chemical and solid waste disposal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3527425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700"/>
          </w:cols>
          <w:pgMar w:left="1100" w:top="829" w:right="1099" w:bottom="1440" w:gutter="0" w:footer="0" w:header="0"/>
        </w:sectPr>
      </w:pPr>
    </w:p>
    <w:bookmarkStart w:id="3" w:name="page4"/>
    <w:bookmarkEnd w:id="3"/>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TABLE OF CONTENTS</w:t>
      </w:r>
    </w:p>
    <w:p>
      <w:pPr>
        <w:sectPr>
          <w:pgSz w:w="11900" w:h="16838" w:orient="portrait"/>
          <w:cols w:equalWidth="0" w:num="1">
            <w:col w:w="11420"/>
          </w:cols>
          <w:pgMar w:left="240" w:top="491" w:right="239" w:bottom="829"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A Message from Your Board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-208915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440" w:space="720"/>
            <w:col w:w="10260"/>
          </w:cols>
          <w:pgMar w:left="240" w:top="491" w:right="239" w:bottom="829"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900" w:type="dxa"/>
            <w:vAlign w:val="bottom"/>
          </w:tcPr>
          <w:p>
            <w:pPr>
              <w:spacing w:after="0"/>
              <w:rPr>
                <w:sz w:val="20"/>
                <w:szCs w:val="20"/>
                <w:color w:val="auto"/>
              </w:rPr>
            </w:pPr>
            <w:r>
              <w:rPr>
                <w:rFonts w:ascii="Arial" w:cs="Arial" w:eastAsia="Arial" w:hAnsi="Arial"/>
                <w:sz w:val="43"/>
                <w:szCs w:val="43"/>
                <w:b w:val="1"/>
                <w:bCs w:val="1"/>
                <w:color w:val="auto"/>
              </w:rPr>
              <w:t>IV</w:t>
            </w:r>
          </w:p>
        </w:tc>
        <w:tc>
          <w:tcPr>
            <w:tcW w:w="4640" w:type="dxa"/>
            <w:vAlign w:val="bottom"/>
            <w:vMerge w:val="restart"/>
          </w:tcPr>
          <w:p>
            <w:pPr>
              <w:ind w:left="260"/>
              <w:spacing w:after="0"/>
              <w:rPr>
                <w:rFonts w:ascii="Arial" w:cs="Arial" w:eastAsia="Arial" w:hAnsi="Arial"/>
                <w:sz w:val="22"/>
                <w:szCs w:val="22"/>
                <w:u w:val="single" w:color="auto"/>
                <w:color w:val="0000EE"/>
                <w:w w:val="97"/>
              </w:rPr>
            </w:pPr>
            <w:hyperlink w:anchor="page8">
              <w:r>
                <w:rPr>
                  <w:rFonts w:ascii="Arial" w:cs="Arial" w:eastAsia="Arial" w:hAnsi="Arial"/>
                  <w:sz w:val="22"/>
                  <w:szCs w:val="22"/>
                  <w:u w:val="single" w:color="auto"/>
                  <w:color w:val="0000EE"/>
                  <w:w w:val="97"/>
                </w:rPr>
                <w:t>Letter from the Chairman, President and CEO</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900" w:type="dxa"/>
            <w:vAlign w:val="bottom"/>
          </w:tcPr>
          <w:p>
            <w:pPr>
              <w:spacing w:after="0"/>
              <w:rPr>
                <w:sz w:val="20"/>
                <w:szCs w:val="20"/>
                <w:color w:val="auto"/>
              </w:rPr>
            </w:pPr>
            <w:r>
              <w:rPr>
                <w:rFonts w:ascii="Arial" w:cs="Arial" w:eastAsia="Arial" w:hAnsi="Arial"/>
                <w:sz w:val="43"/>
                <w:szCs w:val="43"/>
                <w:b w:val="1"/>
                <w:bCs w:val="1"/>
                <w:color w:val="auto"/>
              </w:rPr>
              <w:t>VI</w:t>
            </w:r>
          </w:p>
        </w:tc>
        <w:tc>
          <w:tcPr>
            <w:tcW w:w="4640" w:type="dxa"/>
            <w:vAlign w:val="bottom"/>
            <w:vMerge w:val="restart"/>
          </w:tcPr>
          <w:p>
            <w:pPr>
              <w:ind w:left="260"/>
              <w:spacing w:after="0"/>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Our Director Nominees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900" w:type="dxa"/>
            <w:vAlign w:val="bottom"/>
          </w:tcPr>
          <w:p>
            <w:pPr>
              <w:spacing w:after="0"/>
              <w:rPr>
                <w:sz w:val="20"/>
                <w:szCs w:val="20"/>
                <w:color w:val="auto"/>
              </w:rPr>
            </w:pPr>
            <w:r>
              <w:rPr>
                <w:rFonts w:ascii="Arial" w:cs="Arial" w:eastAsia="Arial" w:hAnsi="Arial"/>
                <w:sz w:val="43"/>
                <w:szCs w:val="43"/>
                <w:b w:val="1"/>
                <w:bCs w:val="1"/>
                <w:color w:val="auto"/>
              </w:rPr>
              <w:t>VIII</w:t>
            </w:r>
          </w:p>
        </w:tc>
        <w:tc>
          <w:tcPr>
            <w:tcW w:w="4640" w:type="dxa"/>
            <w:vAlign w:val="bottom"/>
            <w:vMerge w:val="restart"/>
          </w:tcPr>
          <w:p>
            <w:pPr>
              <w:ind w:left="260"/>
              <w:spacing w:after="0"/>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2014 and 2015 Governance Highlights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hanging="1152"/>
        <w:spacing w:after="0"/>
        <w:tabs>
          <w:tab w:leader="none" w:pos="1160" w:val="left"/>
        </w:tabs>
        <w:numPr>
          <w:ilvl w:val="0"/>
          <w:numId w:val="6"/>
        </w:numPr>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A Timeline of Our Progress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900" w:type="dxa"/>
            <w:vAlign w:val="bottom"/>
          </w:tcPr>
          <w:p>
            <w:pPr>
              <w:spacing w:after="0"/>
              <w:rPr>
                <w:sz w:val="20"/>
                <w:szCs w:val="20"/>
                <w:color w:val="auto"/>
              </w:rPr>
            </w:pPr>
            <w:r>
              <w:rPr>
                <w:rFonts w:ascii="Arial" w:cs="Arial" w:eastAsia="Arial" w:hAnsi="Arial"/>
                <w:sz w:val="43"/>
                <w:szCs w:val="43"/>
                <w:b w:val="1"/>
                <w:bCs w:val="1"/>
                <w:color w:val="auto"/>
              </w:rPr>
              <w:t>XI</w:t>
            </w:r>
          </w:p>
        </w:tc>
        <w:tc>
          <w:tcPr>
            <w:tcW w:w="2660" w:type="dxa"/>
            <w:vAlign w:val="bottom"/>
            <w:vMerge w:val="restart"/>
          </w:tcPr>
          <w:p>
            <w:pPr>
              <w:ind w:left="260"/>
              <w:spacing w:after="0"/>
              <w:rPr>
                <w:rFonts w:ascii="Arial" w:cs="Arial" w:eastAsia="Arial" w:hAnsi="Arial"/>
                <w:sz w:val="22"/>
                <w:szCs w:val="22"/>
                <w:u w:val="single" w:color="auto"/>
                <w:color w:val="0000EE"/>
                <w:w w:val="97"/>
              </w:rPr>
            </w:pPr>
            <w:hyperlink w:anchor="page19">
              <w:r>
                <w:rPr>
                  <w:rFonts w:ascii="Arial" w:cs="Arial" w:eastAsia="Arial" w:hAnsi="Arial"/>
                  <w:sz w:val="22"/>
                  <w:szCs w:val="22"/>
                  <w:u w:val="single" w:color="auto"/>
                  <w:color w:val="0000EE"/>
                  <w:w w:val="97"/>
                </w:rPr>
                <w:t>Compensation Highlights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900" w:type="dxa"/>
            <w:vAlign w:val="bottom"/>
          </w:tcPr>
          <w:p>
            <w:pPr>
              <w:spacing w:after="0"/>
              <w:rPr>
                <w:sz w:val="20"/>
                <w:szCs w:val="20"/>
                <w:color w:val="auto"/>
              </w:rPr>
            </w:pPr>
            <w:r>
              <w:rPr>
                <w:rFonts w:ascii="Arial" w:cs="Arial" w:eastAsia="Arial" w:hAnsi="Arial"/>
                <w:sz w:val="43"/>
                <w:szCs w:val="43"/>
                <w:b w:val="1"/>
                <w:bCs w:val="1"/>
                <w:color w:val="auto"/>
              </w:rPr>
              <w:t>XIII</w:t>
            </w:r>
          </w:p>
        </w:tc>
        <w:tc>
          <w:tcPr>
            <w:tcW w:w="2660" w:type="dxa"/>
            <w:vAlign w:val="bottom"/>
            <w:vMerge w:val="restart"/>
          </w:tcPr>
          <w:p>
            <w:pPr>
              <w:ind w:left="260"/>
              <w:spacing w:after="0"/>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Voting Instructions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18"/>
          <w:szCs w:val="18"/>
          <w:color w:val="818284"/>
        </w:rPr>
        <w:t>For more</w:t>
      </w:r>
    </w:p>
    <w:p>
      <w:pPr>
        <w:spacing w:after="0"/>
        <w:rPr>
          <w:sz w:val="20"/>
          <w:szCs w:val="20"/>
          <w:color w:val="auto"/>
        </w:rPr>
      </w:pPr>
      <w:r>
        <w:rPr>
          <w:rFonts w:ascii="Arial" w:cs="Arial" w:eastAsia="Arial" w:hAnsi="Arial"/>
          <w:sz w:val="43"/>
          <w:szCs w:val="43"/>
          <w:b w:val="1"/>
          <w:bCs w:val="1"/>
          <w:color w:val="818284"/>
        </w:rPr>
        <w:t>information</w:t>
      </w:r>
    </w:p>
    <w:p>
      <w:pPr>
        <w:ind w:left="280"/>
        <w:spacing w:after="0" w:line="202" w:lineRule="auto"/>
        <w:rPr>
          <w:sz w:val="20"/>
          <w:szCs w:val="20"/>
          <w:color w:val="auto"/>
        </w:rPr>
      </w:pPr>
      <w:r>
        <w:rPr>
          <w:rFonts w:ascii="Arial" w:cs="Arial" w:eastAsia="Arial" w:hAnsi="Arial"/>
          <w:sz w:val="16"/>
          <w:szCs w:val="16"/>
          <w:color w:val="818284"/>
        </w:rPr>
        <w:t xml:space="preserve">and to </w:t>
      </w:r>
      <w:r>
        <w:rPr>
          <w:rFonts w:ascii="Arial" w:cs="Arial" w:eastAsia="Arial" w:hAnsi="Arial"/>
          <w:sz w:val="95"/>
          <w:szCs w:val="95"/>
          <w:b w:val="1"/>
          <w:bCs w:val="1"/>
          <w:color w:val="CE0E41"/>
        </w:rPr>
        <w:t>VOTE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52"/>
          <w:szCs w:val="52"/>
          <w:color w:val="818284"/>
        </w:rPr>
        <w:t xml:space="preserve">YOUR </w:t>
      </w:r>
      <w:r>
        <w:rPr>
          <w:rFonts w:ascii="Arial" w:cs="Arial" w:eastAsia="Arial" w:hAnsi="Arial"/>
          <w:sz w:val="52"/>
          <w:szCs w:val="52"/>
          <w:b w:val="1"/>
          <w:bCs w:val="1"/>
          <w:color w:val="818284"/>
        </w:rPr>
        <w:t>SHARES</w:t>
      </w:r>
      <w:r>
        <w:rPr>
          <w:rFonts w:ascii="Arial" w:cs="Arial" w:eastAsia="Arial" w:hAnsi="Arial"/>
          <w:sz w:val="52"/>
          <w:szCs w:val="52"/>
          <w:color w:val="818284"/>
        </w:rPr>
        <w:t xml:space="preserve"> </w:t>
      </w:r>
      <w:r>
        <w:rPr>
          <w:rFonts w:ascii="Arial" w:cs="Arial" w:eastAsia="Arial" w:hAnsi="Arial"/>
          <w:sz w:val="27"/>
          <w:szCs w:val="27"/>
          <w:b w:val="1"/>
          <w:bCs w:val="1"/>
          <w:color w:val="818284"/>
        </w:rPr>
        <w:t>online</w:t>
      </w:r>
    </w:p>
    <w:p>
      <w:pPr>
        <w:ind w:left="1080"/>
        <w:spacing w:after="0" w:line="235" w:lineRule="auto"/>
        <w:rPr>
          <w:sz w:val="20"/>
          <w:szCs w:val="20"/>
          <w:color w:val="auto"/>
        </w:rPr>
      </w:pPr>
      <w:r>
        <w:rPr>
          <w:rFonts w:ascii="Arial" w:cs="Arial" w:eastAsia="Arial" w:hAnsi="Arial"/>
          <w:sz w:val="16"/>
          <w:szCs w:val="16"/>
          <w:color w:val="818284"/>
        </w:rPr>
        <w:t>please visit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www.weatherfordannualmeeting.com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6"/>
          <w:szCs w:val="16"/>
          <w:color w:val="818284"/>
        </w:rPr>
        <w:t>To</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818284"/>
        </w:rPr>
        <w:t>access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67"/>
          <w:szCs w:val="67"/>
          <w:color w:val="818284"/>
        </w:rPr>
        <w:t xml:space="preserve">OUR </w:t>
      </w:r>
      <w:r>
        <w:rPr>
          <w:rFonts w:ascii="Arial" w:cs="Arial" w:eastAsia="Arial" w:hAnsi="Arial"/>
          <w:sz w:val="67"/>
          <w:szCs w:val="67"/>
          <w:b w:val="1"/>
          <w:bCs w:val="1"/>
          <w:color w:val="CE0D41"/>
        </w:rPr>
        <w:t>ANNUAL REPORT</w:t>
      </w:r>
    </w:p>
    <w:p>
      <w:pPr>
        <w:ind w:left="1440"/>
        <w:spacing w:after="0" w:line="228" w:lineRule="auto"/>
        <w:rPr>
          <w:sz w:val="20"/>
          <w:szCs w:val="20"/>
          <w:color w:val="auto"/>
        </w:rPr>
      </w:pPr>
      <w:r>
        <w:rPr>
          <w:rFonts w:ascii="Arial" w:cs="Arial" w:eastAsia="Arial" w:hAnsi="Arial"/>
          <w:sz w:val="18"/>
          <w:szCs w:val="18"/>
          <w:color w:val="818284"/>
        </w:rPr>
        <w:t>please visit</w:t>
      </w:r>
    </w:p>
    <w:p>
      <w:pPr>
        <w:ind w:left="280"/>
        <w:spacing w:after="0"/>
        <w:rPr>
          <w:sz w:val="20"/>
          <w:szCs w:val="20"/>
          <w:color w:val="auto"/>
        </w:rPr>
      </w:pPr>
      <w:r>
        <w:rPr>
          <w:rFonts w:ascii="Arial" w:cs="Arial" w:eastAsia="Arial" w:hAnsi="Arial"/>
          <w:sz w:val="22"/>
          <w:szCs w:val="22"/>
          <w:b w:val="1"/>
          <w:bCs w:val="1"/>
          <w:color w:val="auto"/>
        </w:rPr>
        <w:t>www.weatherfordannualreport.com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4"/>
          <w:szCs w:val="14"/>
          <w:b w:val="1"/>
          <w:bCs w:val="1"/>
          <w:color w:val="818284"/>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829"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269240</wp:posOffset>
            </wp:positionV>
            <wp:extent cx="6174740" cy="3207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49"/>
          <w:szCs w:val="49"/>
          <w:i w:val="1"/>
          <w:iCs w:val="1"/>
          <w:color w:val="FFFFFF"/>
        </w:rPr>
        <w:t>A Message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54"/>
          <w:szCs w:val="54"/>
          <w:b w:val="1"/>
          <w:bCs w:val="1"/>
          <w:color w:val="FFFFFF"/>
        </w:rPr>
        <w:t>FROM YOUR</w:t>
      </w:r>
    </w:p>
    <w:p>
      <w:pPr>
        <w:jc w:val="center"/>
        <w:ind w:right="-19"/>
        <w:spacing w:after="0"/>
        <w:rPr>
          <w:sz w:val="20"/>
          <w:szCs w:val="20"/>
          <w:color w:val="auto"/>
        </w:rPr>
      </w:pPr>
      <w:r>
        <w:rPr>
          <w:rFonts w:ascii="Arial" w:cs="Arial" w:eastAsia="Arial" w:hAnsi="Arial"/>
          <w:sz w:val="54"/>
          <w:szCs w:val="54"/>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TO OUR FELLOW WEATHERFORD SHAREHOLDERS,</w:t>
      </w:r>
    </w:p>
    <w:p>
      <w:pPr>
        <w:spacing w:after="0" w:line="371"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818284"/>
        </w:rPr>
        <w:t>The year 2014 was another period of progress and accomplishment as we achieved substantially all of our key objectives. It is with great pride and appreciation that we can share our Company’s progress with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ROLE</w:t>
      </w:r>
    </w:p>
    <w:p>
      <w:pPr>
        <w:spacing w:after="0" w:line="37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818284"/>
        </w:rPr>
        <w:t>As your Board, we are committed to our duties and the great obligation we have accepted. We hold ourselves to the highest standards, keeping the interest of our shareholders, employees and clients at the center of our priorities. We work diligently to meet your expectations and view ourselves as responsible stewards of your capital. We also help implement necessary initiatives to better position and strengthen our Company for a sustainable and bright future. We thank you for your steadfast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RESPONSIBILITIES</w:t>
      </w:r>
    </w:p>
    <w:p>
      <w:pPr>
        <w:spacing w:after="0" w:line="37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818284"/>
        </w:rPr>
        <w:t>We strive to ensure Weatherford is managed in an effective and accountable manner. Our role encompasses a number of responsibilities, and we undertake regular self-evaluations to assess our performance. The following are among our principal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STRATEGY</w:t>
      </w:r>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6"/>
          <w:szCs w:val="16"/>
          <w:color w:val="818284"/>
        </w:rPr>
        <w:t>We create and develop Weatherford’s broad strategic plan, and we continue to evaluate and monitor progress throughout the year. As part of this responsibility, we follow trends closely to prepare ourselves for cyclical shifts in the markets and our businesses as well as to make decisions in the best interests of our shareholders, clients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GOVERNANCE</w:t>
      </w:r>
    </w:p>
    <w:p>
      <w:pPr>
        <w:spacing w:after="0" w:line="35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818284"/>
        </w:rPr>
        <w:t>We systematically and continuously review Weatherford’s corporate governance practices and oversee the adoption of new and improved approaches consistent and aligned with our strategic financial and operational goals. With this in mind, our Board and Committees have established annual processes to regularly optimize and update key governance and practice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COMPLIANCE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818284"/>
        </w:rPr>
        <w:t>We are responsible for oversight and review of our Company’s robust compliance program as well as the status of our adherence to laws, regulations and internal procedures. We see our best-in-class compliance program as a valuable asset, and we act judiciously, decisively and vigorously to assure Weatherford maintains the highest of ethical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OUTREACH</w:t>
      </w:r>
    </w:p>
    <w:p>
      <w:pPr>
        <w:spacing w:after="0" w:line="35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818284"/>
        </w:rPr>
        <w:t>In our role as company stewards, we place great value on regular investor dialogue and on the feedback we receive from our current and potential shareholders. We believe in maintaining a high level of transparency and visibility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ACHIEVEMENTS</w:t>
      </w:r>
    </w:p>
    <w:p>
      <w:pPr>
        <w:spacing w:after="0" w:line="36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818284"/>
        </w:rPr>
        <w:t>Over the course of the last year and into 2015, our work was collaborative and constructive. Together, we are pleased to have accomplished the following:</w:t>
      </w:r>
    </w:p>
    <w:p>
      <w:pPr>
        <w:spacing w:after="0" w:line="18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successful conclusion of multiple U.S. government investigations.</w:t>
      </w:r>
    </w:p>
    <w:p>
      <w:pPr>
        <w:spacing w:after="0" w:line="178"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Settlement of a shareholder class action (</w:t>
      </w:r>
      <w:r>
        <w:rPr>
          <w:rFonts w:ascii="Arial" w:cs="Arial" w:eastAsia="Arial" w:hAnsi="Arial"/>
          <w:sz w:val="16"/>
          <w:szCs w:val="16"/>
          <w:i w:val="1"/>
          <w:iCs w:val="1"/>
          <w:color w:val="818284"/>
        </w:rPr>
        <w:t>Dobina</w:t>
      </w:r>
      <w:r>
        <w:rPr>
          <w:rFonts w:ascii="Arial" w:cs="Arial" w:eastAsia="Arial" w:hAnsi="Arial"/>
          <w:sz w:val="16"/>
          <w:szCs w:val="16"/>
          <w:color w:val="818284"/>
        </w:rPr>
        <w:t>) regarding a material weakness in income tax accounting.</w:t>
      </w:r>
    </w:p>
    <w:p>
      <w:pPr>
        <w:spacing w:after="0" w:line="210"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addition of Mohamed A. Awad as a new Director to bring additional diversity and experience and “refresh” the Board.</w:t>
      </w:r>
    </w:p>
    <w:p>
      <w:pPr>
        <w:spacing w:after="0" w:line="194" w:lineRule="exact"/>
        <w:rPr>
          <w:rFonts w:ascii="Arial" w:cs="Arial" w:eastAsia="Arial" w:hAnsi="Arial"/>
          <w:sz w:val="16"/>
          <w:szCs w:val="16"/>
          <w:color w:val="CE0D41"/>
        </w:rPr>
      </w:pPr>
    </w:p>
    <w:p>
      <w:pPr>
        <w:ind w:left="280" w:right="460" w:hanging="272"/>
        <w:spacing w:after="0" w:line="260"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implementation of changes to further enhance pay for performance alignment in our executive compensation program, including responding to shareholder input.</w:t>
      </w:r>
    </w:p>
    <w:p>
      <w:pPr>
        <w:spacing w:after="0" w:line="168" w:lineRule="exact"/>
        <w:rPr>
          <w:rFonts w:ascii="Arial" w:cs="Arial" w:eastAsia="Arial" w:hAnsi="Arial"/>
          <w:sz w:val="16"/>
          <w:szCs w:val="16"/>
          <w:color w:val="CE0D41"/>
        </w:rPr>
      </w:pPr>
    </w:p>
    <w:p>
      <w:pPr>
        <w:jc w:val="both"/>
        <w:ind w:left="280" w:right="120" w:hanging="272"/>
        <w:spacing w:after="0" w:line="253"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decision to no longer enter into employment agreements with future executive officers, and the introduction of an amendment to our 2010 Omnibus Plan that, upon your approval, will prohibit the Company from buying out “underwater” stock options or stock appreciation rights in exchange for cash or any other award without shareholder approval.</w:t>
      </w:r>
    </w:p>
    <w:p>
      <w:pPr>
        <w:spacing w:after="0" w:line="17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Changing how our 2015 performance units are measured by now utilizing an average share price for all trading days in December.</w:t>
      </w:r>
    </w:p>
    <w:p>
      <w:pPr>
        <w:spacing w:after="0" w:line="194" w:lineRule="exact"/>
        <w:rPr>
          <w:rFonts w:ascii="Arial" w:cs="Arial" w:eastAsia="Arial" w:hAnsi="Arial"/>
          <w:sz w:val="16"/>
          <w:szCs w:val="16"/>
          <w:color w:val="CE0D41"/>
        </w:rPr>
      </w:pPr>
    </w:p>
    <w:p>
      <w:pPr>
        <w:ind w:left="280" w:right="480" w:hanging="272"/>
        <w:spacing w:after="0" w:line="260"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introduction of a new peer performance component in our 2015 incentive objectives, as the Compensation Committee believes this is a strong measure of revenue and profitability performance relative to peers by which executives (and the Company) should be measured.</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Increasing the ratio of performance-based awards granted in 2015 versus 2014.</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Divesting of non-core businesses resulting in proceeds of $1.7 billion – exceeding our target of $1 billion.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Decreasing net debt by approximately $1.2 billion –exceeding our targeted reduction of $800 million.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Achieving annualized cost savings of $602 million, above our targeted range, resulting from the reduction of 6,000 positions and the closing of</w:t>
      </w:r>
    </w:p>
    <w:p>
      <w:pPr>
        <w:spacing w:after="0" w:line="5" w:lineRule="exact"/>
        <w:rPr>
          <w:rFonts w:ascii="Arial" w:cs="Arial" w:eastAsia="Arial" w:hAnsi="Arial"/>
          <w:sz w:val="16"/>
          <w:szCs w:val="16"/>
          <w:color w:val="CE0D41"/>
        </w:rPr>
      </w:pPr>
    </w:p>
    <w:p>
      <w:pPr>
        <w:ind w:left="280" w:right="40"/>
        <w:spacing w:after="0" w:line="260" w:lineRule="auto"/>
        <w:rPr>
          <w:rFonts w:ascii="Arial" w:cs="Arial" w:eastAsia="Arial" w:hAnsi="Arial"/>
          <w:sz w:val="16"/>
          <w:szCs w:val="16"/>
          <w:color w:val="CE0D41"/>
        </w:rPr>
      </w:pPr>
      <w:r>
        <w:rPr>
          <w:rFonts w:ascii="Arial" w:cs="Arial" w:eastAsia="Arial" w:hAnsi="Arial"/>
          <w:sz w:val="16"/>
          <w:szCs w:val="16"/>
          <w:color w:val="818284"/>
        </w:rPr>
        <w:t>64 underperforming locations, and additional savings from supply chain initiatives and reductions in foreign exchange hedging costs as well as corporate professional fees.</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Increasing our 2014 non-GAAP earnings per share to $1.00, a substantial improvement over the $.60 per share in 2013.</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Improving our safety metrics (lost-time incident rate and preventable vehicle incident rate) reaching a best-ever record.</w:t>
      </w:r>
    </w:p>
    <w:p>
      <w:pPr>
        <w:spacing w:after="0" w:line="194" w:lineRule="exact"/>
        <w:rPr>
          <w:rFonts w:ascii="Arial" w:cs="Arial" w:eastAsia="Arial" w:hAnsi="Arial"/>
          <w:sz w:val="16"/>
          <w:szCs w:val="16"/>
          <w:color w:val="CE0D41"/>
        </w:rPr>
      </w:pPr>
    </w:p>
    <w:p>
      <w:pPr>
        <w:ind w:left="280" w:hanging="272"/>
        <w:spacing w:after="0" w:line="251"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Expanding our role in the communities in which we operate by encouraging and sponsoring charitable projects across the globe. For example, we hosted the inaugural “Weatherford Walks” charity event in December 2014, which will be implemented in other regions worldwide, and by continuing our 12-year donation commitment to the ADPP Vocational Professional School Cabinda in Angola, where we donate school fees each month. These are only a few examples of our charitable community outreach efforts around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MOVING FORWARD</w:t>
      </w:r>
    </w:p>
    <w:p>
      <w:pPr>
        <w:spacing w:after="0" w:line="3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818284"/>
        </w:rPr>
        <w:t>Today, we are proud to have achieved substantially all of our 2014 key objectives. These achievements pave the way for Weatherford to deliver greater shareholder value. We are positioning our Company to quickly adjust to a new industrial context, having built a solid foundation upon which to move forward. Our entire organization is aligned and committed, and we will make material progress in 2015.</w:t>
      </w:r>
    </w:p>
    <w:p>
      <w:pPr>
        <w:spacing w:after="0" w:line="17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818284"/>
        </w:rPr>
        <w:t>We encourage you to vote your shares, as your participation is highly important to the future of our Company. Details of the items to be voted upon are provided throughout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97790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0" cy="19748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106045</wp:posOffset>
            </wp:positionV>
            <wp:extent cx="89217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21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Mohamed A. Awad</w:t>
      </w:r>
      <w:r>
        <w:rPr>
          <w:sz w:val="20"/>
          <w:szCs w:val="20"/>
          <w:color w:val="auto"/>
        </w:rPr>
        <w:tab/>
      </w:r>
      <w:r>
        <w:rPr>
          <w:rFonts w:ascii="Arial" w:cs="Arial" w:eastAsia="Arial" w:hAnsi="Arial"/>
          <w:sz w:val="16"/>
          <w:szCs w:val="16"/>
          <w:color w:val="CE0D41"/>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1470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34290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121920</wp:posOffset>
            </wp:positionV>
            <wp:extent cx="95186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8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Bernard J. Duroc-Danner</w:t>
      </w:r>
      <w:r>
        <w:rPr>
          <w:sz w:val="20"/>
          <w:szCs w:val="20"/>
          <w:color w:val="auto"/>
        </w:rPr>
        <w:tab/>
      </w:r>
      <w:r>
        <w:rPr>
          <w:rFonts w:ascii="Arial" w:cs="Arial" w:eastAsia="Arial" w:hAnsi="Arial"/>
          <w:sz w:val="16"/>
          <w:szCs w:val="16"/>
          <w:color w:val="CE0D41"/>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3759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7590" cy="248920"/>
                    </a:xfrm>
                    <a:prstGeom prst="rect">
                      <a:avLst/>
                    </a:prstGeom>
                    <a:noFill/>
                  </pic:spPr>
                </pic:pic>
              </a:graphicData>
            </a:graphic>
          </wp:anchor>
        </w:drawing>
      </w:r>
    </w:p>
    <w:p>
      <w:pPr>
        <w:sectPr>
          <w:pgSz w:w="11900" w:h="16838" w:orient="portrait"/>
          <w:cols w:equalWidth="0" w:num="1">
            <w:col w:w="11240"/>
          </w:cols>
          <w:pgMar w:left="240" w:top="505" w:right="419" w:bottom="174" w:gutter="0" w:footer="0" w:header="0"/>
        </w:sectPr>
      </w:pPr>
    </w:p>
    <w:bookmarkStart w:id="6" w:name="page7"/>
    <w:bookmarkEnd w:id="6"/>
    <w:p>
      <w:pPr>
        <w:spacing w:after="0"/>
        <w:tabs>
          <w:tab w:leader="none" w:pos="5700" w:val="left"/>
        </w:tabs>
        <w:rPr>
          <w:sz w:val="20"/>
          <w:szCs w:val="20"/>
          <w:color w:val="auto"/>
        </w:rPr>
      </w:pPr>
      <w:r>
        <w:rPr>
          <w:rFonts w:ascii="Arial" w:cs="Arial" w:eastAsia="Arial" w:hAnsi="Arial"/>
          <w:sz w:val="16"/>
          <w:szCs w:val="16"/>
          <w:color w:val="CE0D41"/>
        </w:rPr>
        <w:drawing>
          <wp:anchor simplePos="0" relativeHeight="251657728" behindDoc="1" locked="0" layoutInCell="0" allowOverlap="1">
            <wp:simplePos x="0" y="0"/>
            <wp:positionH relativeFrom="page">
              <wp:posOffset>3785235</wp:posOffset>
            </wp:positionH>
            <wp:positionV relativeFrom="page">
              <wp:posOffset>88900</wp:posOffset>
            </wp:positionV>
            <wp:extent cx="848995" cy="334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848995" cy="334645"/>
                    </a:xfrm>
                    <a:prstGeom prst="rect">
                      <a:avLst/>
                    </a:prstGeom>
                    <a:noFill/>
                  </pic:spPr>
                </pic:pic>
              </a:graphicData>
            </a:graphic>
          </wp:anchor>
        </w:drawing>
        <w:t>Emyr Jones Parry</w:t>
      </w:r>
      <w:r>
        <w:rPr>
          <w:sz w:val="20"/>
          <w:szCs w:val="20"/>
          <w:color w:val="auto"/>
        </w:rPr>
        <w:tab/>
      </w:r>
      <w:r>
        <w:rPr>
          <w:rFonts w:ascii="Arial" w:cs="Arial" w:eastAsia="Arial" w:hAnsi="Arial"/>
          <w:sz w:val="16"/>
          <w:szCs w:val="16"/>
          <w:color w:val="CE0D41"/>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4648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6480" cy="2743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121920</wp:posOffset>
            </wp:positionV>
            <wp:extent cx="110617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William E. Macaulay</w:t>
      </w:r>
      <w:r>
        <w:rPr>
          <w:sz w:val="20"/>
          <w:szCs w:val="20"/>
          <w:color w:val="auto"/>
        </w:rPr>
        <w:tab/>
      </w:r>
      <w:r>
        <w:rPr>
          <w:rFonts w:ascii="Arial" w:cs="Arial" w:eastAsia="Arial" w:hAnsi="Arial"/>
          <w:sz w:val="16"/>
          <w:szCs w:val="16"/>
          <w:color w:val="CE0D41"/>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626110" cy="462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1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Guillermo Ortiz</w:t>
      </w:r>
      <w:r>
        <w:rPr>
          <w:sz w:val="20"/>
          <w:szCs w:val="20"/>
          <w:color w:val="auto"/>
        </w:rPr>
        <w:tab/>
      </w:r>
      <w:r>
        <w:rPr>
          <w:rFonts w:ascii="Arial" w:cs="Arial" w:eastAsia="Arial" w:hAnsi="Arial"/>
          <w:sz w:val="16"/>
          <w:szCs w:val="16"/>
          <w:color w:val="CE0D41"/>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4"/>
          <w:szCs w:val="14"/>
          <w:color w:val="818284"/>
        </w:rPr>
        <w:t>Weatherford International plc — 2015 Proxy Statement</w:t>
      </w:r>
      <w:r>
        <w:rPr>
          <w:sz w:val="20"/>
          <w:szCs w:val="20"/>
          <w:color w:val="auto"/>
        </w:rPr>
        <w:tab/>
      </w:r>
      <w:r>
        <w:rPr>
          <w:rFonts w:ascii="Arial" w:cs="Arial" w:eastAsia="Arial" w:hAnsi="Arial"/>
          <w:sz w:val="14"/>
          <w:szCs w:val="14"/>
          <w:b w:val="1"/>
          <w:bCs w:val="1"/>
          <w:color w:val="818284"/>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269240</wp:posOffset>
            </wp:positionV>
            <wp:extent cx="5145405" cy="2675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49"/>
          <w:szCs w:val="49"/>
          <w:i w:val="1"/>
          <w:iCs w:val="1"/>
          <w:color w:val="FFFFFF"/>
        </w:rPr>
        <w:t>Letter</w:t>
      </w:r>
    </w:p>
    <w:p>
      <w:pPr>
        <w:spacing w:after="0" w:line="36" w:lineRule="exact"/>
        <w:rPr>
          <w:sz w:val="20"/>
          <w:szCs w:val="20"/>
          <w:color w:val="auto"/>
        </w:rPr>
      </w:pPr>
    </w:p>
    <w:p>
      <w:pPr>
        <w:jc w:val="right"/>
        <w:ind w:left="2820" w:right="2700"/>
        <w:spacing w:after="0" w:line="256" w:lineRule="auto"/>
        <w:rPr>
          <w:sz w:val="20"/>
          <w:szCs w:val="20"/>
          <w:color w:val="auto"/>
        </w:rPr>
      </w:pPr>
      <w:r>
        <w:rPr>
          <w:rFonts w:ascii="Arial" w:cs="Arial" w:eastAsia="Arial" w:hAnsi="Arial"/>
          <w:sz w:val="50"/>
          <w:szCs w:val="50"/>
          <w:b w:val="1"/>
          <w:bCs w:val="1"/>
          <w:color w:val="FFFFFF"/>
        </w:rPr>
        <w:t>FROM THE 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TO MY FELLOW SHAREHOLDERS,</w:t>
      </w:r>
    </w:p>
    <w:p>
      <w:pPr>
        <w:spacing w:after="0" w:line="3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818284"/>
        </w:rPr>
        <w:t>I am pleased to announce Weatherford’s 2015 Annual General Meeting of Shareholders. The meeting will be held at 10:00 a.m. (Central European Time) on June 16, 2015, at The Mandarin Oriental Hotel, Quai Turrettini 1, 1201 Geneva, Switzerland. We encourage you to support the agenda items presented, as they are highly important to the future of your Company.</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The Board recommends that you vote FOR all of the proposed agenda items. I invite you to visit </w:t>
      </w:r>
      <w:r>
        <w:rPr>
          <w:rFonts w:ascii="Arial" w:cs="Arial" w:eastAsia="Arial" w:hAnsi="Arial"/>
          <w:sz w:val="16"/>
          <w:szCs w:val="16"/>
          <w:b w:val="1"/>
          <w:bCs w:val="1"/>
          <w:i w:val="1"/>
          <w:iCs w:val="1"/>
          <w:color w:val="auto"/>
        </w:rPr>
        <w:t>www.weatherfordannualmeeting.com</w:t>
      </w:r>
      <w:r>
        <w:rPr>
          <w:rFonts w:ascii="Arial" w:cs="Arial" w:eastAsia="Arial" w:hAnsi="Arial"/>
          <w:sz w:val="16"/>
          <w:szCs w:val="16"/>
          <w:b w:val="1"/>
          <w:bCs w:val="1"/>
          <w:color w:val="auto"/>
        </w:rPr>
        <w:t xml:space="preserve"> where you can cast your vote and can find centralized and up-to-date details and instructions regarding our upcoming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DELIVERING ON OUR COMMITMENT</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818284"/>
        </w:rPr>
        <w:t>During 2014, we successfully implemented initiatives and measures needed to turnaround our Company. Our key achievements included the following:</w:t>
      </w:r>
    </w:p>
    <w:p>
      <w:pPr>
        <w:spacing w:after="0" w:line="208"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Concluding long-standing multiple U.S. government investigations.</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Divesting non-core businesses resulting in proceeds of $1.7 billion, exceeding our target of $1 billion.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Decreasing our net debt by approximately $1.2 billion, exceeding our target of $800 million.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Reducing our annualized costs by $602 million, above our target.</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Increasing our non-GAAP earnings per share to $1.00, a substantial improvement over the $0.60 per share earned in 2013.</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Improving our safety metrics (lost-time incident rate and preventable vehicle incident rate) reaching a best-ever record.</w:t>
      </w:r>
    </w:p>
    <w:p>
      <w:pPr>
        <w:spacing w:after="0" w:line="208"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818284"/>
        </w:rPr>
        <w:t>Grounded on careful assessment and based on a disciplined strategy, these performance highlights confirm our steady and continued progress on our transformational path towards capital efficiency, operational excellence and administrative quality. We have delivered and will continue to execute our 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80"/>
          </w:cols>
          <w:pgMar w:left="240" w:top="1440" w:right="479" w:bottom="1440" w:gutter="0" w:footer="0" w:header="0"/>
        </w:sectPr>
      </w:pPr>
    </w:p>
    <w:bookmarkStart w:id="8" w:name="page9"/>
    <w:bookmarkEnd w:id="8"/>
    <w:p>
      <w:pPr>
        <w:spacing w:after="0"/>
        <w:rPr>
          <w:sz w:val="20"/>
          <w:szCs w:val="20"/>
          <w:color w:val="auto"/>
        </w:rPr>
      </w:pPr>
      <w:r>
        <w:rPr>
          <w:rFonts w:ascii="Arial" w:cs="Arial" w:eastAsia="Arial" w:hAnsi="Arial"/>
          <w:sz w:val="43"/>
          <w:szCs w:val="43"/>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ENHANCING CORPORATE GOVERNANCE</w:t>
      </w:r>
    </w:p>
    <w:p>
      <w:pPr>
        <w:spacing w:after="0" w:line="37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818284"/>
        </w:rPr>
        <w:t>We have established robust governance practices and regularly review and enhance our program and standards to reflect evolving practices and changing regulatory requirements. To this effect, since our last Annual General Meeting in September, and with the full support of our senior management team, the Board adjusted our Company’s compensation arrangements, further enhancing alignment between performance and pay. We believe this active and ongoing approach is critical to the effective and sound long-term oversight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EXPRESSING APPRECIATION</w:t>
      </w:r>
    </w:p>
    <w:p>
      <w:pPr>
        <w:spacing w:after="0" w:line="37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818284"/>
        </w:rPr>
        <w:t>On behalf of your entire Board and the management team, to our shareholders, I deeply appreciate your support and faith in our turnaround. At Weatherford, when we focus on something, we do it well. It is a fundamental trait of our organization, and we will continue to work hard to make Weatherford the best company it has ever been. I also want to express my esteem to our Board of Directors for its guidance and relentless focus on our strategy, which will yield long-term shareholder value. To all our employees, please accept my gratitude for your readiness to adapt, responsiveness and great willingness to work together towards making our success attainable. I wish to make special note that a majority of the photography displayed on the back cover of this Proxy Statement as well as in the content of our 2014 Annual Report originated from our own employees. My commendation to your talent, enthusiasm and personal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2015 DIRECTION</w:t>
      </w:r>
    </w:p>
    <w:p>
      <w:pPr>
        <w:spacing w:after="0" w:line="37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818284"/>
        </w:rPr>
        <w:t>2015 will mark another year of continued progress for Weatherford. We will continue to guide our Company through the culture that drives us: cost efficiencies, cash generation and external focus. Our direction in 2015 pragmatically takes our strengths and shortfalls as well as market conditions into consideration. Our actions will center around our costs, both cyclical and structural, improving, in a long-term way, our free cash flow generation and prioritizing our external client focus. Sustainability, including social and environmental responsibility, will gain in importance and will be embedded in our culture. These guiding values and initiatives are a matter of ethics as much as economics. We have the leadership, technology expertise and infrastructure. We are strongly positioned to move forward and deliver once again on our established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81828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1470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47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CE0E41"/>
        </w:rPr>
        <w:t>Bernard J. Duroc-Danner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818284"/>
        </w:rPr>
        <w:t>Chairman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818284"/>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58"/>
          <w:szCs w:val="58"/>
          <w:i w:val="1"/>
          <w:iCs w:val="1"/>
          <w:color w:val="auto"/>
        </w:rPr>
        <w:t>Our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120650</wp:posOffset>
            </wp:positionV>
            <wp:extent cx="57975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line="251" w:lineRule="auto"/>
        <w:rPr>
          <w:sz w:val="20"/>
          <w:szCs w:val="20"/>
          <w:color w:val="auto"/>
        </w:rPr>
      </w:pPr>
      <w:r>
        <w:rPr>
          <w:rFonts w:ascii="Arial" w:cs="Arial" w:eastAsia="Arial" w:hAnsi="Arial"/>
          <w:sz w:val="16"/>
          <w:szCs w:val="16"/>
          <w:color w:val="818284"/>
        </w:rPr>
        <w:t>Our Board seeks to achieve an effective mix of relevant skills and experience and to bring various business attributes together in the boardroom to benefit the Company and our shareholders. We are proud to announce the addition of Mr. Mohamed A. Awad to our Board of Directors, who brings exceptional Middle East operational qualifications coupled with vast international oilfield services experience. As your Board, we look forward to building upon Weatherford’s significant progress and numerous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513715</wp:posOffset>
            </wp:positionV>
            <wp:extent cx="7246620" cy="1466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20"/>
        <w:spacing w:after="0"/>
        <w:rPr>
          <w:sz w:val="20"/>
          <w:szCs w:val="20"/>
          <w:color w:val="auto"/>
        </w:rPr>
      </w:pPr>
      <w:r>
        <w:rPr>
          <w:rFonts w:ascii="Arial" w:cs="Arial" w:eastAsia="Arial" w:hAnsi="Arial"/>
          <w:sz w:val="29"/>
          <w:szCs w:val="29"/>
          <w:b w:val="1"/>
          <w:bCs w:val="1"/>
          <w:color w:val="CE0E41"/>
        </w:rPr>
        <w:t>MOHAMED A.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156845</wp:posOffset>
            </wp:positionV>
            <wp:extent cx="5154295" cy="1732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2014</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Health, Safety and Environment; Corporate Governance and Nominating</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3320" w:right="12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Awad has more than 30 years of experience in the international oilfield services industry. In particular, as</w:t>
      </w:r>
      <w:r>
        <w:rPr>
          <w:rFonts w:ascii="Arial" w:cs="Arial" w:eastAsia="Arial" w:hAnsi="Arial"/>
          <w:sz w:val="14"/>
          <w:szCs w:val="14"/>
          <w:b w:val="1"/>
          <w:bCs w:val="1"/>
          <w:color w:val="auto"/>
        </w:rPr>
        <w:t xml:space="preserve"> </w:t>
      </w:r>
      <w:r>
        <w:rPr>
          <w:rFonts w:ascii="Arial" w:cs="Arial" w:eastAsia="Arial" w:hAnsi="Arial"/>
          <w:sz w:val="14"/>
          <w:szCs w:val="14"/>
          <w:color w:val="818284"/>
        </w:rPr>
        <w:t>the former head of Schlumberger’s Middle East and Asia businesses, he brings to the Board deep knowledge and understanding of those key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208915</wp:posOffset>
            </wp:positionV>
            <wp:extent cx="1166495" cy="883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39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SCHLUMBERGER</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MIDDLE EAST</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300355</wp:posOffset>
            </wp:positionV>
            <wp:extent cx="7246620" cy="1466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20"/>
        <w:spacing w:after="0"/>
        <w:rPr>
          <w:sz w:val="20"/>
          <w:szCs w:val="20"/>
          <w:color w:val="auto"/>
        </w:rPr>
      </w:pPr>
      <w:r>
        <w:rPr>
          <w:rFonts w:ascii="Arial" w:cs="Arial" w:eastAsia="Arial" w:hAnsi="Arial"/>
          <w:sz w:val="29"/>
          <w:szCs w:val="29"/>
          <w:b w:val="1"/>
          <w:bCs w:val="1"/>
          <w:color w:val="CE0E41"/>
        </w:rPr>
        <w:t>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156845</wp:posOffset>
            </wp:positionV>
            <wp:extent cx="5154295" cy="1835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4295" cy="1835150"/>
                    </a:xfrm>
                    <a:prstGeom prst="rect">
                      <a:avLst/>
                    </a:prstGeom>
                    <a:noFill/>
                  </pic:spPr>
                </pic:pic>
              </a:graphicData>
            </a:graphic>
          </wp:anchor>
        </w:drawing>
      </w:r>
    </w:p>
    <w:p>
      <w:pPr>
        <w:spacing w:after="0" w:line="30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1988</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None</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3320" w:right="220"/>
        <w:spacing w:after="0" w:line="247"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Dr. Duroc-Danner’s extensive experience, including 28 years of leading and growing the Company, affords</w:t>
      </w:r>
      <w:r>
        <w:rPr>
          <w:rFonts w:ascii="Arial" w:cs="Arial" w:eastAsia="Arial" w:hAnsi="Arial"/>
          <w:sz w:val="14"/>
          <w:szCs w:val="14"/>
          <w:b w:val="1"/>
          <w:bCs w:val="1"/>
          <w:color w:val="auto"/>
        </w:rPr>
        <w:t xml:space="preserve"> </w:t>
      </w:r>
      <w:r>
        <w:rPr>
          <w:rFonts w:ascii="Arial" w:cs="Arial" w:eastAsia="Arial" w:hAnsi="Arial"/>
          <w:sz w:val="14"/>
          <w:szCs w:val="14"/>
          <w:color w:val="818284"/>
        </w:rPr>
        <w:t>him a profound knowledge of the oilfield service industry, domestically and internationally. As Chief Executive Officer, he brings to the Board key perspectives in many areas, including operations and strategic planning, needed to achieve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107950</wp:posOffset>
            </wp:positionV>
            <wp:extent cx="1166495" cy="883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PRESIDENT AND CEO</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WEATHERFORD</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INTERNATIONAL plc</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300355</wp:posOffset>
            </wp:positionV>
            <wp:extent cx="7246620" cy="14662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20"/>
        <w:spacing w:after="0"/>
        <w:rPr>
          <w:sz w:val="20"/>
          <w:szCs w:val="20"/>
          <w:color w:val="auto"/>
        </w:rPr>
      </w:pPr>
      <w:r>
        <w:rPr>
          <w:rFonts w:ascii="Arial" w:cs="Arial" w:eastAsia="Arial" w:hAnsi="Arial"/>
          <w:sz w:val="29"/>
          <w:szCs w:val="29"/>
          <w:b w:val="1"/>
          <w:bCs w:val="1"/>
          <w:color w:val="CE0E41"/>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156845</wp:posOffset>
            </wp:positionV>
            <wp:extent cx="5154295" cy="1732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1984</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Corporate Governance and Nominating (Chairman)</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jc w:val="both"/>
        <w:ind w:left="3320" w:right="24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Butters’ career in investment banking, finance and shipping provide the Board and its Committees with</w:t>
      </w:r>
      <w:r>
        <w:rPr>
          <w:rFonts w:ascii="Arial" w:cs="Arial" w:eastAsia="Arial" w:hAnsi="Arial"/>
          <w:sz w:val="14"/>
          <w:szCs w:val="14"/>
          <w:b w:val="1"/>
          <w:bCs w:val="1"/>
          <w:color w:val="auto"/>
        </w:rPr>
        <w:t xml:space="preserve"> </w:t>
      </w:r>
      <w:r>
        <w:rPr>
          <w:rFonts w:ascii="Arial" w:cs="Arial" w:eastAsia="Arial" w:hAnsi="Arial"/>
          <w:sz w:val="14"/>
          <w:szCs w:val="14"/>
          <w:color w:val="818284"/>
        </w:rPr>
        <w:t>important leadership and operational insight in those areas. In addition, he provides invaluable historical understanding of the Company and its business that are essential to making strategic decisions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208915</wp:posOffset>
            </wp:positionV>
            <wp:extent cx="1166495" cy="883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39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PRESIDENT AND CEO</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NAVIGATOR</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HOLDINGS, LTD.</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300355</wp:posOffset>
            </wp:positionV>
            <wp:extent cx="515429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54295" cy="17145"/>
                    </a:xfrm>
                    <a:prstGeom prst="rect">
                      <a:avLst/>
                    </a:prstGeom>
                    <a:noFill/>
                  </pic:spPr>
                </pic:pic>
              </a:graphicData>
            </a:graphic>
          </wp:anchor>
        </w:drawing>
      </w:r>
    </w:p>
    <w:p>
      <w:pPr>
        <w:sectPr>
          <w:pgSz w:w="11900" w:h="16838" w:orient="portrait"/>
          <w:cols w:equalWidth="0" w:num="1">
            <w:col w:w="11280"/>
          </w:cols>
          <w:pgMar w:left="320" w:top="386" w:right="299" w:bottom="0" w:gutter="0" w:footer="0" w:header="0"/>
        </w:sectPr>
      </w:pPr>
    </w:p>
    <w:p>
      <w:pPr>
        <w:spacing w:after="0" w:line="200" w:lineRule="exact"/>
        <w:rPr>
          <w:sz w:val="20"/>
          <w:szCs w:val="20"/>
          <w:color w:val="auto"/>
        </w:rPr>
      </w:pPr>
    </w:p>
    <w:p>
      <w:pPr>
        <w:spacing w:after="0" w:line="355" w:lineRule="exact"/>
        <w:rPr>
          <w:sz w:val="20"/>
          <w:szCs w:val="20"/>
          <w:color w:val="auto"/>
        </w:rPr>
      </w:pPr>
    </w:p>
    <w:p>
      <w:pPr>
        <w:ind w:left="3220"/>
        <w:spacing w:after="0"/>
        <w:rPr>
          <w:sz w:val="20"/>
          <w:szCs w:val="20"/>
          <w:color w:val="auto"/>
        </w:rPr>
      </w:pPr>
      <w:r>
        <w:rPr>
          <w:rFonts w:ascii="Arial" w:cs="Arial" w:eastAsia="Arial" w:hAnsi="Arial"/>
          <w:sz w:val="28"/>
          <w:szCs w:val="28"/>
          <w:b w:val="1"/>
          <w:bCs w:val="1"/>
          <w:color w:val="CE0E41"/>
        </w:rPr>
        <w:t>JOHN D. GASS</w:t>
      </w:r>
    </w:p>
    <w:p>
      <w:pPr>
        <w:sectPr>
          <w:pgSz w:w="11900" w:h="16838" w:orient="portrait"/>
          <w:cols w:equalWidth="0" w:num="1">
            <w:col w:w="11280"/>
          </w:cols>
          <w:pgMar w:left="320" w:top="386" w:right="299" w:bottom="0" w:gutter="0" w:footer="0" w:header="0"/>
          <w:type w:val="continuous"/>
        </w:sectPr>
      </w:pPr>
    </w:p>
    <w:bookmarkStart w:id="10" w:name="page11"/>
    <w:bookmarkEnd w:id="10"/>
    <w:p>
      <w:pPr>
        <w:ind w:left="339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861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61185"/>
                    </a:xfrm>
                    <a:prstGeom prst="rect">
                      <a:avLst/>
                    </a:prstGeom>
                    <a:noFill/>
                  </pic:spPr>
                </pic:pic>
              </a:graphicData>
            </a:graphic>
          </wp:anchor>
        </w:drawing>
        <w:t xml:space="preserve">DIRECTOR SINCE: </w:t>
      </w:r>
      <w:r>
        <w:rPr>
          <w:rFonts w:ascii="Arial" w:cs="Arial" w:eastAsia="Arial" w:hAnsi="Arial"/>
          <w:sz w:val="14"/>
          <w:szCs w:val="14"/>
          <w:color w:val="818284"/>
        </w:rPr>
        <w:t>2013</w:t>
      </w:r>
    </w:p>
    <w:p>
      <w:pPr>
        <w:spacing w:after="0" w:line="163" w:lineRule="exact"/>
        <w:rPr>
          <w:sz w:val="20"/>
          <w:szCs w:val="20"/>
          <w:color w:val="auto"/>
        </w:rPr>
      </w:pPr>
    </w:p>
    <w:p>
      <w:pPr>
        <w:ind w:left="3392"/>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Compensation; Health, Safety and Environment</w:t>
      </w:r>
    </w:p>
    <w:p>
      <w:pPr>
        <w:spacing w:after="0" w:line="163" w:lineRule="exact"/>
        <w:rPr>
          <w:sz w:val="20"/>
          <w:szCs w:val="20"/>
          <w:color w:val="auto"/>
        </w:rPr>
      </w:pPr>
    </w:p>
    <w:p>
      <w:pPr>
        <w:ind w:left="3392"/>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3392"/>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Gass has 38 years of experience in the international exploration and production industry, including</w:t>
      </w:r>
      <w:r>
        <w:rPr>
          <w:rFonts w:ascii="Arial" w:cs="Arial" w:eastAsia="Arial" w:hAnsi="Arial"/>
          <w:sz w:val="14"/>
          <w:szCs w:val="14"/>
          <w:b w:val="1"/>
          <w:bCs w:val="1"/>
          <w:color w:val="auto"/>
        </w:rPr>
        <w:t xml:space="preserve"> </w:t>
      </w:r>
      <w:r>
        <w:rPr>
          <w:rFonts w:ascii="Arial" w:cs="Arial" w:eastAsia="Arial" w:hAnsi="Arial"/>
          <w:sz w:val="14"/>
          <w:szCs w:val="14"/>
          <w:color w:val="818284"/>
        </w:rPr>
        <w:t>executive leadership experience. The Board benefits from his broad expertise, which encompasses operations, finance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501015</wp:posOffset>
            </wp:positionV>
            <wp:extent cx="1166495" cy="883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VICE PRESIDENT</w:t>
      </w:r>
    </w:p>
    <w:p>
      <w:pPr>
        <w:spacing w:after="0" w:line="19"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CHEVRON</w:t>
      </w:r>
    </w:p>
    <w:p>
      <w:pPr>
        <w:spacing w:after="0" w:line="19"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CORPORATION</w:t>
      </w:r>
    </w:p>
    <w:p>
      <w:pPr>
        <w:spacing w:after="0" w:line="145"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2" w:hanging="312"/>
        <w:spacing w:after="0"/>
        <w:tabs>
          <w:tab w:leader="none" w:pos="312" w:val="left"/>
        </w:tabs>
        <w:numPr>
          <w:ilvl w:val="0"/>
          <w:numId w:val="1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32"/>
          </w:cols>
          <w:pgMar w:left="248" w:top="423" w:right="419" w:bottom="1440" w:gutter="0" w:footer="0" w:header="0"/>
        </w:sectPr>
      </w:pPr>
    </w:p>
    <w:bookmarkStart w:id="11" w:name="page12"/>
    <w:bookmarkEnd w:id="11"/>
    <w:p>
      <w:pPr>
        <w:ind w:left="2800"/>
        <w:spacing w:after="0"/>
        <w:rPr>
          <w:sz w:val="20"/>
          <w:szCs w:val="20"/>
          <w:color w:val="auto"/>
        </w:rPr>
      </w:pPr>
      <w:r>
        <w:rPr>
          <w:rFonts w:ascii="Arial" w:cs="Arial" w:eastAsia="Arial" w:hAnsi="Arial"/>
          <w:sz w:val="29"/>
          <w:szCs w:val="29"/>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466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156845</wp:posOffset>
            </wp:positionV>
            <wp:extent cx="5120005" cy="1732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20005" cy="1732280"/>
                    </a:xfrm>
                    <a:prstGeom prst="rect">
                      <a:avLst/>
                    </a:prstGeom>
                    <a:noFill/>
                  </pic:spPr>
                </pic:pic>
              </a:graphicData>
            </a:graphic>
          </wp:anchor>
        </w:drawing>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2010</w:t>
      </w:r>
    </w:p>
    <w:p>
      <w:pPr>
        <w:spacing w:after="0" w:line="163"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Corporate Governance and Nominating; Health, Safety and Environment (Chairman)</w:t>
      </w:r>
    </w:p>
    <w:p>
      <w:pPr>
        <w:spacing w:after="0" w:line="163"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80" w:right="8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Sir Emyr brings to the Board a wealth of government relations and public and social policy experience,</w:t>
      </w:r>
      <w:r>
        <w:rPr>
          <w:rFonts w:ascii="Arial" w:cs="Arial" w:eastAsia="Arial" w:hAnsi="Arial"/>
          <w:sz w:val="14"/>
          <w:szCs w:val="14"/>
          <w:b w:val="1"/>
          <w:bCs w:val="1"/>
          <w:color w:val="auto"/>
        </w:rPr>
        <w:t xml:space="preserve"> </w:t>
      </w:r>
      <w:r>
        <w:rPr>
          <w:rFonts w:ascii="Arial" w:cs="Arial" w:eastAsia="Arial" w:hAnsi="Arial"/>
          <w:sz w:val="14"/>
          <w:szCs w:val="14"/>
          <w:color w:val="818284"/>
        </w:rPr>
        <w:t>critical attributes given the importance of these areas to the Company’s operations and growth. His experience also affords him important international perspectives of great value to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208915</wp:posOffset>
            </wp:positionV>
            <wp:extent cx="1166495" cy="780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UNIVERSITY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ABERYSTWYTH</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732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1998</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Compensation (Chairman)</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jc w:val="both"/>
        <w:ind w:left="2840" w:right="28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Macaulay’s attributes include experience in finance, investment, energy and leadership. He has also</w:t>
      </w:r>
      <w:r>
        <w:rPr>
          <w:rFonts w:ascii="Arial" w:cs="Arial" w:eastAsia="Arial" w:hAnsi="Arial"/>
          <w:sz w:val="14"/>
          <w:szCs w:val="14"/>
          <w:b w:val="1"/>
          <w:bCs w:val="1"/>
          <w:color w:val="auto"/>
        </w:rPr>
        <w:t xml:space="preserve"> </w:t>
      </w:r>
      <w:r>
        <w:rPr>
          <w:rFonts w:ascii="Arial" w:cs="Arial" w:eastAsia="Arial" w:hAnsi="Arial"/>
          <w:sz w:val="14"/>
          <w:szCs w:val="14"/>
          <w:color w:val="818284"/>
        </w:rPr>
        <w:t>served on the boards of a number of leading energy and industrial companies and brings essential acumen on corporate governance and the Board’s role in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208915</wp:posOffset>
            </wp:positionV>
            <wp:extent cx="1166495" cy="677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6495" cy="67754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 AND CEO</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FIRST RESERVE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GUILLERMO ORITZ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8351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54295" cy="183515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2010</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Compensation</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spacing w:after="0" w:line="247"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Dr. Ortiz brings to the Board international experience and a deep understanding of the Latin American region.</w:t>
      </w:r>
      <w:r>
        <w:rPr>
          <w:rFonts w:ascii="Arial" w:cs="Arial" w:eastAsia="Arial" w:hAnsi="Arial"/>
          <w:sz w:val="14"/>
          <w:szCs w:val="14"/>
          <w:b w:val="1"/>
          <w:bCs w:val="1"/>
          <w:color w:val="auto"/>
        </w:rPr>
        <w:t xml:space="preserve"> </w:t>
      </w:r>
      <w:r>
        <w:rPr>
          <w:rFonts w:ascii="Arial" w:cs="Arial" w:eastAsia="Arial" w:hAnsi="Arial"/>
          <w:sz w:val="14"/>
          <w:szCs w:val="14"/>
          <w:color w:val="818284"/>
        </w:rPr>
        <w:t>His experience in and knowledge of global banking, economics and international finance including being a member of “The Group of Thirty,” are valuable to both the Audit Committee and the Board, and have provided the Company with sound guidance on multinational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107950</wp:posOffset>
            </wp:positionV>
            <wp:extent cx="1166495" cy="780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BANORTE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835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54295" cy="183515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2013</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(Chairman)</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right="40"/>
        <w:spacing w:after="0" w:line="247"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Kalman has extensive experience in accounting and financial reporting, and has served as Chief</w:t>
      </w:r>
      <w:r>
        <w:rPr>
          <w:rFonts w:ascii="Arial" w:cs="Arial" w:eastAsia="Arial" w:hAnsi="Arial"/>
          <w:sz w:val="14"/>
          <w:szCs w:val="14"/>
          <w:b w:val="1"/>
          <w:bCs w:val="1"/>
          <w:color w:val="auto"/>
        </w:rPr>
        <w:t xml:space="preserve"> </w:t>
      </w:r>
      <w:r>
        <w:rPr>
          <w:rFonts w:ascii="Arial" w:cs="Arial" w:eastAsia="Arial" w:hAnsi="Arial"/>
          <w:sz w:val="14"/>
          <w:szCs w:val="14"/>
          <w:color w:val="818284"/>
        </w:rPr>
        <w:t>Financial Officer and as Chairman of the Audit Committee of a public company. He has comprehensive insights that benefit our Board and Audit Committee, which he now chairs. In addition, he has strong executive leadership and strategic planning experience in the international energy service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107950</wp:posOffset>
            </wp:positionV>
            <wp:extent cx="1166495" cy="883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EVP AND CFO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McDERMOTT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INTERNATIONAL,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300355</wp:posOffset>
            </wp:positionV>
            <wp:extent cx="51542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54295"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ROBERT K. MOSES, JR.</w:t>
      </w:r>
    </w:p>
    <w:p>
      <w:pPr>
        <w:sectPr>
          <w:pgSz w:w="11900" w:h="16838" w:orient="portrait"/>
          <w:cols w:equalWidth="0" w:num="1">
            <w:col w:w="10760"/>
          </w:cols>
          <w:pgMar w:left="800" w:top="505" w:right="339" w:bottom="0" w:gutter="0" w:footer="0" w:header="0"/>
        </w:sectPr>
      </w:pPr>
    </w:p>
    <w:bookmarkStart w:id="12" w:name="page13"/>
    <w:bookmarkEnd w:id="12"/>
    <w:p>
      <w:pPr>
        <w:ind w:left="2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861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61185"/>
                    </a:xfrm>
                    <a:prstGeom prst="rect">
                      <a:avLst/>
                    </a:prstGeom>
                    <a:noFill/>
                  </pic:spPr>
                </pic:pic>
              </a:graphicData>
            </a:graphic>
          </wp:anchor>
        </w:drawing>
        <w:t xml:space="preserve">DIRECTOR SINCE: </w:t>
      </w:r>
      <w:r>
        <w:rPr>
          <w:rFonts w:ascii="Arial" w:cs="Arial" w:eastAsia="Arial" w:hAnsi="Arial"/>
          <w:sz w:val="14"/>
          <w:szCs w:val="14"/>
          <w:color w:val="818284"/>
        </w:rPr>
        <w:t>1998</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Compensation; Health, Safety and Environment</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right="42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Moses’ investment experience, his extensive knowledge of the oilfield service industry, as well as his</w:t>
      </w:r>
      <w:r>
        <w:rPr>
          <w:rFonts w:ascii="Arial" w:cs="Arial" w:eastAsia="Arial" w:hAnsi="Arial"/>
          <w:sz w:val="14"/>
          <w:szCs w:val="14"/>
          <w:b w:val="1"/>
          <w:bCs w:val="1"/>
          <w:color w:val="auto"/>
        </w:rPr>
        <w:t xml:space="preserve"> </w:t>
      </w:r>
      <w:r>
        <w:rPr>
          <w:rFonts w:ascii="Arial" w:cs="Arial" w:eastAsia="Arial" w:hAnsi="Arial"/>
          <w:sz w:val="14"/>
          <w:szCs w:val="14"/>
          <w:color w:val="818284"/>
        </w:rPr>
        <w:t>institutional understanding of one of Weatherford’s most significant legacy companies, provide guidance in addressing market and strategic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501015</wp:posOffset>
            </wp:positionV>
            <wp:extent cx="1166495" cy="780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INVESTOR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BLACK JACK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RESOURCES,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7322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1987</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(Vice Chairman); Corporate Governance and Nominating</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right="62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Rayne has expertise in a wide range of sectors, including oilfield services, real estate, media, and</w:t>
      </w:r>
      <w:r>
        <w:rPr>
          <w:rFonts w:ascii="Arial" w:cs="Arial" w:eastAsia="Arial" w:hAnsi="Arial"/>
          <w:sz w:val="14"/>
          <w:szCs w:val="14"/>
          <w:b w:val="1"/>
          <w:bCs w:val="1"/>
          <w:color w:val="auto"/>
        </w:rPr>
        <w:t xml:space="preserve"> </w:t>
      </w:r>
      <w:r>
        <w:rPr>
          <w:rFonts w:ascii="Arial" w:cs="Arial" w:eastAsia="Arial" w:hAnsi="Arial"/>
          <w:sz w:val="14"/>
          <w:szCs w:val="14"/>
          <w:color w:val="818284"/>
        </w:rPr>
        <w:t>consumer and technology industries. His experience and abilities in finance, investments and leadership, and his international knowledge and diversity of expertise have been beneficial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208915</wp:posOffset>
            </wp:positionV>
            <wp:extent cx="1166495" cy="780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CEO 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LMS CAPITAL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214630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168910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60"/>
          </w:cols>
          <w:pgMar w:left="800" w:top="42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58"/>
          <w:szCs w:val="58"/>
          <w:i w:val="1"/>
          <w:iCs w:val="1"/>
          <w:color w:val="auto"/>
        </w:rPr>
        <w:t>2014 and 2015</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95250</wp:posOffset>
            </wp:positionV>
            <wp:extent cx="36277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34" w:lineRule="exact"/>
        <w:rPr>
          <w:sz w:val="20"/>
          <w:szCs w:val="20"/>
          <w:color w:val="auto"/>
        </w:rPr>
      </w:pPr>
    </w:p>
    <w:p>
      <w:pPr>
        <w:jc w:val="center"/>
        <w:ind w:left="260" w:right="80"/>
        <w:spacing w:after="0" w:line="260" w:lineRule="auto"/>
        <w:rPr>
          <w:sz w:val="20"/>
          <w:szCs w:val="20"/>
          <w:color w:val="auto"/>
        </w:rPr>
      </w:pPr>
      <w:r>
        <w:rPr>
          <w:rFonts w:ascii="Arial" w:cs="Arial" w:eastAsia="Arial" w:hAnsi="Arial"/>
          <w:sz w:val="16"/>
          <w:szCs w:val="16"/>
          <w:color w:val="auto"/>
        </w:rPr>
        <w:t>The Board recognizes strong corporate governance as the basis for guiding our Company. We focus on long-term, value-based sustainable success, and our Board continues to review and enhance our governance policies in response to best practices and shareholder feedback.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60" w:type="dxa"/>
            <w:vAlign w:val="bottom"/>
            <w:tcBorders>
              <w:top w:val="single" w:sz="8" w:color="818284"/>
            </w:tcBorders>
            <w:gridSpan w:val="2"/>
          </w:tcPr>
          <w:p>
            <w:pPr>
              <w:spacing w:after="0"/>
              <w:rPr>
                <w:sz w:val="20"/>
                <w:szCs w:val="20"/>
                <w:color w:val="auto"/>
              </w:rPr>
            </w:pPr>
            <w:r>
              <w:rPr>
                <w:rFonts w:ascii="Arial" w:cs="Arial" w:eastAsia="Arial" w:hAnsi="Arial"/>
                <w:sz w:val="16"/>
                <w:szCs w:val="16"/>
                <w:b w:val="1"/>
                <w:bCs w:val="1"/>
                <w:color w:val="CE0D41"/>
              </w:rPr>
              <w:t>2015 DIRECTOR NOMINEE</w:t>
            </w:r>
          </w:p>
        </w:tc>
        <w:tc>
          <w:tcPr>
            <w:tcW w:w="8760" w:type="dxa"/>
            <w:vAlign w:val="bottom"/>
            <w:tcBorders>
              <w:top w:val="single" w:sz="8" w:color="818284"/>
            </w:tcBorders>
          </w:tcPr>
          <w:p>
            <w:pPr>
              <w:ind w:left="440"/>
              <w:spacing w:after="0"/>
              <w:rPr>
                <w:sz w:val="20"/>
                <w:szCs w:val="20"/>
                <w:color w:val="auto"/>
              </w:rPr>
            </w:pPr>
            <w:r>
              <w:rPr>
                <w:rFonts w:ascii="Arial" w:cs="Arial" w:eastAsia="Arial" w:hAnsi="Arial"/>
                <w:sz w:val="16"/>
                <w:szCs w:val="16"/>
                <w:color w:val="auto"/>
              </w:rPr>
              <w:t>Mohamed A. Awad joined the Board in 2014, bringing vast Middle East expertise to our boardroom and increasing</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818284"/>
            </w:tcBorders>
          </w:tcPr>
          <w:p>
            <w:pPr>
              <w:spacing w:after="0"/>
              <w:rPr>
                <w:sz w:val="16"/>
                <w:szCs w:val="16"/>
                <w:color w:val="auto"/>
              </w:rPr>
            </w:pPr>
          </w:p>
        </w:tc>
        <w:tc>
          <w:tcPr>
            <w:tcW w:w="8760" w:type="dxa"/>
            <w:vAlign w:val="bottom"/>
            <w:tcBorders>
              <w:bottom w:val="single" w:sz="8" w:color="818284"/>
            </w:tcBorders>
          </w:tcPr>
          <w:p>
            <w:pPr>
              <w:ind w:left="440"/>
              <w:spacing w:after="0"/>
              <w:rPr>
                <w:sz w:val="20"/>
                <w:szCs w:val="20"/>
                <w:color w:val="auto"/>
              </w:rPr>
            </w:pPr>
            <w:r>
              <w:rPr>
                <w:rFonts w:ascii="Arial" w:cs="Arial" w:eastAsia="Arial" w:hAnsi="Arial"/>
                <w:sz w:val="16"/>
                <w:szCs w:val="16"/>
                <w:color w:val="auto"/>
              </w:rPr>
              <w:t>the size of our Board from 9 to 10 directors.</w:t>
            </w:r>
          </w:p>
        </w:tc>
      </w:tr>
      <w:tr>
        <w:trPr>
          <w:trHeight w:val="184"/>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CE0D41"/>
              </w:rPr>
              <w:t>SHAREHOLDER OUTREACH</w:t>
            </w:r>
          </w:p>
        </w:tc>
        <w:tc>
          <w:tcPr>
            <w:tcW w:w="8760" w:type="dxa"/>
            <w:vAlign w:val="bottom"/>
          </w:tcPr>
          <w:p>
            <w:pPr>
              <w:ind w:left="440"/>
              <w:spacing w:after="0"/>
              <w:rPr>
                <w:sz w:val="20"/>
                <w:szCs w:val="20"/>
                <w:color w:val="auto"/>
              </w:rPr>
            </w:pPr>
            <w:r>
              <w:rPr>
                <w:rFonts w:ascii="Arial" w:cs="Arial" w:eastAsia="Arial" w:hAnsi="Arial"/>
                <w:sz w:val="16"/>
                <w:szCs w:val="16"/>
                <w:color w:val="auto"/>
              </w:rPr>
              <w:t>Since our last annual general meeting, holders of approximately 73% of the Company’s outstanding shares have</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818284"/>
            </w:tcBorders>
          </w:tcPr>
          <w:p>
            <w:pPr>
              <w:spacing w:after="0"/>
              <w:rPr>
                <w:sz w:val="16"/>
                <w:szCs w:val="16"/>
                <w:color w:val="auto"/>
              </w:rPr>
            </w:pPr>
          </w:p>
        </w:tc>
        <w:tc>
          <w:tcPr>
            <w:tcW w:w="8760" w:type="dxa"/>
            <w:vAlign w:val="bottom"/>
            <w:tcBorders>
              <w:bottom w:val="single" w:sz="8" w:color="818284"/>
            </w:tcBorders>
          </w:tcPr>
          <w:p>
            <w:pPr>
              <w:ind w:left="440"/>
              <w:spacing w:after="0"/>
              <w:rPr>
                <w:sz w:val="20"/>
                <w:szCs w:val="20"/>
                <w:color w:val="auto"/>
              </w:rPr>
            </w:pPr>
            <w:r>
              <w:rPr>
                <w:rFonts w:ascii="Arial" w:cs="Arial" w:eastAsia="Arial" w:hAnsi="Arial"/>
                <w:sz w:val="16"/>
                <w:szCs w:val="16"/>
                <w:color w:val="auto"/>
              </w:rPr>
              <w:t>been contacted to discuss corporate governance, compensation and other topics.</w:t>
            </w:r>
          </w:p>
        </w:tc>
      </w:tr>
      <w:tr>
        <w:trPr>
          <w:trHeight w:val="184"/>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CE0D41"/>
              </w:rPr>
              <w:t>COMPENSATION</w:t>
            </w:r>
          </w:p>
        </w:tc>
        <w:tc>
          <w:tcPr>
            <w:tcW w:w="8760" w:type="dxa"/>
            <w:vAlign w:val="bottom"/>
          </w:tcPr>
          <w:p>
            <w:pPr>
              <w:ind w:left="440"/>
              <w:spacing w:after="0"/>
              <w:rPr>
                <w:sz w:val="20"/>
                <w:szCs w:val="20"/>
                <w:color w:val="auto"/>
              </w:rPr>
            </w:pPr>
            <w:r>
              <w:rPr>
                <w:rFonts w:ascii="Arial" w:cs="Arial" w:eastAsia="Arial" w:hAnsi="Arial"/>
                <w:sz w:val="16"/>
                <w:szCs w:val="16"/>
                <w:color w:val="auto"/>
              </w:rPr>
              <w:t>In response to constructive dialogue with our shareholders, the Board and its Compensation Committee have</w:t>
            </w:r>
          </w:p>
        </w:tc>
      </w:t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760" w:type="dxa"/>
            <w:vAlign w:val="bottom"/>
          </w:tcPr>
          <w:p>
            <w:pPr>
              <w:ind w:left="440"/>
              <w:spacing w:after="0"/>
              <w:rPr>
                <w:sz w:val="20"/>
                <w:szCs w:val="20"/>
                <w:color w:val="auto"/>
              </w:rPr>
            </w:pPr>
            <w:r>
              <w:rPr>
                <w:rFonts w:ascii="Arial" w:cs="Arial" w:eastAsia="Arial" w:hAnsi="Arial"/>
                <w:sz w:val="16"/>
                <w:szCs w:val="16"/>
                <w:color w:val="auto"/>
              </w:rPr>
              <w:t>approved the following important changes to our executive compensation program:</w:t>
            </w:r>
          </w:p>
        </w:tc>
      </w:t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Elimination of employment agreements with future executive officers</w:t>
            </w: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Introduction of 2015 annual cash incentives tied to peer performance</w:t>
            </w: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Subject to shareholder approval, amendment of our 2010 Omnibus Plan to prohibit buying out underwater stock</w:t>
            </w: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760" w:type="dxa"/>
            <w:vAlign w:val="bottom"/>
          </w:tcPr>
          <w:p>
            <w:pPr>
              <w:ind w:left="680"/>
              <w:spacing w:after="0"/>
              <w:rPr>
                <w:sz w:val="20"/>
                <w:szCs w:val="20"/>
                <w:color w:val="auto"/>
              </w:rPr>
            </w:pPr>
            <w:r>
              <w:rPr>
                <w:rFonts w:ascii="Arial" w:cs="Arial" w:eastAsia="Arial" w:hAnsi="Arial"/>
                <w:sz w:val="16"/>
                <w:szCs w:val="16"/>
                <w:color w:val="auto"/>
              </w:rPr>
              <w:t>options and stock appreciation rights without shareholder approval</w:t>
            </w:r>
          </w:p>
        </w:tc>
      </w:t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A change in how our 2015 performance units are measured by now utilizing a one-month average share price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6"/>
                <w:szCs w:val="16"/>
                <w:color w:val="auto"/>
              </w:rPr>
              <w:t>Increase the ratio of performance-based awards compared to awards granted in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-852805</wp:posOffset>
            </wp:positionV>
            <wp:extent cx="10287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-698500</wp:posOffset>
            </wp:positionV>
            <wp:extent cx="10287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-544195</wp:posOffset>
            </wp:positionV>
            <wp:extent cx="10287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-269875</wp:posOffset>
            </wp:positionV>
            <wp:extent cx="10287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-132715</wp:posOffset>
            </wp:positionV>
            <wp:extent cx="10287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71" w:lineRule="exact"/>
        <w:rPr>
          <w:sz w:val="20"/>
          <w:szCs w:val="20"/>
          <w:color w:val="auto"/>
        </w:rPr>
      </w:pPr>
    </w:p>
    <w:p>
      <w:pPr>
        <w:ind w:right="4640"/>
        <w:spacing w:after="0" w:line="283" w:lineRule="auto"/>
        <w:rPr>
          <w:sz w:val="20"/>
          <w:szCs w:val="20"/>
          <w:color w:val="auto"/>
        </w:rPr>
      </w:pPr>
      <w:r>
        <w:rPr>
          <w:rFonts w:ascii="Arial" w:cs="Arial" w:eastAsia="Arial" w:hAnsi="Arial"/>
          <w:sz w:val="64"/>
          <w:szCs w:val="64"/>
          <w:b w:val="1"/>
          <w:bCs w:val="1"/>
          <w:color w:val="CE0D41"/>
        </w:rPr>
        <w:t>INSIGHTS ON BOARD EFFECTIVENESS</w:t>
      </w:r>
    </w:p>
    <w:p>
      <w:pPr>
        <w:spacing w:after="0" w:line="24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believe our Board has the right mix of individuals and that our directors collectively have the skills, abilities and unwavering commitment to consistently act in the best interests of the Company and our shareholders. The following are certain attributes that qualify our board to serve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DIVERSITY OF SKILLS AND EXPERTISE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Our Board seeks diversity in the broadest sense – of culture, background, outlook and experience – to bring together multiple, complementary perspectives.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nominees offer a diverse range of skills and experience in relevant areas, including finance, exploration and production as well as oilfield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58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DIVERSITY OF EXPERIENCE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As shown by the highlighted areas in the map below, our directors have significant business experience within domestic, international and global markets.</w:t>
      </w:r>
    </w:p>
    <w:p>
      <w:pPr>
        <w:sectPr>
          <w:pgSz w:w="11900" w:h="16838" w:orient="portrait"/>
          <w:cols w:equalWidth="0" w:num="1">
            <w:col w:w="11420"/>
          </w:cols>
          <w:pgMar w:left="240" w:top="386"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9894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15" w:name="page16"/>
    <w:bookmarkEnd w:id="15"/>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INDEPENDENT JUDGMENT AND ACTION</w:t>
      </w:r>
    </w:p>
    <w:p>
      <w:pPr>
        <w:spacing w:after="0" w:line="37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Nine of our 10 directors are independent of the Company and its management. Furthermore, our directors exercise independent judgment on issues that are critical to the Company, including strategy, performance, governance and sustainability. Our boardroom is comprised of individuals who constructively and continuously challenge the Company’s strategy and drive improvement.</w:t>
      </w:r>
    </w:p>
    <w:p>
      <w:pPr>
        <w:spacing w:after="0" w:line="17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Weatherford’s Board values independence of action and, within a framework of collegiality and often under challenging circumstances, our directors have shown individual tenacity, while functioning effectively as a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DUTIES AND COMMITMENTS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Our Board strives to ensure that Weatherford’s business affairs are managed in an effective and accountable manner which drives your long-term interests.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High standards of corporate governance are central to establishing and maintaining the trust and confidence of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Board regularly reviews its effectiveness and understands the need for Board and Committee “refreshment” and to add directors with diverse experiences.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a result, five new directors have joined the Board in the last five years, and we expect new directors will continue to join the Board in the future.</w:t>
      </w:r>
    </w:p>
    <w:p>
      <w:pPr>
        <w:spacing w:after="0" w:line="194"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As a part of our “refreshment” program, Mr. Kalman took over in 2014 as Chair of our Audit Committee, which he previously co-chaired alongside our present Vice Chairman, Mr. Rayne. Their combined efforts, along with other Committee and Board members, led to the successful resolution of Weatherford’s legacy tax and compliance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DIRECTOR ORIENTATION AND SITE VISITS</w:t>
      </w:r>
    </w:p>
    <w:p>
      <w:pPr>
        <w:spacing w:after="0" w:line="37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Upon joining our Board, each new Weatherford director attends a detailed orientation program. This includes meetings with management and site visits to operations and manufacturing facilities.</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directors believe site visits are essential to understanding the Company and its operations. In 2014 through early 2015, directors participated in the equivalent of two full weeks of site visits. These are not merely “drive-by” visits, rather, they involve meetings with local management, staff and clients, as well as listening and learning directly from the field. Facilities visited in 2014 and 2015 include Aberdeen, Abu Dhabi, Dubai, Egypt, Houston, San Antonio and Singapore. Upon return, our directors share their observations with the full Board and, where appropriate, with one or more Committees.</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Our directors also continue their education and Company exposure after joining the Board. The Board and Committees conduct annual self-evaluations and oversee a review of core governance best practices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322820" cy="2667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2820" cy="2667000"/>
                    </a:xfrm>
                    <a:prstGeom prst="rect">
                      <a:avLst/>
                    </a:prstGeom>
                    <a:noFill/>
                  </pic:spPr>
                </pic:pic>
              </a:graphicData>
            </a:graphic>
          </wp:anchor>
        </w:drawing>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CE0D41"/>
        </w:rPr>
        <w:t>RESPONSIVENESS TO SHAREHOLDERS</w:t>
      </w:r>
    </w:p>
    <w:p>
      <w:pPr>
        <w:spacing w:after="0" w:line="330"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Weatherford is strongly committed to shareholder outreach, which is supported and overseen by the Board. Our directors are prepared to meet with our shareholders, and do so from time to time. On occasion, members of our Board have met with shareholders either telephonically or in person to discuss Weatherford’s compensation and governance practices. The Chief Financial Officer and Vice President of Investor Relations are also in frequent communication with shareholders on these matters. The Company’s interactions with shareholders have been meaningful and provided useful feedback on our compensation program and governance practices. Our Board and all appropriate Committees are informed of shareholder feedback, and pay careful attention to input. To ensure that we address our investors’ concerns and considerations, the feedback is summarized and presented to the Board and applicable Committees. Since our 2014 Annual General Meeting, the Company reached out to holders of approximately 73% of our shares and received valuable feedback. As a result of our ongoing shareholder outreach, emphasis on aligning pay with performance and incorporating best practices, the Compensation Committee adopted changes to our policies.</w:t>
      </w:r>
    </w:p>
    <w:p>
      <w:pPr>
        <w:spacing w:after="0" w:line="180" w:lineRule="exact"/>
        <w:rPr>
          <w:sz w:val="20"/>
          <w:szCs w:val="20"/>
          <w:color w:val="auto"/>
        </w:rPr>
      </w:pPr>
    </w:p>
    <w:p>
      <w:pPr>
        <w:ind w:left="160" w:right="160"/>
        <w:spacing w:after="0" w:line="251" w:lineRule="auto"/>
        <w:rPr>
          <w:sz w:val="20"/>
          <w:szCs w:val="20"/>
          <w:color w:val="auto"/>
        </w:rPr>
      </w:pPr>
      <w:r>
        <w:rPr>
          <w:rFonts w:ascii="Arial" w:cs="Arial" w:eastAsia="Arial" w:hAnsi="Arial"/>
          <w:sz w:val="16"/>
          <w:szCs w:val="16"/>
          <w:color w:val="auto"/>
        </w:rPr>
        <w:t>We adapted our compensation practices to no longer enter into employment agreements with future executive officers. In addition, we also changed how our 2015 performance units are measured to reflect a monthly average share price versus a one-day price. Our 2015 annual cash incentives are now also tied to relative peer performance. Finally, subject to shareholder approval, we propose an amendment to our 2010 Omnibus Plan that prohibits “buying out” underwater stock options and stock appreciation rights without shareholder approval.</w:t>
      </w:r>
    </w:p>
    <w:p>
      <w:pPr>
        <w:spacing w:after="0" w:line="176" w:lineRule="exact"/>
        <w:rPr>
          <w:sz w:val="20"/>
          <w:szCs w:val="20"/>
          <w:color w:val="auto"/>
        </w:rPr>
      </w:pPr>
    </w:p>
    <w:p>
      <w:pPr>
        <w:ind w:left="160" w:right="460"/>
        <w:spacing w:after="0" w:line="260" w:lineRule="auto"/>
        <w:rPr>
          <w:sz w:val="20"/>
          <w:szCs w:val="20"/>
          <w:color w:val="auto"/>
        </w:rPr>
      </w:pPr>
      <w:r>
        <w:rPr>
          <w:rFonts w:ascii="Arial" w:cs="Arial" w:eastAsia="Arial" w:hAnsi="Arial"/>
          <w:sz w:val="16"/>
          <w:szCs w:val="16"/>
          <w:color w:val="auto"/>
        </w:rPr>
        <w:t>During the course of our outreach to shareholders, a majority expressed support for our enhancements to our compensation policies and practices and approve of the new long-term changes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CEO SHARE OWNERSHIP</w:t>
      </w:r>
    </w:p>
    <w:p>
      <w:pPr>
        <w:spacing w:after="0" w:line="37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At Weatherford, we believe that share ownership by our leadership is another way to foster strong alignment with our shareholders. We require our executive officers to own three times, and our CEO to own at least six times, their annual base salary; our CEO currently owns more than 10 times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65"/>
          <w:szCs w:val="65"/>
          <w:b w:val="1"/>
          <w:bCs w:val="1"/>
          <w:color w:val="auto"/>
        </w:rPr>
        <w:t>A TIMELINE OF OUR</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58"/>
          <w:szCs w:val="58"/>
          <w:i w:val="1"/>
          <w:iCs w:val="1"/>
          <w:color w:val="auto"/>
        </w:rPr>
        <w:t>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36277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818284"/>
        </w:rPr>
        <w:t>We have effectively reached our 2014 transformational objectives and made progress on many fronts. We have strengthened our core, implemented cost efficiencies and embedded a culture of cash, along with improvements in our corporate governance and compliance practices. Together, we built a solid foundation upon which to move forward. Below is a timeline highlighting key actions taken by your Board and management to best position Weatherford on a long-term financially rewarding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7186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7186295"/>
                    </a:xfrm>
                    <a:prstGeom prst="rect">
                      <a:avLst/>
                    </a:prstGeom>
                    <a:noFill/>
                  </pic:spPr>
                </pic:pic>
              </a:graphicData>
            </a:graphic>
          </wp:anchor>
        </w:drawing>
      </w:r>
    </w:p>
    <w:p>
      <w:pPr>
        <w:sectPr>
          <w:pgSz w:w="11900" w:h="16838" w:orient="portrait"/>
          <w:cols w:equalWidth="0" w:num="1">
            <w:col w:w="11360"/>
          </w:cols>
          <w:pgMar w:left="240" w:top="34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KEY ACCOMPLISHMENTS</w:t>
      </w:r>
    </w:p>
    <w:p>
      <w:pPr>
        <w:spacing w:after="0" w:line="235"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Conclusion of multiple U.S. government investigations</w:t>
      </w:r>
    </w:p>
    <w:p>
      <w:pPr>
        <w:spacing w:after="0" w:line="92" w:lineRule="exact"/>
        <w:rPr>
          <w:sz w:val="20"/>
          <w:szCs w:val="20"/>
          <w:color w:val="auto"/>
        </w:rPr>
      </w:pPr>
    </w:p>
    <w:p>
      <w:pPr>
        <w:ind w:left="200" w:right="1260" w:hanging="197"/>
        <w:spacing w:after="0"/>
        <w:rPr>
          <w:sz w:val="20"/>
          <w:szCs w:val="20"/>
          <w:color w:val="auto"/>
        </w:rPr>
      </w:pPr>
      <w:r>
        <w:rPr>
          <w:sz w:val="1"/>
          <w:szCs w:val="1"/>
          <w:color w:val="auto"/>
        </w:rPr>
        <w:drawing>
          <wp:inline distT="0" distB="0" distL="0" distR="0">
            <wp:extent cx="102870" cy="1028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Settlement of shareholder class action (</w:t>
      </w:r>
      <w:r>
        <w:rPr>
          <w:rFonts w:ascii="Arial" w:cs="Arial" w:eastAsia="Arial" w:hAnsi="Arial"/>
          <w:sz w:val="14"/>
          <w:szCs w:val="14"/>
          <w:i w:val="1"/>
          <w:iCs w:val="1"/>
          <w:color w:val="auto"/>
        </w:rPr>
        <w:t>Dobina</w:t>
      </w:r>
      <w:r>
        <w:rPr>
          <w:rFonts w:ascii="Arial" w:cs="Arial" w:eastAsia="Arial" w:hAnsi="Arial"/>
          <w:sz w:val="14"/>
          <w:szCs w:val="14"/>
          <w:color w:val="auto"/>
        </w:rPr>
        <w:t>) regarding material weakness in income tax accounting</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Achieved target of $602 million in annualized cost savings, above target</w:t>
      </w:r>
    </w:p>
    <w:p>
      <w:pPr>
        <w:spacing w:after="0" w:line="92" w:lineRule="exact"/>
        <w:rPr>
          <w:sz w:val="20"/>
          <w:szCs w:val="20"/>
          <w:color w:val="auto"/>
        </w:rPr>
      </w:pPr>
    </w:p>
    <w:p>
      <w:pPr>
        <w:ind w:left="200" w:right="860" w:hanging="197"/>
        <w:spacing w:after="0"/>
        <w:rPr>
          <w:sz w:val="20"/>
          <w:szCs w:val="20"/>
          <w:color w:val="auto"/>
        </w:rPr>
      </w:pPr>
      <w:r>
        <w:rPr>
          <w:sz w:val="1"/>
          <w:szCs w:val="1"/>
          <w:color w:val="auto"/>
        </w:rPr>
        <w:drawing>
          <wp:inline distT="0" distB="0" distL="0" distR="0">
            <wp:extent cx="102870" cy="10287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Total cash divestiture proceeds of over $1.7 billion significantly exceeded target of $1 billion</w:t>
      </w:r>
    </w:p>
    <w:p>
      <w:pPr>
        <w:spacing w:after="0" w:line="80" w:lineRule="exact"/>
        <w:rPr>
          <w:sz w:val="20"/>
          <w:szCs w:val="20"/>
          <w:color w:val="auto"/>
        </w:rPr>
      </w:pPr>
    </w:p>
    <w:p>
      <w:pPr>
        <w:ind w:left="200" w:right="840" w:hanging="197"/>
        <w:spacing w:after="0"/>
        <w:rPr>
          <w:sz w:val="20"/>
          <w:szCs w:val="20"/>
          <w:color w:val="auto"/>
        </w:rPr>
      </w:pPr>
      <w:r>
        <w:rPr>
          <w:sz w:val="1"/>
          <w:szCs w:val="1"/>
          <w:color w:val="auto"/>
        </w:rPr>
        <w:drawing>
          <wp:inline distT="0" distB="0" distL="0" distR="0">
            <wp:extent cx="102870" cy="1028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With these proceeds, decreased net debt by $1.2 billion exceeding target of $800 million</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Improved non-GAAP earnings per share by over 60% year-over-year</w:t>
      </w:r>
    </w:p>
    <w:p>
      <w:pPr>
        <w:spacing w:after="0" w:line="92" w:lineRule="exact"/>
        <w:rPr>
          <w:sz w:val="20"/>
          <w:szCs w:val="20"/>
          <w:color w:val="auto"/>
        </w:rPr>
      </w:pPr>
    </w:p>
    <w:p>
      <w:pPr>
        <w:ind w:right="2620"/>
        <w:spacing w:after="0" w:line="403" w:lineRule="auto"/>
        <w:rPr>
          <w:sz w:val="20"/>
          <w:szCs w:val="20"/>
          <w:color w:val="auto"/>
        </w:rPr>
      </w:pPr>
      <w:r>
        <w:rPr>
          <w:sz w:val="1"/>
          <w:szCs w:val="1"/>
          <w:color w:val="auto"/>
        </w:rPr>
        <w:drawing>
          <wp:inline distT="0" distB="0" distL="0" distR="0">
            <wp:extent cx="102870" cy="10287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Improved free cash flow from operations </w:t>
      </w:r>
      <w:r>
        <w:rPr>
          <w:sz w:val="1"/>
          <w:szCs w:val="1"/>
          <w:color w:val="auto"/>
        </w:rPr>
        <w:drawing>
          <wp:inline distT="0" distB="0" distL="0" distR="0">
            <wp:extent cx="102870" cy="1028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Achieved highest safety record in our history:</w:t>
      </w:r>
    </w:p>
    <w:p>
      <w:pPr>
        <w:spacing w:after="0" w:line="1" w:lineRule="exact"/>
        <w:rPr>
          <w:sz w:val="20"/>
          <w:szCs w:val="20"/>
          <w:color w:val="auto"/>
        </w:rPr>
      </w:pPr>
    </w:p>
    <w:p>
      <w:pPr>
        <w:ind w:left="380" w:hanging="138"/>
        <w:spacing w:after="0"/>
        <w:tabs>
          <w:tab w:leader="none" w:pos="380" w:val="left"/>
        </w:tabs>
        <w:numPr>
          <w:ilvl w:val="0"/>
          <w:numId w:val="13"/>
        </w:numPr>
        <w:rPr>
          <w:rFonts w:ascii="Arial" w:cs="Arial" w:eastAsia="Arial" w:hAnsi="Arial"/>
          <w:sz w:val="14"/>
          <w:szCs w:val="14"/>
          <w:color w:val="CE0D41"/>
        </w:rPr>
      </w:pPr>
      <w:r>
        <w:rPr>
          <w:rFonts w:ascii="Arial" w:cs="Arial" w:eastAsia="Arial" w:hAnsi="Arial"/>
          <w:sz w:val="14"/>
          <w:szCs w:val="14"/>
          <w:color w:val="auto"/>
        </w:rPr>
        <w:t>LTIR/PVIR:0.13/0.53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317309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260"/>
        <w:spacing w:after="0" w:line="286" w:lineRule="auto"/>
        <w:rPr>
          <w:sz w:val="20"/>
          <w:szCs w:val="20"/>
          <w:color w:val="auto"/>
        </w:rPr>
      </w:pPr>
      <w:r>
        <w:rPr>
          <w:rFonts w:ascii="Arial" w:cs="Arial" w:eastAsia="Arial" w:hAnsi="Arial"/>
          <w:sz w:val="32"/>
          <w:szCs w:val="32"/>
          <w:b w:val="1"/>
          <w:bCs w:val="1"/>
          <w:color w:val="CE0D41"/>
        </w:rPr>
        <w:t>OPPORTUNITIES AND CHALLENGES</w:t>
      </w:r>
    </w:p>
    <w:p>
      <w:pPr>
        <w:spacing w:after="0" w:line="105" w:lineRule="exact"/>
        <w:rPr>
          <w:sz w:val="20"/>
          <w:szCs w:val="20"/>
          <w:color w:val="auto"/>
        </w:rPr>
      </w:pPr>
    </w:p>
    <w:p>
      <w:pPr>
        <w:ind w:left="200" w:right="1020" w:hanging="197"/>
        <w:spacing w:after="0"/>
        <w:rPr>
          <w:sz w:val="20"/>
          <w:szCs w:val="20"/>
          <w:color w:val="auto"/>
        </w:rPr>
      </w:pPr>
      <w:r>
        <w:rPr>
          <w:sz w:val="1"/>
          <w:szCs w:val="1"/>
          <w:color w:val="auto"/>
        </w:rPr>
        <w:drawing>
          <wp:inline distT="0" distB="0" distL="0" distR="0">
            <wp:extent cx="102870" cy="1028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Remediation of material weakness in internal controls over income tax accounting</w:t>
      </w:r>
    </w:p>
    <w:p>
      <w:pPr>
        <w:spacing w:after="0" w:line="80" w:lineRule="exact"/>
        <w:rPr>
          <w:sz w:val="20"/>
          <w:szCs w:val="20"/>
          <w:color w:val="auto"/>
        </w:rPr>
      </w:pPr>
    </w:p>
    <w:p>
      <w:pPr>
        <w:jc w:val="both"/>
        <w:ind w:left="200" w:right="900" w:hanging="197"/>
        <w:spacing w:after="0"/>
        <w:rPr>
          <w:sz w:val="20"/>
          <w:szCs w:val="20"/>
          <w:color w:val="auto"/>
        </w:rPr>
      </w:pPr>
      <w:r>
        <w:rPr>
          <w:sz w:val="1"/>
          <w:szCs w:val="1"/>
          <w:color w:val="auto"/>
        </w:rPr>
        <w:drawing>
          <wp:inline distT="0" distB="0" distL="0" distR="0">
            <wp:extent cx="102870" cy="1028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Implementation of operational and financial objectives focusing on core businesses, lowering costs, monetizing and exiting non-core businesses while improving cash flow and capital efficiency</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Named new CFO Krishna Shivram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200" w:right="920" w:hanging="197"/>
        <w:spacing w:after="0"/>
        <w:rPr>
          <w:sz w:val="20"/>
          <w:szCs w:val="20"/>
          <w:color w:val="auto"/>
        </w:rPr>
      </w:pPr>
      <w:r>
        <w:rPr>
          <w:sz w:val="1"/>
          <w:szCs w:val="1"/>
          <w:color w:val="auto"/>
        </w:rPr>
        <w:drawing>
          <wp:inline distT="0" distB="0" distL="0" distR="0">
            <wp:extent cx="94615" cy="85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Weatherford continues to experience difficulties related to administrative inefficiencies</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94615" cy="857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July 2012: 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Tax Restatement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February 2012: 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Tax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right="1000" w:hanging="197"/>
        <w:spacing w:after="0"/>
        <w:rPr>
          <w:sz w:val="20"/>
          <w:szCs w:val="20"/>
          <w:color w:val="auto"/>
        </w:rPr>
      </w:pPr>
      <w:r>
        <w:rPr>
          <w:sz w:val="1"/>
          <w:szCs w:val="1"/>
          <w:color w:val="auto"/>
        </w:rPr>
        <w:drawing>
          <wp:inline distT="0" distB="0" distL="0" distR="0">
            <wp:extent cx="94615" cy="857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Weatherford experiences difficulties related to inefficiencies born out of years of uninhibited growth</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94615" cy="857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March 2011: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Tax Restatement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In the 20 years since inception, CAGR for the stock delivered close to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RESPONSIVE BOARD ACTIONS</w:t>
      </w:r>
    </w:p>
    <w:p>
      <w:pPr>
        <w:spacing w:after="0" w:line="235" w:lineRule="exact"/>
        <w:rPr>
          <w:sz w:val="20"/>
          <w:szCs w:val="20"/>
          <w:color w:val="auto"/>
        </w:rPr>
      </w:pPr>
    </w:p>
    <w:p>
      <w:pPr>
        <w:ind w:left="200" w:right="320" w:hanging="197"/>
        <w:spacing w:after="0"/>
        <w:rPr>
          <w:sz w:val="20"/>
          <w:szCs w:val="20"/>
          <w:color w:val="auto"/>
        </w:rPr>
      </w:pPr>
      <w:r>
        <w:rPr>
          <w:sz w:val="1"/>
          <w:szCs w:val="1"/>
          <w:color w:val="auto"/>
        </w:rPr>
        <w:drawing>
          <wp:inline distT="0" distB="0" distL="0" distR="0">
            <wp:extent cx="102870" cy="1028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Appointed Mohamed A. Awad as a member of the Board of Directors, increasing Board size to 10 members</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Changes to Executive Compensation Plan:</w:t>
      </w:r>
    </w:p>
    <w:p>
      <w:pPr>
        <w:spacing w:after="0" w:line="97" w:lineRule="exact"/>
        <w:rPr>
          <w:sz w:val="20"/>
          <w:szCs w:val="20"/>
          <w:color w:val="auto"/>
        </w:rPr>
      </w:pPr>
    </w:p>
    <w:p>
      <w:pPr>
        <w:ind w:left="340" w:hanging="139"/>
        <w:spacing w:after="0"/>
        <w:tabs>
          <w:tab w:leader="none" w:pos="340"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Elimination of employment agreements with future executive officers</w:t>
      </w:r>
    </w:p>
    <w:p>
      <w:pPr>
        <w:spacing w:after="0" w:line="95" w:lineRule="exact"/>
        <w:rPr>
          <w:rFonts w:ascii="Arial" w:cs="Arial" w:eastAsia="Arial" w:hAnsi="Arial"/>
          <w:sz w:val="14"/>
          <w:szCs w:val="14"/>
          <w:color w:val="CE0D41"/>
        </w:rPr>
      </w:pPr>
    </w:p>
    <w:p>
      <w:pPr>
        <w:ind w:left="320" w:hanging="119"/>
        <w:spacing w:after="0"/>
        <w:tabs>
          <w:tab w:leader="none" w:pos="320"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Tied annual cash incentive to peer-based performance</w:t>
      </w:r>
    </w:p>
    <w:p>
      <w:pPr>
        <w:spacing w:after="0" w:line="95" w:lineRule="exact"/>
        <w:rPr>
          <w:rFonts w:ascii="Arial" w:cs="Arial" w:eastAsia="Arial" w:hAnsi="Arial"/>
          <w:sz w:val="14"/>
          <w:szCs w:val="14"/>
          <w:color w:val="CE0D41"/>
        </w:rPr>
      </w:pPr>
    </w:p>
    <w:p>
      <w:pPr>
        <w:ind w:left="340" w:right="60" w:hanging="139"/>
        <w:spacing w:after="0" w:line="250" w:lineRule="auto"/>
        <w:tabs>
          <w:tab w:leader="none" w:pos="326"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Proposed 2010 Omnibus Plan amendment to remove the option to buy out underwater options or share appreciation rights without shareholder approval</w:t>
      </w:r>
    </w:p>
    <w:p>
      <w:pPr>
        <w:spacing w:after="0" w:line="77" w:lineRule="exact"/>
        <w:rPr>
          <w:rFonts w:ascii="Arial" w:cs="Arial" w:eastAsia="Arial" w:hAnsi="Arial"/>
          <w:sz w:val="14"/>
          <w:szCs w:val="14"/>
          <w:color w:val="CE0D41"/>
        </w:rPr>
      </w:pPr>
    </w:p>
    <w:p>
      <w:pPr>
        <w:ind w:left="340" w:right="160" w:hanging="139"/>
        <w:spacing w:after="0" w:line="258" w:lineRule="auto"/>
        <w:tabs>
          <w:tab w:leader="none" w:pos="326"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Changed performance units share price measurement from a one-day basis to a one-month basis</w:t>
      </w:r>
    </w:p>
    <w:p>
      <w:pPr>
        <w:spacing w:after="0" w:line="68" w:lineRule="exact"/>
        <w:rPr>
          <w:sz w:val="20"/>
          <w:szCs w:val="20"/>
          <w:color w:val="auto"/>
        </w:rPr>
      </w:pPr>
    </w:p>
    <w:p>
      <w:pPr>
        <w:ind w:left="200" w:right="240" w:hanging="197"/>
        <w:spacing w:after="0"/>
        <w:rPr>
          <w:sz w:val="20"/>
          <w:szCs w:val="20"/>
          <w:color w:val="auto"/>
        </w:rPr>
      </w:pPr>
      <w:r>
        <w:rPr>
          <w:sz w:val="1"/>
          <w:szCs w:val="1"/>
          <w:color w:val="auto"/>
        </w:rPr>
        <w:drawing>
          <wp:inline distT="0" distB="0" distL="0" distR="0">
            <wp:extent cx="102870" cy="1028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Extensive new director orientation and annual director training and site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317309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BOARD ACTIVITIES</w:t>
      </w:r>
    </w:p>
    <w:p>
      <w:pPr>
        <w:spacing w:after="0" w:line="235" w:lineRule="exact"/>
        <w:rPr>
          <w:sz w:val="20"/>
          <w:szCs w:val="20"/>
          <w:color w:val="auto"/>
        </w:rPr>
      </w:pPr>
    </w:p>
    <w:p>
      <w:pPr>
        <w:ind w:left="200" w:right="260" w:hanging="197"/>
        <w:spacing w:after="0"/>
        <w:rPr>
          <w:sz w:val="20"/>
          <w:szCs w:val="20"/>
          <w:color w:val="auto"/>
        </w:rPr>
      </w:pPr>
      <w:r>
        <w:rPr>
          <w:sz w:val="1"/>
          <w:szCs w:val="1"/>
          <w:color w:val="auto"/>
        </w:rPr>
        <w:drawing>
          <wp:inline distT="0" distB="0" distL="0" distR="0">
            <wp:extent cx="102870" cy="1028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Extensive and ongoing shareholder engagement and improvements in executive compensation program based on investor feedback</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Election of two new Board members, John Gass and Francis Kalman</w:t>
      </w:r>
    </w:p>
    <w:p>
      <w:pPr>
        <w:spacing w:after="0" w:line="92" w:lineRule="exact"/>
        <w:rPr>
          <w:sz w:val="20"/>
          <w:szCs w:val="20"/>
          <w:color w:val="auto"/>
        </w:rPr>
      </w:pPr>
    </w:p>
    <w:p>
      <w:pPr>
        <w:ind w:left="200" w:right="160" w:hanging="197"/>
        <w:spacing w:after="0"/>
        <w:rPr>
          <w:sz w:val="20"/>
          <w:szCs w:val="20"/>
          <w:color w:val="auto"/>
        </w:rPr>
      </w:pPr>
      <w:r>
        <w:rPr>
          <w:sz w:val="1"/>
          <w:szCs w:val="1"/>
          <w:color w:val="auto"/>
        </w:rPr>
        <w:drawing>
          <wp:inline distT="0" distB="0" distL="0" distR="0">
            <wp:extent cx="102870" cy="1028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Executive compensation program better aligned executive interests with those of shareholders</w:t>
      </w:r>
    </w:p>
    <w:p>
      <w:pPr>
        <w:spacing w:after="0" w:line="80" w:lineRule="exact"/>
        <w:rPr>
          <w:sz w:val="20"/>
          <w:szCs w:val="20"/>
          <w:color w:val="auto"/>
        </w:rPr>
      </w:pPr>
    </w:p>
    <w:p>
      <w:pPr>
        <w:ind w:right="700"/>
        <w:spacing w:after="0" w:line="395" w:lineRule="auto"/>
        <w:rPr>
          <w:sz w:val="20"/>
          <w:szCs w:val="20"/>
          <w:color w:val="auto"/>
        </w:rPr>
      </w:pPr>
      <w:r>
        <w:rPr>
          <w:sz w:val="1"/>
          <w:szCs w:val="1"/>
          <w:color w:val="auto"/>
        </w:rPr>
        <w:drawing>
          <wp:inline distT="0" distB="0" distL="0" distR="0">
            <wp:extent cx="102870" cy="1028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Higher transparency in aligning Company performance and pay </w:t>
      </w:r>
      <w:r>
        <w:rPr>
          <w:sz w:val="1"/>
          <w:szCs w:val="1"/>
          <w:color w:val="auto"/>
        </w:rPr>
        <w:drawing>
          <wp:inline distT="0" distB="0" distL="0" distR="0">
            <wp:extent cx="102870" cy="1028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Change in independent registered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Ceased discretionary bonuses</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Enhanced links between executive compensation and performance</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Discontinued Executive Deferred Compensation (EDC) Plan</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Adopted clawback policy</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Tied Annual Incentive Goals to capital efficiency and profitability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Suspended SERP (Supplemental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Tied Executive compensation primarily to absolute growth</w:t>
      </w:r>
    </w:p>
    <w:p>
      <w:pPr>
        <w:spacing w:after="0" w:line="200" w:lineRule="exact"/>
        <w:rPr>
          <w:sz w:val="20"/>
          <w:szCs w:val="20"/>
          <w:color w:val="auto"/>
        </w:rPr>
      </w:pPr>
    </w:p>
    <w:p>
      <w:pPr>
        <w:sectPr>
          <w:pgSz w:w="11900" w:h="16838" w:orient="portrait"/>
          <w:cols w:equalWidth="0" w:num="2">
            <w:col w:w="5700" w:space="720"/>
            <w:col w:w="4940"/>
          </w:cols>
          <w:pgMar w:left="240" w:top="349" w:right="299" w:bottom="0" w:gutter="0" w:footer="0" w:header="0"/>
          <w:type w:val="continuous"/>
        </w:sect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65"/>
          <w:szCs w:val="65"/>
          <w:b w:val="1"/>
          <w:bCs w:val="1"/>
          <w:color w:val="auto"/>
        </w:rPr>
        <w:t>2015</w:t>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THE DIRECTION</w:t>
      </w:r>
    </w:p>
    <w:p>
      <w:pPr>
        <w:ind w:left="4820"/>
        <w:spacing w:after="0"/>
        <w:rPr>
          <w:sz w:val="20"/>
          <w:szCs w:val="20"/>
          <w:color w:val="auto"/>
        </w:rPr>
      </w:pPr>
      <w:r>
        <w:rPr>
          <w:rFonts w:ascii="Arial" w:cs="Arial" w:eastAsia="Arial" w:hAnsi="Arial"/>
          <w:sz w:val="22"/>
          <w:szCs w:val="22"/>
          <w:b w:val="1"/>
          <w:bCs w:val="1"/>
          <w:color w:val="auto"/>
        </w:rPr>
        <w:t>THAT DRIVES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07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0764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 will actively lower direct costs to match quickly changing market volumes to preserve and grow our Company. We will:</w:t>
      </w:r>
    </w:p>
    <w:p>
      <w:pPr>
        <w:sectPr>
          <w:pgSz w:w="11900" w:h="16838" w:orient="portrait"/>
          <w:cols w:equalWidth="0" w:num="1">
            <w:col w:w="11360"/>
          </w:cols>
          <w:pgMar w:left="240" w:top="349" w:right="299" w:bottom="0" w:gutter="0" w:footer="0" w:header="0"/>
          <w:type w:val="continuous"/>
        </w:sectPr>
      </w:pPr>
    </w:p>
    <w:bookmarkStart w:id="17" w:name="page18"/>
    <w:bookmarkEnd w:id="17"/>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00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t>De-layer the organization to operate in a flatter, leaner and faster way</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t>Rationalize support functions</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t>Eliminate staff duplication</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t>Move as many direct responsibilities as possible to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2" w:lineRule="exact"/>
        <w:rPr>
          <w:sz w:val="20"/>
          <w:szCs w:val="20"/>
          <w:color w:val="auto"/>
        </w:rPr>
      </w:pPr>
    </w:p>
    <w:p>
      <w:pPr>
        <w:ind w:left="5512"/>
        <w:spacing w:after="0"/>
        <w:rPr>
          <w:sz w:val="20"/>
          <w:szCs w:val="20"/>
          <w:color w:val="auto"/>
        </w:rPr>
      </w:pPr>
      <w:r>
        <w:rPr>
          <w:rFonts w:ascii="Arial" w:cs="Arial" w:eastAsia="Arial" w:hAnsi="Arial"/>
          <w:sz w:val="14"/>
          <w:szCs w:val="14"/>
          <w:b w:val="1"/>
          <w:bCs w:val="1"/>
          <w:color w:val="FFFFFF"/>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46620" cy="728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80" w:lineRule="exact"/>
        <w:rPr>
          <w:sz w:val="20"/>
          <w:szCs w:val="20"/>
          <w:color w:val="auto"/>
        </w:rPr>
      </w:pPr>
    </w:p>
    <w:p>
      <w:pPr>
        <w:ind w:left="32"/>
        <w:spacing w:after="0"/>
        <w:rPr>
          <w:sz w:val="20"/>
          <w:szCs w:val="20"/>
          <w:color w:val="auto"/>
        </w:rPr>
      </w:pPr>
      <w:r>
        <w:rPr>
          <w:rFonts w:ascii="Arial" w:cs="Arial" w:eastAsia="Arial" w:hAnsi="Arial"/>
          <w:sz w:val="14"/>
          <w:szCs w:val="14"/>
          <w:color w:val="auto"/>
        </w:rPr>
        <w:t>While Weatherford made a year-over-year improvement on free cash flow, the company fell short of the 2014 target objective.</w:t>
      </w:r>
    </w:p>
    <w:p>
      <w:pPr>
        <w:spacing w:after="0" w:line="163" w:lineRule="exact"/>
        <w:rPr>
          <w:sz w:val="20"/>
          <w:szCs w:val="20"/>
          <w:color w:val="auto"/>
        </w:rPr>
      </w:pPr>
    </w:p>
    <w:p>
      <w:pPr>
        <w:ind w:left="32"/>
        <w:spacing w:after="0"/>
        <w:rPr>
          <w:sz w:val="20"/>
          <w:szCs w:val="20"/>
          <w:color w:val="auto"/>
        </w:rPr>
      </w:pPr>
      <w:r>
        <w:rPr>
          <w:rFonts w:ascii="Arial" w:cs="Arial" w:eastAsia="Arial" w:hAnsi="Arial"/>
          <w:sz w:val="14"/>
          <w:szCs w:val="14"/>
          <w:color w:val="auto"/>
        </w:rPr>
        <w:t>This remains a key objective in 2015. Everyone in our organization is aware of this directive. We will:</w:t>
      </w:r>
    </w:p>
    <w:p>
      <w:pPr>
        <w:spacing w:after="0" w:line="163" w:lineRule="exact"/>
        <w:rPr>
          <w:sz w:val="20"/>
          <w:szCs w:val="20"/>
          <w:color w:val="auto"/>
        </w:rPr>
      </w:pPr>
    </w:p>
    <w:p>
      <w:pPr>
        <w:ind w:left="172" w:hanging="136"/>
        <w:spacing w:after="0"/>
        <w:tabs>
          <w:tab w:leader="none" w:pos="172" w:val="left"/>
        </w:tabs>
        <w:numPr>
          <w:ilvl w:val="0"/>
          <w:numId w:val="16"/>
        </w:numPr>
        <w:rPr>
          <w:rFonts w:ascii="Arial" w:cs="Arial" w:eastAsia="Arial" w:hAnsi="Arial"/>
          <w:sz w:val="14"/>
          <w:szCs w:val="14"/>
          <w:color w:val="CE0D41"/>
        </w:rPr>
      </w:pPr>
      <w:r>
        <w:rPr>
          <w:rFonts w:ascii="Arial" w:cs="Arial" w:eastAsia="Arial" w:hAnsi="Arial"/>
          <w:sz w:val="14"/>
          <w:szCs w:val="14"/>
          <w:color w:val="auto"/>
        </w:rPr>
        <w:t>Remain single-minded to be free cash flow positive on a full-year basis</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6"/>
        </w:numPr>
        <w:rPr>
          <w:rFonts w:ascii="Arial" w:cs="Arial" w:eastAsia="Arial" w:hAnsi="Arial"/>
          <w:sz w:val="14"/>
          <w:szCs w:val="14"/>
          <w:color w:val="CE0D41"/>
        </w:rPr>
      </w:pPr>
      <w:r>
        <w:rPr>
          <w:rFonts w:ascii="Arial" w:cs="Arial" w:eastAsia="Arial" w:hAnsi="Arial"/>
          <w:sz w:val="14"/>
          <w:szCs w:val="14"/>
          <w:color w:val="auto"/>
        </w:rPr>
        <w:t>In a long-term way, improve our free cash flow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2" w:lineRule="exact"/>
        <w:rPr>
          <w:sz w:val="20"/>
          <w:szCs w:val="20"/>
          <w:color w:val="auto"/>
        </w:rPr>
      </w:pPr>
    </w:p>
    <w:p>
      <w:pPr>
        <w:ind w:left="5052"/>
        <w:spacing w:after="0"/>
        <w:rPr>
          <w:sz w:val="20"/>
          <w:szCs w:val="20"/>
          <w:color w:val="auto"/>
        </w:rPr>
      </w:pPr>
      <w:r>
        <w:rPr>
          <w:rFonts w:ascii="Arial" w:cs="Arial" w:eastAsia="Arial" w:hAnsi="Arial"/>
          <w:sz w:val="14"/>
          <w:szCs w:val="14"/>
          <w:b w:val="1"/>
          <w:bCs w:val="1"/>
          <w:color w:val="FFFFFF"/>
        </w:rPr>
        <w:t>EXTERNAL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46620" cy="814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14705"/>
                    </a:xfrm>
                    <a:prstGeom prst="rect">
                      <a:avLst/>
                    </a:prstGeom>
                    <a:noFill/>
                  </pic:spPr>
                </pic:pic>
              </a:graphicData>
            </a:graphic>
          </wp:anchor>
        </w:drawing>
      </w:r>
    </w:p>
    <w:p>
      <w:pPr>
        <w:spacing w:after="0" w:line="80" w:lineRule="exact"/>
        <w:rPr>
          <w:sz w:val="20"/>
          <w:szCs w:val="20"/>
          <w:color w:val="auto"/>
        </w:rPr>
      </w:pPr>
    </w:p>
    <w:p>
      <w:pPr>
        <w:ind w:left="32"/>
        <w:spacing w:after="0"/>
        <w:rPr>
          <w:sz w:val="20"/>
          <w:szCs w:val="20"/>
          <w:color w:val="auto"/>
        </w:rPr>
      </w:pPr>
      <w:r>
        <w:rPr>
          <w:rFonts w:ascii="Arial" w:cs="Arial" w:eastAsia="Arial" w:hAnsi="Arial"/>
          <w:sz w:val="14"/>
          <w:szCs w:val="14"/>
          <w:color w:val="auto"/>
        </w:rPr>
        <w:t>We enter 2015 with an organization focused on encouraging the closest client collaboration.</w:t>
      </w:r>
    </w:p>
    <w:p>
      <w:pPr>
        <w:spacing w:after="0" w:line="163" w:lineRule="exact"/>
        <w:rPr>
          <w:sz w:val="20"/>
          <w:szCs w:val="20"/>
          <w:color w:val="auto"/>
        </w:rPr>
      </w:pPr>
    </w:p>
    <w:p>
      <w:pPr>
        <w:ind w:left="172" w:hanging="136"/>
        <w:spacing w:after="0"/>
        <w:tabs>
          <w:tab w:leader="none" w:pos="17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Clients will drive Weatherford’s time and attention</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Priorities will be set and metrics and compensation further aligned</w:t>
      </w:r>
    </w:p>
    <w:p>
      <w:pPr>
        <w:spacing w:after="0" w:line="68" w:lineRule="exact"/>
        <w:rPr>
          <w:rFonts w:ascii="Arial" w:cs="Arial" w:eastAsia="Arial" w:hAnsi="Arial"/>
          <w:sz w:val="14"/>
          <w:szCs w:val="14"/>
          <w:color w:val="CE0D41"/>
        </w:rPr>
      </w:pPr>
    </w:p>
    <w:p>
      <w:pPr>
        <w:ind w:left="152" w:hanging="116"/>
        <w:spacing w:after="0"/>
        <w:tabs>
          <w:tab w:leader="none" w:pos="15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Agenda and time spent will be reoriented externally</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Our Company will be highly responsive, we will immerse ourselves in our clients’ business and leverage our knowledge and expertise to exceed their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p>
      <w:pPr>
        <w:ind w:left="232" w:hanging="232"/>
        <w:spacing w:after="0"/>
        <w:tabs>
          <w:tab w:leader="none" w:pos="232" w:val="left"/>
        </w:tabs>
        <w:numPr>
          <w:ilvl w:val="0"/>
          <w:numId w:val="18"/>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72"/>
          </w:cols>
          <w:pgMar w:left="248" w:top="185" w:right="1179" w:bottom="1440" w:gutter="0" w:footer="0" w:header="0"/>
        </w:sectPr>
      </w:pPr>
    </w:p>
    <w:bookmarkStart w:id="18" w:name="page19"/>
    <w:bookmarkEnd w:id="18"/>
    <w:p>
      <w:pPr>
        <w:jc w:val="center"/>
        <w:spacing w:after="0"/>
        <w:rPr>
          <w:sz w:val="20"/>
          <w:szCs w:val="20"/>
          <w:color w:val="auto"/>
        </w:rPr>
      </w:pPr>
      <w:r>
        <w:rPr>
          <w:rFonts w:ascii="Arial" w:cs="Arial" w:eastAsia="Arial" w:hAnsi="Arial"/>
          <w:sz w:val="65"/>
          <w:szCs w:val="65"/>
          <w:b w:val="1"/>
          <w:bCs w:val="1"/>
          <w:color w:val="auto"/>
        </w:rPr>
        <w:t>COMPENSATION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58"/>
          <w:szCs w:val="58"/>
          <w:i w:val="1"/>
          <w:i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36277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818284"/>
        </w:rPr>
        <w:t>The Compensation Committee is mindful of its responsibility to oversee Weatherford’s executive compensation programs to ensure they enable our Company to attract and retain talented leaders and provide a framework that aligns the interests of our executives with those of our shareholders. In consideration of shareholder feedback and to maintain the momentum of our transformation, we implemented a number of enhancements to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p>
      <w:pPr>
        <w:ind w:right="2180"/>
        <w:spacing w:after="0" w:line="281" w:lineRule="auto"/>
        <w:rPr>
          <w:sz w:val="20"/>
          <w:szCs w:val="20"/>
          <w:color w:val="auto"/>
        </w:rPr>
      </w:pPr>
      <w:r>
        <w:rPr>
          <w:rFonts w:ascii="Arial" w:cs="Arial" w:eastAsia="Arial" w:hAnsi="Arial"/>
          <w:sz w:val="43"/>
          <w:szCs w:val="43"/>
          <w:b w:val="1"/>
          <w:bCs w:val="1"/>
          <w:color w:val="auto"/>
        </w:rPr>
        <w:t>OUR RESPONSIVENESS TO SHAREHOLDER OUTREACH</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Weatherford is strongly committed to shareholder outreach, which is supported and overseen by the Board. Our shareholder outreach efforts create an ongoing dialogue, through which we gain valuable insights. On occasion, members of our board have met with shareholders either telephonically or in person to discuss Weatherford’s compensation and governance practices. The Chief Financial Officer and Vice President of Investor Relations are also in frequent communication with shareholders on these matters. To ensure that we address our investors’ concerns and considerations, the shareholder feedback is summarized and presented to the Board and our Compensation Committee. As a result of our shareholder outreach, the Compensation Committee has implemented changes to our policies to further align pay with performance and incorporate best practices.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the months leading up to, and since our 2014 Annual General Meeting in September, we reached out to the holders of approximately 73% of our outstanding shares, resulting in discussions with the holders of approximately 64% of our shares. Those shareholders had differing points of view on the topics discussed. The following summarizes our discussions:</w:t>
      </w:r>
    </w:p>
    <w:p>
      <w:pPr>
        <w:spacing w:after="0" w:line="174" w:lineRule="exact"/>
        <w:rPr>
          <w:sz w:val="20"/>
          <w:szCs w:val="20"/>
          <w:color w:val="auto"/>
        </w:rPr>
      </w:pPr>
    </w:p>
    <w:p>
      <w:pPr>
        <w:ind w:left="280" w:hanging="272"/>
        <w:spacing w:after="0" w:line="278" w:lineRule="auto"/>
        <w:tabs>
          <w:tab w:leader="none" w:pos="280" w:val="left"/>
        </w:tabs>
        <w:numPr>
          <w:ilvl w:val="0"/>
          <w:numId w:val="19"/>
        </w:numPr>
        <w:rPr>
          <w:rFonts w:ascii="Arial" w:cs="Arial" w:eastAsia="Arial" w:hAnsi="Arial"/>
          <w:sz w:val="16"/>
          <w:szCs w:val="16"/>
          <w:color w:val="CE0D41"/>
        </w:rPr>
      </w:pPr>
      <w:r>
        <w:rPr>
          <w:rFonts w:ascii="Arial" w:cs="Arial" w:eastAsia="Arial" w:hAnsi="Arial"/>
          <w:sz w:val="16"/>
          <w:szCs w:val="16"/>
          <w:color w:val="auto"/>
        </w:rPr>
        <w:t>A majority (93%) of the investors reached were supportive of our compensation and governance practices. While many investors were generally supportive, they took the opportunity to share their views on how our compensation and governance practices might be further enhanced.</w:t>
      </w:r>
    </w:p>
    <w:p>
      <w:pPr>
        <w:spacing w:after="0" w:line="167" w:lineRule="exact"/>
        <w:rPr>
          <w:rFonts w:ascii="Arial" w:cs="Arial" w:eastAsia="Arial" w:hAnsi="Arial"/>
          <w:sz w:val="16"/>
          <w:szCs w:val="16"/>
          <w:color w:val="CE0D41"/>
        </w:rPr>
      </w:pPr>
    </w:p>
    <w:p>
      <w:pPr>
        <w:ind w:left="280" w:hanging="272"/>
        <w:spacing w:after="0"/>
        <w:tabs>
          <w:tab w:leader="none" w:pos="280" w:val="left"/>
        </w:tabs>
        <w:numPr>
          <w:ilvl w:val="0"/>
          <w:numId w:val="19"/>
        </w:numPr>
        <w:rPr>
          <w:rFonts w:ascii="Arial" w:cs="Arial" w:eastAsia="Arial" w:hAnsi="Arial"/>
          <w:sz w:val="16"/>
          <w:szCs w:val="16"/>
          <w:color w:val="CE0D41"/>
        </w:rPr>
      </w:pPr>
      <w:r>
        <w:rPr>
          <w:rFonts w:ascii="Arial" w:cs="Arial" w:eastAsia="Arial" w:hAnsi="Arial"/>
          <w:sz w:val="16"/>
          <w:szCs w:val="16"/>
          <w:color w:val="auto"/>
        </w:rPr>
        <w:t>A minority (7%) of those reached were not supportive of our practices and explained their rationale.</w:t>
      </w:r>
    </w:p>
    <w:p>
      <w:pPr>
        <w:spacing w:after="0" w:line="207" w:lineRule="exact"/>
        <w:rPr>
          <w:rFonts w:ascii="Arial" w:cs="Arial" w:eastAsia="Arial" w:hAnsi="Arial"/>
          <w:sz w:val="16"/>
          <w:szCs w:val="16"/>
          <w:color w:val="CE0D41"/>
        </w:rPr>
      </w:pPr>
    </w:p>
    <w:p>
      <w:pPr>
        <w:ind w:left="280" w:hanging="272"/>
        <w:spacing w:after="0"/>
        <w:tabs>
          <w:tab w:leader="none" w:pos="280" w:val="left"/>
        </w:tabs>
        <w:numPr>
          <w:ilvl w:val="0"/>
          <w:numId w:val="19"/>
        </w:numPr>
        <w:rPr>
          <w:rFonts w:ascii="Arial" w:cs="Arial" w:eastAsia="Arial" w:hAnsi="Arial"/>
          <w:sz w:val="16"/>
          <w:szCs w:val="16"/>
          <w:color w:val="CE0D41"/>
        </w:rPr>
      </w:pPr>
      <w:r>
        <w:rPr>
          <w:rFonts w:ascii="Arial" w:cs="Arial" w:eastAsia="Arial" w:hAnsi="Arial"/>
          <w:sz w:val="16"/>
          <w:szCs w:val="16"/>
          <w:color w:val="auto"/>
        </w:rPr>
        <w:t>In all cases, comments and feedback were communicated to and considered by the Compensation Committee.</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Board and our Compensation Committee strongly value the opinions of our shareholders and made modifications to our executive compensation program to specifically address issues raised by our shareholders. As a result, the following changes have been approved by the Board:</w:t>
      </w:r>
    </w:p>
    <w:p>
      <w:pPr>
        <w:spacing w:after="0" w:line="169" w:lineRule="exact"/>
        <w:rPr>
          <w:sz w:val="20"/>
          <w:szCs w:val="20"/>
          <w:color w:val="auto"/>
        </w:rPr>
      </w:pPr>
    </w:p>
    <w:p>
      <w:pPr>
        <w:ind w:left="280" w:right="60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In March 2015, upon the recommendation of the Compensation Committee, the Board determined that the Company will not enter into employment agreements with future executive officers.</w:t>
      </w:r>
    </w:p>
    <w:p>
      <w:pPr>
        <w:spacing w:after="0" w:line="182" w:lineRule="exact"/>
        <w:rPr>
          <w:rFonts w:ascii="Arial" w:cs="Arial" w:eastAsia="Arial" w:hAnsi="Arial"/>
          <w:sz w:val="16"/>
          <w:szCs w:val="16"/>
          <w:color w:val="CE0D41"/>
        </w:rPr>
      </w:pPr>
    </w:p>
    <w:p>
      <w:pPr>
        <w:ind w:left="280" w:right="180" w:hanging="272"/>
        <w:spacing w:after="0" w:line="269"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Performance unit awards granted in 2015 were amended to reduce the potential for volatility in measurement of the Company’s share price, moving to an average monthly share price compared to a one-day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share price.</w:t>
      </w:r>
    </w:p>
    <w:p>
      <w:pPr>
        <w:spacing w:after="0" w:line="67" w:lineRule="exact"/>
        <w:rPr>
          <w:rFonts w:ascii="Arial" w:cs="Arial" w:eastAsia="Arial" w:hAnsi="Arial"/>
          <w:sz w:val="16"/>
          <w:szCs w:val="16"/>
          <w:color w:val="CE0D41"/>
        </w:rPr>
      </w:pPr>
    </w:p>
    <w:p>
      <w:pPr>
        <w:ind w:left="280" w:right="32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The Company will not buy out underwater options held by executives. The Board has approved amendments to our 2010 Omnibus Plan that, subject to shareholder approval as described in this Proxy Statement, will prohibit such buyouts in the future without shareholder approval.</w:t>
      </w:r>
    </w:p>
    <w:p>
      <w:pPr>
        <w:spacing w:after="0" w:line="182" w:lineRule="exact"/>
        <w:rPr>
          <w:rFonts w:ascii="Arial" w:cs="Arial" w:eastAsia="Arial" w:hAnsi="Arial"/>
          <w:sz w:val="16"/>
          <w:szCs w:val="16"/>
          <w:color w:val="CE0D41"/>
        </w:rPr>
      </w:pPr>
    </w:p>
    <w:p>
      <w:pPr>
        <w:ind w:left="280" w:right="50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A peer performance metric has been added to the 2015 compensation incentives, as the Compensation Committee believes this is a strong metric of revenue and profitability performance relative to peers by which executives (and the Company) should be measured.</w:t>
      </w:r>
    </w:p>
    <w:p>
      <w:pPr>
        <w:spacing w:after="0" w:line="182" w:lineRule="exact"/>
        <w:rPr>
          <w:rFonts w:ascii="Arial" w:cs="Arial" w:eastAsia="Arial" w:hAnsi="Arial"/>
          <w:sz w:val="16"/>
          <w:szCs w:val="16"/>
          <w:color w:val="CE0D41"/>
        </w:rPr>
      </w:pPr>
    </w:p>
    <w:p>
      <w:pPr>
        <w:ind w:left="280" w:right="16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In 2015 a free cash flow metric continues to be included in the compensation program, because it is a strong measure of profitability and the quality of the earnings stream and remains an extremely important focus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272020" cy="1183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1183005"/>
                    </a:xfrm>
                    <a:prstGeom prst="rect">
                      <a:avLst/>
                    </a:prstGeom>
                    <a:noFill/>
                  </pic:spPr>
                </pic:pic>
              </a:graphicData>
            </a:graphic>
          </wp:anchor>
        </w:drawing>
      </w:r>
    </w:p>
    <w:p>
      <w:pPr>
        <w:spacing w:after="0" w:line="291" w:lineRule="exact"/>
        <w:rPr>
          <w:sz w:val="20"/>
          <w:szCs w:val="20"/>
          <w:color w:val="auto"/>
        </w:rPr>
      </w:pPr>
    </w:p>
    <w:p>
      <w:pPr>
        <w:ind w:left="160" w:right="440"/>
        <w:spacing w:after="0" w:line="286" w:lineRule="auto"/>
        <w:rPr>
          <w:sz w:val="20"/>
          <w:szCs w:val="20"/>
          <w:color w:val="auto"/>
        </w:rPr>
      </w:pPr>
      <w:r>
        <w:rPr>
          <w:rFonts w:ascii="Arial" w:cs="Arial" w:eastAsia="Arial" w:hAnsi="Arial"/>
          <w:sz w:val="16"/>
          <w:szCs w:val="16"/>
          <w:b w:val="1"/>
          <w:bCs w:val="1"/>
          <w:color w:val="auto"/>
        </w:rPr>
        <w:t>Over the past few years, we have implemented a number of significant changes to our compensation program, policies and practices. These responsive actions are highlighted in a timeline of our progress on page x.</w:t>
      </w:r>
    </w:p>
    <w:p>
      <w:pPr>
        <w:spacing w:after="0" w:line="129" w:lineRule="exact"/>
        <w:rPr>
          <w:sz w:val="20"/>
          <w:szCs w:val="20"/>
          <w:color w:val="auto"/>
        </w:rPr>
      </w:pPr>
    </w:p>
    <w:p>
      <w:pPr>
        <w:ind w:left="160" w:right="700"/>
        <w:spacing w:after="0" w:line="286" w:lineRule="auto"/>
        <w:rPr>
          <w:sz w:val="20"/>
          <w:szCs w:val="20"/>
          <w:color w:val="auto"/>
        </w:rPr>
      </w:pPr>
      <w:r>
        <w:rPr>
          <w:rFonts w:ascii="Arial" w:cs="Arial" w:eastAsia="Arial" w:hAnsi="Arial"/>
          <w:sz w:val="16"/>
          <w:szCs w:val="16"/>
          <w:b w:val="1"/>
          <w:bCs w:val="1"/>
          <w:color w:val="auto"/>
        </w:rPr>
        <w:t>During the course of our outreach to shareholders, a majority expressed support of our enhancements to our compensation policies and practices and approve of our new long-term changes to executive compensation.</w:t>
      </w:r>
    </w:p>
    <w:p>
      <w:pPr>
        <w:spacing w:after="0" w:line="129" w:lineRule="exact"/>
        <w:rPr>
          <w:sz w:val="20"/>
          <w:szCs w:val="20"/>
          <w:color w:val="auto"/>
        </w:rPr>
      </w:pPr>
    </w:p>
    <w:p>
      <w:pPr>
        <w:ind w:left="160" w:right="700"/>
        <w:spacing w:after="0" w:line="286" w:lineRule="auto"/>
        <w:rPr>
          <w:sz w:val="20"/>
          <w:szCs w:val="20"/>
          <w:color w:val="auto"/>
        </w:rPr>
      </w:pPr>
      <w:r>
        <w:rPr>
          <w:rFonts w:ascii="Arial" w:cs="Arial" w:eastAsia="Arial" w:hAnsi="Arial"/>
          <w:sz w:val="16"/>
          <w:szCs w:val="16"/>
          <w:b w:val="1"/>
          <w:bCs w:val="1"/>
          <w:color w:val="auto"/>
        </w:rPr>
        <w:t>We believe that our improved and evolving compensation program continues to serve the best interest of Weatherford shareholders, and therefore the Board recommends that you vote FOR the resolution approving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9" w:name="page20"/>
    <w:bookmarkEnd w:id="19"/>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OUR 2014 ACCOMPLISHMENTS</w:t>
      </w:r>
    </w:p>
    <w:p>
      <w:pPr>
        <w:spacing w:after="0" w:line="3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2014, the Compensation Committee adopted metrics designed to reflect the Company’s transformational goals and focus on key strategies and objectives. The metrics included in each NEOs non-equity incentive awards are described on page 28 of the Proxy Statement. Despite lower oil prices, which affect the entire industry, Weatherford delivered on the majority of the Company’s 2014 objectives as described below. While Weatherford made year-over-year improvements on earnings per share and free cash flow, the Company fell short of targeted objectives.</w:t>
      </w:r>
    </w:p>
    <w:p>
      <w:pPr>
        <w:spacing w:after="0" w:line="174" w:lineRule="exact"/>
        <w:rPr>
          <w:sz w:val="20"/>
          <w:szCs w:val="20"/>
          <w:color w:val="auto"/>
        </w:rPr>
      </w:pPr>
    </w:p>
    <w:tbl>
      <w:tblPr>
        <w:tblLayout w:type="fixed"/>
        <w:tblInd w:w="1160" w:type="dxa"/>
        <w:tblCellMar>
          <w:top w:w="0" w:type="dxa"/>
          <w:left w:w="0" w:type="dxa"/>
          <w:bottom w:w="0" w:type="dxa"/>
          <w:right w:w="0" w:type="dxa"/>
        </w:tblCellMar>
      </w:tblPr>
      <w:tr>
        <w:trPr>
          <w:trHeight w:val="242"/>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1</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Successful conclusion of U.S. government investigations</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2</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Annualized pre-tax cost savings</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3</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Total non-core divestiture proceeds</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4</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Net debt reduction</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5</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Safety target</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6</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Earnings per share (non-GAAP)</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Improved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7</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Free cash flow</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Improved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-977265</wp:posOffset>
            </wp:positionV>
            <wp:extent cx="57975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-814070</wp:posOffset>
            </wp:positionV>
            <wp:extent cx="57975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-650875</wp:posOffset>
            </wp:positionV>
            <wp:extent cx="57975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-488315</wp:posOffset>
            </wp:positionV>
            <wp:extent cx="57975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-325120</wp:posOffset>
            </wp:positionV>
            <wp:extent cx="5797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-162560</wp:posOffset>
            </wp:positionV>
            <wp:extent cx="57975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-8255</wp:posOffset>
            </wp:positionV>
            <wp:extent cx="5505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05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-1097280</wp:posOffset>
            </wp:positionV>
            <wp:extent cx="94615"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-934085</wp:posOffset>
            </wp:positionV>
            <wp:extent cx="94615"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-770890</wp:posOffset>
            </wp:positionV>
            <wp:extent cx="94615"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-608330</wp:posOffset>
            </wp:positionV>
            <wp:extent cx="94615"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-445135</wp:posOffset>
            </wp:positionV>
            <wp:extent cx="94615"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2014 COMPENSATION ALIGNS WITH PERFORMANCE</w:t>
      </w:r>
    </w:p>
    <w:p>
      <w:pPr>
        <w:spacing w:after="0" w:line="37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structure our executive compensation program to align pay with performance, including increases in our share price. As such, the 2014 performance units (long-term equity awards) did not vest in 2015 based on Weatherford’s December 31, 2014 stock price.</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stock price, which gained 55% through late July of 2014, outperformed our peer group and the industry. However, following our second quarter earnings release and through the second half of the year, oil prices (WTI) drastically declined from a high of $105.68 per barrel to a low of $53.45 per barrel by late December. During this later timeframe, Weatherford’s stock price was 96% correlated to the price of oil and decreased in tandem, from almost $25 per share to around $10 per share.</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As additional comparative information, the chart below illustrates that our CEO’s compensation for the years 2012-2014, measured relative to our peers for the three-year period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226060</wp:posOffset>
            </wp:positionV>
            <wp:extent cx="5008245" cy="15690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0824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right="28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3-Year Total Compensation is the sum of base salary, annual incentives, bonuses, long-term incentive awards and all other compensation paid (perquisites and change in pension included) for the years 2012-2014 for our Chief Executive Officer and for the chief executive officer of each of our peers as reported in their respective publicly available proxy statements.</w:t>
      </w:r>
    </w:p>
    <w:p>
      <w:pPr>
        <w:spacing w:after="0" w:line="50"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3-Year Total Shareholder Return is the percentage increase (or decrease) in stock price for the three years ended December 31, 2014, adjusted for cash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TOTAL CEO COMPENSATION VERSUS REALIZED PAY</w:t>
      </w:r>
    </w:p>
    <w:p>
      <w:pPr>
        <w:spacing w:after="0" w:line="37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To further illustrate our commitment to pay for performance, below is our CEO’s total compensation over the last three years, as set forth in the Summary Compensation Table of this Proxy Statement and our past annual proxy statements, compared to the total amount of compensation realized by our CEO for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25228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Total Compensation </w:t>
      </w:r>
      <w:r>
        <w:rPr>
          <w:rFonts w:ascii="Arial" w:cs="Arial" w:eastAsia="Arial" w:hAnsi="Arial"/>
          <w:sz w:val="14"/>
          <w:szCs w:val="14"/>
          <w:color w:val="auto"/>
        </w:rPr>
        <w:t>is as set forth in the Summary Compensation Table in this Proxy Statement.</w:t>
      </w:r>
    </w:p>
    <w:p>
      <w:pPr>
        <w:sectPr>
          <w:pgSz w:w="11900" w:h="16838" w:orient="portrait"/>
          <w:cols w:equalWidth="0" w:num="1">
            <w:col w:w="11380"/>
          </w:cols>
          <w:pgMar w:left="240" w:top="491" w:right="279" w:bottom="23" w:gutter="0" w:footer="0" w:header="0"/>
        </w:sectPr>
      </w:pPr>
    </w:p>
    <w:bookmarkStart w:id="20" w:name="page21"/>
    <w:bookmarkEnd w:id="20"/>
    <w:p>
      <w:pPr>
        <w:ind w:left="152"/>
        <w:spacing w:after="0" w:line="256" w:lineRule="auto"/>
        <w:rPr>
          <w:sz w:val="20"/>
          <w:szCs w:val="20"/>
          <w:color w:val="auto"/>
        </w:rPr>
      </w:pPr>
      <w:r>
        <w:rPr>
          <w:rFonts w:ascii="Arial" w:cs="Arial" w:eastAsia="Arial" w:hAnsi="Arial"/>
          <w:sz w:val="14"/>
          <w:szCs w:val="14"/>
          <w:b w:val="1"/>
          <w:bCs w:val="1"/>
          <w:color w:val="auto"/>
        </w:rPr>
        <w:t xml:space="preserve">Total Realized Compensation </w:t>
      </w:r>
      <w:r>
        <w:rPr>
          <w:rFonts w:ascii="Arial" w:cs="Arial" w:eastAsia="Arial" w:hAnsi="Arial"/>
          <w:sz w:val="14"/>
          <w:szCs w:val="14"/>
          <w:color w:val="auto"/>
        </w:rPr>
        <w:t>excludes the actuarial value of pension benefit as it does not reflect actual compensation received, but rather reflects an increase in the year-over-year present value of the actuarial future benefit, and includes long term incentive awards (e.g. RSUs and PUs), only to the extent they were “realized”, i.e. to the extent they vested (or restrictions lapsed) during the years described. Value of vested stock is included based on closing price on date of vest which, for our long term incentive awards, differs from value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-427355</wp:posOffset>
            </wp:positionV>
            <wp:extent cx="7272020" cy="527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527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207010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92" w:hanging="292"/>
        <w:spacing w:after="0"/>
        <w:tabs>
          <w:tab w:leader="none" w:pos="292" w:val="left"/>
        </w:tabs>
        <w:numPr>
          <w:ilvl w:val="0"/>
          <w:numId w:val="2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52"/>
          </w:cols>
          <w:pgMar w:left="248" w:top="126" w:right="499" w:bottom="1440" w:gutter="0" w:footer="0" w:header="0"/>
        </w:sectPr>
      </w:pPr>
    </w:p>
    <w:bookmarkStart w:id="21" w:name="page22"/>
    <w:bookmarkEnd w:id="21"/>
    <w:p>
      <w:pPr>
        <w:jc w:val="center"/>
        <w:spacing w:after="0"/>
        <w:rPr>
          <w:sz w:val="20"/>
          <w:szCs w:val="20"/>
          <w:color w:val="auto"/>
        </w:rPr>
      </w:pPr>
      <w:r>
        <w:rPr>
          <w:rFonts w:ascii="Arial" w:cs="Arial" w:eastAsia="Arial" w:hAnsi="Arial"/>
          <w:sz w:val="65"/>
          <w:szCs w:val="65"/>
          <w:b w:val="1"/>
          <w:bCs w:val="1"/>
          <w:color w:val="auto"/>
        </w:rPr>
        <w:t>VOTING</w:t>
      </w:r>
    </w:p>
    <w:p>
      <w:pPr>
        <w:jc w:val="center"/>
        <w:spacing w:after="0"/>
        <w:rPr>
          <w:sz w:val="20"/>
          <w:szCs w:val="20"/>
          <w:color w:val="auto"/>
        </w:rPr>
      </w:pPr>
      <w:r>
        <w:rPr>
          <w:rFonts w:ascii="Arial" w:cs="Arial" w:eastAsia="Arial" w:hAnsi="Arial"/>
          <w:sz w:val="58"/>
          <w:szCs w:val="58"/>
          <w:i w:val="1"/>
          <w:iCs w:val="1"/>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219710</wp:posOffset>
            </wp:positionV>
            <wp:extent cx="36277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818284"/>
        </w:rPr>
        <w:t>We encourage you to support the following agenda items as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right="2400"/>
        <w:spacing w:after="0" w:line="281" w:lineRule="auto"/>
        <w:rPr>
          <w:sz w:val="20"/>
          <w:szCs w:val="20"/>
          <w:color w:val="auto"/>
        </w:rPr>
      </w:pPr>
      <w:r>
        <w:rPr>
          <w:rFonts w:ascii="Arial" w:cs="Arial" w:eastAsia="Arial" w:hAnsi="Arial"/>
          <w:sz w:val="43"/>
          <w:szCs w:val="43"/>
          <w:b w:val="1"/>
          <w:bCs w:val="1"/>
          <w:color w:val="auto"/>
        </w:rPr>
        <w:t>YOUR VOTE MATTERS TO THE FUTURE OF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AGENDA ITEMS FOR YOUR VOTE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Items</w:t>
            </w:r>
          </w:p>
        </w:tc>
        <w:tc>
          <w:tcPr>
            <w:tcW w:w="328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Board recommendation</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Reasons for Recommendation</w:t>
            </w:r>
          </w:p>
        </w:tc>
      </w:tr>
      <w:tr>
        <w:trPr>
          <w:trHeight w:val="204"/>
        </w:trPr>
        <w:tc>
          <w:tcPr>
            <w:tcW w:w="2520" w:type="dxa"/>
            <w:vAlign w:val="bottom"/>
          </w:tcPr>
          <w:p>
            <w:pPr>
              <w:ind w:left="20"/>
              <w:spacing w:after="0"/>
              <w:rPr>
                <w:sz w:val="20"/>
                <w:szCs w:val="20"/>
                <w:color w:val="auto"/>
              </w:rPr>
            </w:pPr>
            <w:r>
              <w:rPr>
                <w:rFonts w:ascii="Arial" w:cs="Arial" w:eastAsia="Arial" w:hAnsi="Arial"/>
                <w:sz w:val="16"/>
                <w:szCs w:val="16"/>
                <w:color w:val="CE0D41"/>
              </w:rPr>
              <w:t xml:space="preserve">1. </w:t>
            </w:r>
            <w:r>
              <w:rPr>
                <w:rFonts w:ascii="Arial" w:cs="Arial" w:eastAsia="Arial" w:hAnsi="Arial"/>
                <w:sz w:val="16"/>
                <w:szCs w:val="16"/>
                <w:color w:val="000000"/>
              </w:rPr>
              <w:t>Election of Directors</w:t>
            </w:r>
          </w:p>
        </w:tc>
        <w:tc>
          <w:tcPr>
            <w:tcW w:w="3280" w:type="dxa"/>
            <w:vAlign w:val="bottom"/>
          </w:tcPr>
          <w:p>
            <w:pPr>
              <w:ind w:left="820"/>
              <w:spacing w:after="0"/>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all nominees</w:t>
            </w:r>
          </w:p>
        </w:tc>
        <w:tc>
          <w:tcPr>
            <w:tcW w:w="5620" w:type="dxa"/>
            <w:vAlign w:val="bottom"/>
          </w:tcPr>
          <w:p>
            <w:pPr>
              <w:ind w:left="620"/>
              <w:spacing w:after="0"/>
              <w:rPr>
                <w:sz w:val="20"/>
                <w:szCs w:val="20"/>
                <w:color w:val="auto"/>
              </w:rPr>
            </w:pPr>
            <w:r>
              <w:rPr>
                <w:rFonts w:ascii="Arial" w:cs="Arial" w:eastAsia="Arial" w:hAnsi="Arial"/>
                <w:sz w:val="16"/>
                <w:szCs w:val="16"/>
                <w:color w:val="auto"/>
              </w:rPr>
              <w:t>The Board believes its members collectively have the skills and</w:t>
            </w:r>
          </w:p>
        </w:tc>
      </w:tr>
      <w:tr>
        <w:trPr>
          <w:trHeight w:val="189"/>
        </w:trPr>
        <w:tc>
          <w:tcPr>
            <w:tcW w:w="2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620" w:type="dxa"/>
            <w:vAlign w:val="bottom"/>
          </w:tcPr>
          <w:p>
            <w:pPr>
              <w:ind w:left="620"/>
              <w:spacing w:after="0"/>
              <w:rPr>
                <w:sz w:val="20"/>
                <w:szCs w:val="20"/>
                <w:color w:val="auto"/>
              </w:rPr>
            </w:pPr>
            <w:r>
              <w:rPr>
                <w:rFonts w:ascii="Arial" w:cs="Arial" w:eastAsia="Arial" w:hAnsi="Arial"/>
                <w:sz w:val="16"/>
                <w:szCs w:val="16"/>
                <w:color w:val="auto"/>
              </w:rPr>
              <w:t>experience needed to continue to oversee the implementation of</w:t>
            </w:r>
          </w:p>
        </w:tc>
      </w:tr>
      <w:tr>
        <w:trPr>
          <w:trHeight w:val="189"/>
        </w:trPr>
        <w:tc>
          <w:tcPr>
            <w:tcW w:w="2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620" w:type="dxa"/>
            <w:vAlign w:val="bottom"/>
          </w:tcPr>
          <w:p>
            <w:pPr>
              <w:ind w:left="620"/>
              <w:spacing w:after="0"/>
              <w:rPr>
                <w:sz w:val="20"/>
                <w:szCs w:val="20"/>
                <w:color w:val="auto"/>
              </w:rPr>
            </w:pPr>
            <w:r>
              <w:rPr>
                <w:rFonts w:ascii="Arial" w:cs="Arial" w:eastAsia="Arial" w:hAnsi="Arial"/>
                <w:sz w:val="16"/>
                <w:szCs w:val="16"/>
                <w:color w:val="auto"/>
              </w:rPr>
              <w:t>Weatherford’s strategic plan for the benefit of shareholders,</w:t>
            </w:r>
          </w:p>
        </w:tc>
      </w:tr>
      <w:tr>
        <w:trPr>
          <w:trHeight w:val="195"/>
        </w:trPr>
        <w:tc>
          <w:tcPr>
            <w:tcW w:w="2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620" w:type="dxa"/>
            <w:vAlign w:val="bottom"/>
          </w:tcPr>
          <w:p>
            <w:pPr>
              <w:ind w:left="620"/>
              <w:spacing w:after="0"/>
              <w:rPr>
                <w:sz w:val="20"/>
                <w:szCs w:val="20"/>
                <w:color w:val="auto"/>
              </w:rPr>
            </w:pPr>
            <w:r>
              <w:rPr>
                <w:rFonts w:ascii="Arial" w:cs="Arial" w:eastAsia="Arial" w:hAnsi="Arial"/>
                <w:sz w:val="16"/>
                <w:szCs w:val="16"/>
                <w:color w:val="auto"/>
              </w:rPr>
              <w:t>employees and other stakeholders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080" w:gutter="0" w:footer="0" w:header="0"/>
        </w:sectPr>
      </w:pPr>
    </w:p>
    <w:p>
      <w:pPr>
        <w:spacing w:after="0" w:line="35" w:lineRule="exact"/>
        <w:rPr>
          <w:sz w:val="20"/>
          <w:szCs w:val="20"/>
          <w:color w:val="auto"/>
        </w:rPr>
      </w:pPr>
    </w:p>
    <w:p>
      <w:pPr>
        <w:ind w:left="260" w:hanging="238"/>
        <w:spacing w:after="0" w:line="260" w:lineRule="auto"/>
        <w:tabs>
          <w:tab w:leader="none" w:pos="260" w:val="left"/>
        </w:tabs>
        <w:numPr>
          <w:ilvl w:val="0"/>
          <w:numId w:val="23"/>
        </w:numPr>
        <w:rPr>
          <w:rFonts w:ascii="Arial" w:cs="Arial" w:eastAsia="Arial" w:hAnsi="Arial"/>
          <w:sz w:val="16"/>
          <w:szCs w:val="16"/>
          <w:color w:val="CE0D41"/>
        </w:rPr>
      </w:pPr>
      <w:r>
        <w:rPr>
          <w:rFonts w:ascii="Arial" w:cs="Arial" w:eastAsia="Arial" w:hAnsi="Arial"/>
          <w:sz w:val="16"/>
          <w:szCs w:val="16"/>
          <w:color w:val="auto"/>
        </w:rPr>
        <w:t>Appointment of Auditors for 2015 and determining their remuneration</w:t>
      </w:r>
    </w:p>
    <w:p>
      <w:pPr>
        <w:spacing w:after="0" w:line="20" w:lineRule="exact"/>
        <w:rPr>
          <w:sz w:val="20"/>
          <w:szCs w:val="20"/>
          <w:color w:val="auto"/>
        </w:rPr>
      </w:pPr>
      <w:r>
        <w:rPr>
          <w:sz w:val="20"/>
          <w:szCs w:val="20"/>
          <w:color w:val="auto"/>
        </w:rPr>
        <w:br w:type="column"/>
      </w:r>
    </w:p>
    <w:p>
      <w:pPr>
        <w:spacing w:after="0"/>
        <w:tabs>
          <w:tab w:leader="none" w:pos="3060" w:val="left"/>
        </w:tabs>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the appointment of KPMG LLP</w:t>
      </w:r>
      <w:r>
        <w:rPr>
          <w:sz w:val="20"/>
          <w:szCs w:val="20"/>
          <w:color w:val="auto"/>
        </w:rPr>
        <w:tab/>
      </w:r>
      <w:r>
        <w:rPr>
          <w:rFonts w:ascii="Arial" w:cs="Arial" w:eastAsia="Arial" w:hAnsi="Arial"/>
          <w:sz w:val="16"/>
          <w:szCs w:val="16"/>
          <w:color w:val="auto"/>
        </w:rPr>
        <w:t>Based on the recommendation of the Audit Committee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and authorizing the Board to determine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10795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940" w:space="400"/>
            <w:col w:w="8080"/>
          </w:cols>
          <w:pgMar w:left="240" w:top="256" w:right="239" w:bottom="1080" w:gutter="0" w:footer="0" w:header="0"/>
          <w:type w:val="continuous"/>
        </w:sectPr>
      </w:pPr>
    </w:p>
    <w:p>
      <w:pPr>
        <w:ind w:left="260" w:right="1000" w:hanging="239"/>
        <w:spacing w:after="0" w:line="286" w:lineRule="auto"/>
        <w:tabs>
          <w:tab w:leader="none" w:pos="240" w:val="left"/>
        </w:tabs>
        <w:rPr>
          <w:sz w:val="20"/>
          <w:szCs w:val="20"/>
          <w:color w:val="auto"/>
        </w:rPr>
      </w:pPr>
      <w:r>
        <w:rPr>
          <w:rFonts w:ascii="Arial" w:cs="Arial" w:eastAsia="Arial" w:hAnsi="Arial"/>
          <w:sz w:val="16"/>
          <w:szCs w:val="16"/>
          <w:color w:val="CE0D41"/>
        </w:rPr>
        <w:t>3.</w:t>
      </w:r>
      <w:r>
        <w:rPr>
          <w:rFonts w:ascii="Arial" w:cs="Arial" w:eastAsia="Arial" w:hAnsi="Arial"/>
          <w:sz w:val="16"/>
          <w:szCs w:val="16"/>
          <w:color w:val="auto"/>
        </w:rPr>
        <w:tab/>
        <w:t xml:space="preserve">Advisory resolution on compensation of </w:t>
      </w:r>
      <w:r>
        <w:rPr>
          <w:rFonts w:ascii="Arial" w:cs="Arial" w:eastAsia="Arial" w:hAnsi="Arial"/>
          <w:sz w:val="16"/>
          <w:szCs w:val="16"/>
          <w:b w:val="1"/>
          <w:bCs w:val="1"/>
          <w:color w:val="CE0D41"/>
        </w:rPr>
        <w:t>FOR</w:t>
      </w:r>
      <w:r>
        <w:rPr>
          <w:rFonts w:ascii="Arial" w:cs="Arial" w:eastAsia="Arial" w:hAnsi="Arial"/>
          <w:sz w:val="16"/>
          <w:szCs w:val="16"/>
          <w:color w:val="auto"/>
        </w:rPr>
        <w:t xml:space="preserve"> the resolution Named Executive Officers</w:t>
      </w:r>
    </w:p>
    <w:p>
      <w:pPr>
        <w:spacing w:after="0" w:line="20" w:lineRule="exact"/>
        <w:rPr>
          <w:sz w:val="20"/>
          <w:szCs w:val="20"/>
          <w:color w:val="auto"/>
        </w:rPr>
      </w:pPr>
      <w:r>
        <w:rPr>
          <w:sz w:val="20"/>
          <w:szCs w:val="20"/>
          <w:color w:val="auto"/>
        </w:rPr>
        <w:br w:type="column"/>
      </w:r>
    </w:p>
    <w:p>
      <w:pPr>
        <w:ind w:right="160"/>
        <w:spacing w:after="0" w:line="253" w:lineRule="auto"/>
        <w:rPr>
          <w:sz w:val="20"/>
          <w:szCs w:val="20"/>
          <w:color w:val="auto"/>
        </w:rPr>
      </w:pPr>
      <w:r>
        <w:rPr>
          <w:rFonts w:ascii="Arial" w:cs="Arial" w:eastAsia="Arial" w:hAnsi="Arial"/>
          <w:sz w:val="16"/>
          <w:szCs w:val="16"/>
          <w:color w:val="auto"/>
        </w:rPr>
        <w:t>The Board believes Weatherford’s improved and evolving executive compensation program is effective in achieving the Company’s objectives</w:t>
      </w:r>
    </w:p>
    <w:p>
      <w:pPr>
        <w:spacing w:after="0" w:line="1" w:lineRule="exact"/>
        <w:rPr>
          <w:sz w:val="20"/>
          <w:szCs w:val="20"/>
          <w:color w:val="auto"/>
        </w:rPr>
      </w:pPr>
    </w:p>
    <w:p>
      <w:pPr>
        <w:sectPr>
          <w:pgSz w:w="11900" w:h="16838" w:orient="portrait"/>
          <w:cols w:equalWidth="0" w:num="2">
            <w:col w:w="5700" w:space="720"/>
            <w:col w:w="5000"/>
          </w:cols>
          <w:pgMar w:left="240" w:top="256" w:right="239" w:bottom="108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0" w:type="dxa"/>
            <w:vAlign w:val="bottom"/>
            <w:tcBorders>
              <w:top w:val="single" w:sz="8" w:color="818284"/>
            </w:tcBorders>
          </w:tcPr>
          <w:p>
            <w:pPr>
              <w:jc w:val="right"/>
              <w:spacing w:after="0"/>
              <w:rPr>
                <w:sz w:val="20"/>
                <w:szCs w:val="20"/>
                <w:color w:val="auto"/>
              </w:rPr>
            </w:pPr>
            <w:r>
              <w:rPr>
                <w:rFonts w:ascii="Arial" w:cs="Arial" w:eastAsia="Arial" w:hAnsi="Arial"/>
                <w:sz w:val="16"/>
                <w:szCs w:val="16"/>
                <w:color w:val="CE0D41"/>
              </w:rPr>
              <w:t>4.</w:t>
            </w:r>
          </w:p>
        </w:tc>
        <w:tc>
          <w:tcPr>
            <w:tcW w:w="2900" w:type="dxa"/>
            <w:vAlign w:val="bottom"/>
            <w:tcBorders>
              <w:top w:val="single" w:sz="8" w:color="818284"/>
            </w:tcBorders>
          </w:tcPr>
          <w:p>
            <w:pPr>
              <w:ind w:left="60"/>
              <w:spacing w:after="0"/>
              <w:rPr>
                <w:sz w:val="20"/>
                <w:szCs w:val="20"/>
                <w:color w:val="auto"/>
              </w:rPr>
            </w:pPr>
            <w:r>
              <w:rPr>
                <w:rFonts w:ascii="Arial" w:cs="Arial" w:eastAsia="Arial" w:hAnsi="Arial"/>
                <w:sz w:val="16"/>
                <w:szCs w:val="16"/>
                <w:color w:val="auto"/>
              </w:rPr>
              <w:t>Approval of an amendment to the</w:t>
            </w:r>
          </w:p>
        </w:tc>
        <w:tc>
          <w:tcPr>
            <w:tcW w:w="2580" w:type="dxa"/>
            <w:vAlign w:val="bottom"/>
            <w:tcBorders>
              <w:top w:val="single" w:sz="8" w:color="818284"/>
            </w:tcBorders>
          </w:tcPr>
          <w:p>
            <w:pPr>
              <w:ind w:left="240"/>
              <w:spacing w:after="0"/>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the amendment</w:t>
            </w:r>
          </w:p>
        </w:tc>
        <w:tc>
          <w:tcPr>
            <w:tcW w:w="5740" w:type="dxa"/>
            <w:vAlign w:val="bottom"/>
            <w:tcBorders>
              <w:top w:val="single" w:sz="8" w:color="818284"/>
            </w:tcBorders>
          </w:tcPr>
          <w:p>
            <w:pPr>
              <w:ind w:left="740"/>
              <w:spacing w:after="0"/>
              <w:rPr>
                <w:sz w:val="20"/>
                <w:szCs w:val="20"/>
                <w:color w:val="auto"/>
              </w:rPr>
            </w:pPr>
            <w:r>
              <w:rPr>
                <w:rFonts w:ascii="Arial" w:cs="Arial" w:eastAsia="Arial" w:hAnsi="Arial"/>
                <w:sz w:val="16"/>
                <w:szCs w:val="16"/>
                <w:color w:val="auto"/>
              </w:rPr>
              <w:t>The Board believes an amendment to increase the number of shares</w:t>
            </w:r>
          </w:p>
        </w:tc>
      </w:tr>
      <w:tr>
        <w:trPr>
          <w:trHeight w:val="189"/>
        </w:trPr>
        <w:tc>
          <w:tcPr>
            <w:tcW w:w="20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6"/>
                <w:szCs w:val="16"/>
                <w:color w:val="auto"/>
              </w:rPr>
              <w:t>Company’s 2010 Omnibus Incentive</w:t>
            </w:r>
          </w:p>
        </w:tc>
        <w:tc>
          <w:tcPr>
            <w:tcW w:w="2580" w:type="dxa"/>
            <w:vAlign w:val="bottom"/>
          </w:tcPr>
          <w:p>
            <w:pPr>
              <w:spacing w:after="0"/>
              <w:rPr>
                <w:sz w:val="16"/>
                <w:szCs w:val="16"/>
                <w:color w:val="auto"/>
              </w:rPr>
            </w:pPr>
          </w:p>
        </w:tc>
        <w:tc>
          <w:tcPr>
            <w:tcW w:w="5740" w:type="dxa"/>
            <w:vAlign w:val="bottom"/>
          </w:tcPr>
          <w:p>
            <w:pPr>
              <w:ind w:left="740"/>
              <w:spacing w:after="0"/>
              <w:rPr>
                <w:sz w:val="20"/>
                <w:szCs w:val="20"/>
                <w:color w:val="auto"/>
              </w:rPr>
            </w:pPr>
            <w:r>
              <w:rPr>
                <w:rFonts w:ascii="Arial" w:cs="Arial" w:eastAsia="Arial" w:hAnsi="Arial"/>
                <w:sz w:val="16"/>
                <w:szCs w:val="16"/>
                <w:color w:val="auto"/>
              </w:rPr>
              <w:t>available under the plan provides incentive opportunities to our</w:t>
            </w:r>
          </w:p>
        </w:tc>
      </w:tr>
      <w:tr>
        <w:trPr>
          <w:trHeight w:val="189"/>
        </w:trPr>
        <w:tc>
          <w:tcPr>
            <w:tcW w:w="20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6"/>
                <w:szCs w:val="16"/>
                <w:color w:val="auto"/>
              </w:rPr>
              <w:t>Plan</w:t>
            </w:r>
          </w:p>
        </w:tc>
        <w:tc>
          <w:tcPr>
            <w:tcW w:w="2580" w:type="dxa"/>
            <w:vAlign w:val="bottom"/>
          </w:tcPr>
          <w:p>
            <w:pPr>
              <w:spacing w:after="0"/>
              <w:rPr>
                <w:sz w:val="16"/>
                <w:szCs w:val="16"/>
                <w:color w:val="auto"/>
              </w:rPr>
            </w:pPr>
          </w:p>
        </w:tc>
        <w:tc>
          <w:tcPr>
            <w:tcW w:w="5740" w:type="dxa"/>
            <w:vAlign w:val="bottom"/>
          </w:tcPr>
          <w:p>
            <w:pPr>
              <w:ind w:left="740"/>
              <w:spacing w:after="0"/>
              <w:rPr>
                <w:sz w:val="20"/>
                <w:szCs w:val="20"/>
                <w:color w:val="auto"/>
              </w:rPr>
            </w:pPr>
            <w:r>
              <w:rPr>
                <w:rFonts w:ascii="Arial" w:cs="Arial" w:eastAsia="Arial" w:hAnsi="Arial"/>
                <w:sz w:val="16"/>
                <w:szCs w:val="16"/>
                <w:color w:val="auto"/>
              </w:rPr>
              <w:t>officers, directors and employees to align their interests with the</w:t>
            </w:r>
          </w:p>
        </w:tc>
      </w:tr>
      <w:tr>
        <w:trPr>
          <w:trHeight w:val="189"/>
        </w:trPr>
        <w:tc>
          <w:tcPr>
            <w:tcW w:w="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740" w:type="dxa"/>
            <w:vAlign w:val="bottom"/>
          </w:tcPr>
          <w:p>
            <w:pPr>
              <w:ind w:left="740"/>
              <w:spacing w:after="0"/>
              <w:rPr>
                <w:sz w:val="20"/>
                <w:szCs w:val="20"/>
                <w:color w:val="auto"/>
              </w:rPr>
            </w:pPr>
            <w:r>
              <w:rPr>
                <w:rFonts w:ascii="Arial" w:cs="Arial" w:eastAsia="Arial" w:hAnsi="Arial"/>
                <w:sz w:val="16"/>
                <w:szCs w:val="16"/>
                <w:color w:val="auto"/>
              </w:rPr>
              <w:t>interests of our shareholders and that the other amendments are</w:t>
            </w:r>
          </w:p>
        </w:tc>
      </w:tr>
      <w:tr>
        <w:trPr>
          <w:trHeight w:val="198"/>
        </w:trPr>
        <w:tc>
          <w:tcPr>
            <w:tcW w:w="200" w:type="dxa"/>
            <w:vAlign w:val="bottom"/>
            <w:tcBorders>
              <w:bottom w:val="single" w:sz="8" w:color="818284"/>
            </w:tcBorders>
          </w:tcPr>
          <w:p>
            <w:pPr>
              <w:spacing w:after="0"/>
              <w:rPr>
                <w:sz w:val="17"/>
                <w:szCs w:val="17"/>
                <w:color w:val="auto"/>
              </w:rPr>
            </w:pPr>
          </w:p>
        </w:tc>
        <w:tc>
          <w:tcPr>
            <w:tcW w:w="2900" w:type="dxa"/>
            <w:vAlign w:val="bottom"/>
            <w:tcBorders>
              <w:bottom w:val="single" w:sz="8" w:color="818284"/>
            </w:tcBorders>
          </w:tcPr>
          <w:p>
            <w:pPr>
              <w:spacing w:after="0"/>
              <w:rPr>
                <w:sz w:val="17"/>
                <w:szCs w:val="17"/>
                <w:color w:val="auto"/>
              </w:rPr>
            </w:pPr>
          </w:p>
        </w:tc>
        <w:tc>
          <w:tcPr>
            <w:tcW w:w="2580" w:type="dxa"/>
            <w:vAlign w:val="bottom"/>
            <w:tcBorders>
              <w:bottom w:val="single" w:sz="8" w:color="818284"/>
            </w:tcBorders>
          </w:tcPr>
          <w:p>
            <w:pPr>
              <w:spacing w:after="0"/>
              <w:rPr>
                <w:sz w:val="17"/>
                <w:szCs w:val="17"/>
                <w:color w:val="auto"/>
              </w:rPr>
            </w:pPr>
          </w:p>
        </w:tc>
        <w:tc>
          <w:tcPr>
            <w:tcW w:w="5740" w:type="dxa"/>
            <w:vAlign w:val="bottom"/>
            <w:tcBorders>
              <w:bottom w:val="single" w:sz="8" w:color="818284"/>
            </w:tcBorders>
          </w:tcPr>
          <w:p>
            <w:pPr>
              <w:ind w:left="740"/>
              <w:spacing w:after="0"/>
              <w:rPr>
                <w:sz w:val="20"/>
                <w:szCs w:val="20"/>
                <w:color w:val="auto"/>
              </w:rPr>
            </w:pPr>
            <w:r>
              <w:rPr>
                <w:rFonts w:ascii="Arial" w:cs="Arial" w:eastAsia="Arial" w:hAnsi="Arial"/>
                <w:sz w:val="16"/>
                <w:szCs w:val="16"/>
                <w:color w:val="auto"/>
              </w:rPr>
              <w:t>more shareholder-favorable</w:t>
            </w:r>
          </w:p>
        </w:tc>
      </w:tr>
      <w:tr>
        <w:trPr>
          <w:trHeight w:val="201"/>
        </w:trPr>
        <w:tc>
          <w:tcPr>
            <w:tcW w:w="200" w:type="dxa"/>
            <w:vAlign w:val="bottom"/>
          </w:tcPr>
          <w:p>
            <w:pPr>
              <w:jc w:val="right"/>
              <w:spacing w:after="0"/>
              <w:rPr>
                <w:sz w:val="20"/>
                <w:szCs w:val="20"/>
                <w:color w:val="auto"/>
              </w:rPr>
            </w:pPr>
            <w:r>
              <w:rPr>
                <w:rFonts w:ascii="Arial" w:cs="Arial" w:eastAsia="Arial" w:hAnsi="Arial"/>
                <w:sz w:val="16"/>
                <w:szCs w:val="16"/>
                <w:color w:val="CE0D41"/>
              </w:rPr>
              <w:t>5.</w:t>
            </w:r>
          </w:p>
        </w:tc>
        <w:tc>
          <w:tcPr>
            <w:tcW w:w="2900" w:type="dxa"/>
            <w:vAlign w:val="bottom"/>
          </w:tcPr>
          <w:p>
            <w:pPr>
              <w:ind w:left="60"/>
              <w:spacing w:after="0"/>
              <w:rPr>
                <w:sz w:val="20"/>
                <w:szCs w:val="20"/>
                <w:color w:val="auto"/>
              </w:rPr>
            </w:pPr>
            <w:r>
              <w:rPr>
                <w:rFonts w:ascii="Arial" w:cs="Arial" w:eastAsia="Arial" w:hAnsi="Arial"/>
                <w:sz w:val="16"/>
                <w:szCs w:val="16"/>
                <w:color w:val="auto"/>
              </w:rPr>
              <w:t>Authorizing holding 2016 Annual</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the authorization</w:t>
            </w:r>
          </w:p>
        </w:tc>
        <w:tc>
          <w:tcPr>
            <w:tcW w:w="5740" w:type="dxa"/>
            <w:vAlign w:val="bottom"/>
          </w:tcPr>
          <w:p>
            <w:pPr>
              <w:ind w:left="740"/>
              <w:spacing w:after="0"/>
              <w:rPr>
                <w:sz w:val="20"/>
                <w:szCs w:val="20"/>
                <w:color w:val="auto"/>
              </w:rPr>
            </w:pPr>
            <w:r>
              <w:rPr>
                <w:rFonts w:ascii="Arial" w:cs="Arial" w:eastAsia="Arial" w:hAnsi="Arial"/>
                <w:sz w:val="16"/>
                <w:szCs w:val="16"/>
                <w:color w:val="auto"/>
              </w:rPr>
              <w:t>The Board would like to ensure flexibility in determining the optimal</w:t>
            </w:r>
          </w:p>
        </w:tc>
      </w:tr>
      <w:tr>
        <w:trPr>
          <w:trHeight w:val="198"/>
        </w:trPr>
        <w:tc>
          <w:tcPr>
            <w:tcW w:w="200" w:type="dxa"/>
            <w:vAlign w:val="bottom"/>
            <w:tcBorders>
              <w:bottom w:val="single" w:sz="8" w:color="818284"/>
            </w:tcBorders>
          </w:tcPr>
          <w:p>
            <w:pPr>
              <w:spacing w:after="0"/>
              <w:rPr>
                <w:sz w:val="17"/>
                <w:szCs w:val="17"/>
                <w:color w:val="auto"/>
              </w:rPr>
            </w:pPr>
          </w:p>
        </w:tc>
        <w:tc>
          <w:tcPr>
            <w:tcW w:w="290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General Meeting outside of Ireland</w:t>
            </w:r>
          </w:p>
        </w:tc>
        <w:tc>
          <w:tcPr>
            <w:tcW w:w="2580" w:type="dxa"/>
            <w:vAlign w:val="bottom"/>
            <w:tcBorders>
              <w:bottom w:val="single" w:sz="8" w:color="818284"/>
            </w:tcBorders>
          </w:tcPr>
          <w:p>
            <w:pPr>
              <w:spacing w:after="0"/>
              <w:rPr>
                <w:sz w:val="17"/>
                <w:szCs w:val="17"/>
                <w:color w:val="auto"/>
              </w:rPr>
            </w:pPr>
          </w:p>
        </w:tc>
        <w:tc>
          <w:tcPr>
            <w:tcW w:w="5740" w:type="dxa"/>
            <w:vAlign w:val="bottom"/>
            <w:tcBorders>
              <w:bottom w:val="single" w:sz="8" w:color="818284"/>
            </w:tcBorders>
          </w:tcPr>
          <w:p>
            <w:pPr>
              <w:ind w:left="740"/>
              <w:spacing w:after="0"/>
              <w:rPr>
                <w:sz w:val="20"/>
                <w:szCs w:val="20"/>
                <w:color w:val="auto"/>
              </w:rPr>
            </w:pPr>
            <w:r>
              <w:rPr>
                <w:rFonts w:ascii="Arial" w:cs="Arial" w:eastAsia="Arial" w:hAnsi="Arial"/>
                <w:sz w:val="16"/>
                <w:szCs w:val="16"/>
                <w:color w:val="auto"/>
              </w:rPr>
              <w:t>location of the 2016 Annual General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p>
      <w:pPr>
        <w:ind w:right="580"/>
        <w:spacing w:after="0" w:line="278" w:lineRule="auto"/>
        <w:rPr>
          <w:sz w:val="20"/>
          <w:szCs w:val="20"/>
          <w:color w:val="auto"/>
        </w:rPr>
      </w:pPr>
      <w:r>
        <w:rPr>
          <w:rFonts w:ascii="Arial" w:cs="Arial" w:eastAsia="Arial" w:hAnsi="Arial"/>
          <w:sz w:val="29"/>
          <w:szCs w:val="29"/>
          <w:b w:val="1"/>
          <w:bCs w:val="1"/>
          <w:color w:val="CE0D41"/>
        </w:rPr>
        <w:t>VOTING INSTRUCTIONS FOR SHAREHOLDERS OF RECORD AND BENEFICIAL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You may vote using one of the following options. In all cases, have your proxy card or voting instruction form in hand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40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49" w:lineRule="exact"/>
        <w:rPr>
          <w:sz w:val="20"/>
          <w:szCs w:val="20"/>
          <w:color w:val="auto"/>
        </w:rPr>
      </w:pPr>
    </w:p>
    <w:p>
      <w:pPr>
        <w:ind w:left="1460" w:right="240"/>
        <w:spacing w:after="0" w:line="286" w:lineRule="auto"/>
        <w:rPr>
          <w:sz w:val="20"/>
          <w:szCs w:val="20"/>
          <w:color w:val="auto"/>
        </w:rPr>
      </w:pPr>
      <w:r>
        <w:rPr>
          <w:rFonts w:ascii="Arial" w:cs="Arial" w:eastAsia="Arial" w:hAnsi="Arial"/>
          <w:sz w:val="16"/>
          <w:szCs w:val="16"/>
          <w:b w:val="1"/>
          <w:bCs w:val="1"/>
          <w:color w:val="CE0D41"/>
        </w:rPr>
        <w:t xml:space="preserve">When </w:t>
      </w:r>
      <w:r>
        <w:rPr>
          <w:rFonts w:ascii="Arial" w:cs="Arial" w:eastAsia="Arial" w:hAnsi="Arial"/>
          <w:sz w:val="16"/>
          <w:szCs w:val="16"/>
          <w:color w:val="000000"/>
        </w:rPr>
        <w:t>Complete and send your proxy card immediately to allow time for our receipt of your completed proxy card on or before 5:59 a.m.</w:t>
      </w:r>
      <w:r>
        <w:rPr>
          <w:rFonts w:ascii="Arial" w:cs="Arial" w:eastAsia="Arial" w:hAnsi="Arial"/>
          <w:sz w:val="16"/>
          <w:szCs w:val="16"/>
          <w:b w:val="1"/>
          <w:bCs w:val="1"/>
          <w:color w:val="CE0D41"/>
        </w:rPr>
        <w:t xml:space="preserve"> </w:t>
      </w:r>
      <w:r>
        <w:rPr>
          <w:rFonts w:ascii="Arial" w:cs="Arial" w:eastAsia="Arial" w:hAnsi="Arial"/>
          <w:sz w:val="16"/>
          <w:szCs w:val="16"/>
          <w:color w:val="000000"/>
        </w:rPr>
        <w:t>Central European Time on June 15, 2015 (11:59 p.m. New York time on June 14, 2015)</w:t>
      </w:r>
    </w:p>
    <w:p>
      <w:pPr>
        <w:spacing w:after="0" w:line="12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How </w:t>
      </w:r>
      <w:r>
        <w:rPr>
          <w:rFonts w:ascii="Arial" w:cs="Arial" w:eastAsia="Arial" w:hAnsi="Arial"/>
          <w:sz w:val="16"/>
          <w:szCs w:val="16"/>
          <w:color w:val="000000"/>
        </w:rPr>
        <w:t>Follow these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When </w:t>
      </w:r>
      <w:r>
        <w:rPr>
          <w:rFonts w:ascii="Arial" w:cs="Arial" w:eastAsia="Arial" w:hAnsi="Arial"/>
          <w:sz w:val="16"/>
          <w:szCs w:val="16"/>
          <w:color w:val="000000"/>
        </w:rPr>
        <w:t>On or before 5:59 a.m. Central European Time on June 15, 2015 (11:59 p.m. New York time on June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-104775</wp:posOffset>
            </wp:positionV>
            <wp:extent cx="291465" cy="531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1465" cy="531495"/>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How </w:t>
      </w:r>
      <w:r>
        <w:rPr>
          <w:rFonts w:ascii="Arial" w:cs="Arial" w:eastAsia="Arial" w:hAnsi="Arial"/>
          <w:sz w:val="16"/>
          <w:szCs w:val="16"/>
          <w:color w:val="000000"/>
        </w:rPr>
        <w:t>Use any touch-tone telephone to transmit your voting instructions</w:t>
      </w: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When </w:t>
      </w:r>
      <w:r>
        <w:rPr>
          <w:rFonts w:ascii="Arial" w:cs="Arial" w:eastAsia="Arial" w:hAnsi="Arial"/>
          <w:sz w:val="16"/>
          <w:szCs w:val="16"/>
          <w:color w:val="000000"/>
        </w:rPr>
        <w:t>On or before 5:59 a.m. Central European Time on June 15, 2015 (11:59 p.m. New York time on June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-104775</wp:posOffset>
            </wp:positionV>
            <wp:extent cx="582930" cy="6089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 cy="608965"/>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How </w:t>
      </w:r>
      <w:r>
        <w:rPr>
          <w:rFonts w:ascii="Arial" w:cs="Arial" w:eastAsia="Arial" w:hAnsi="Arial"/>
          <w:sz w:val="16"/>
          <w:szCs w:val="16"/>
          <w:color w:val="000000"/>
        </w:rPr>
        <w:t>Use the Internet to transmit your voting instructions</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www.proxyvote.com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VISIT OUR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CE0D41"/>
        </w:rPr>
        <w:t>www.weatherfordannualmeeting.com</w:t>
      </w:r>
    </w:p>
    <w:p>
      <w:pPr>
        <w:spacing w:after="0" w:line="21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“For the benefit of our shareholders, we have created an online voting portal where you can easily access our Annual Report, Proxy Statement and Financial Statements.”</w:t>
      </w:r>
    </w:p>
    <w:p>
      <w:pPr>
        <w:sectPr>
          <w:pgSz w:w="11900" w:h="16838" w:orient="portrait"/>
          <w:cols w:equalWidth="0" w:num="1">
            <w:col w:w="11420"/>
          </w:cols>
          <w:pgMar w:left="240" w:top="256" w:right="239" w:bottom="108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370580" cy="1844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337058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KAREN DAVID-GREEN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308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Vice President Investor Relations and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5"/>
          <w:szCs w:val="15"/>
          <w:b w:val="1"/>
          <w:bCs w:val="1"/>
          <w:color w:val="818284"/>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9307830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 w:hanging="352"/>
        <w:spacing w:after="0"/>
        <w:tabs>
          <w:tab w:leader="none" w:pos="352" w:val="left"/>
        </w:tabs>
        <w:numPr>
          <w:ilvl w:val="0"/>
          <w:numId w:val="2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24" w:name="page25"/>
    <w:bookmarkEnd w:id="24"/>
    <w:p>
      <w:pPr>
        <w:ind w:right="1620"/>
        <w:spacing w:after="0" w:line="283" w:lineRule="auto"/>
        <w:rPr>
          <w:sz w:val="20"/>
          <w:szCs w:val="20"/>
          <w:color w:val="auto"/>
        </w:rPr>
      </w:pPr>
      <w:r>
        <w:rPr>
          <w:rFonts w:ascii="Arial" w:cs="Arial" w:eastAsia="Arial" w:hAnsi="Arial"/>
          <w:sz w:val="64"/>
          <w:szCs w:val="64"/>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NOTICE OF ANNUAL GENERAL MEETING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June 16, 2015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CE0D41"/>
        </w:rPr>
        <w:t>10:00 A.M. (Central European Time)</w:t>
      </w:r>
    </w:p>
    <w:p>
      <w:pPr>
        <w:spacing w:after="0"/>
        <w:rPr>
          <w:sz w:val="20"/>
          <w:szCs w:val="20"/>
          <w:color w:val="auto"/>
        </w:rPr>
      </w:pPr>
      <w:r>
        <w:rPr>
          <w:rFonts w:ascii="Arial" w:cs="Arial" w:eastAsia="Arial" w:hAnsi="Arial"/>
          <w:sz w:val="18"/>
          <w:szCs w:val="18"/>
          <w:b w:val="1"/>
          <w:bCs w:val="1"/>
          <w:color w:val="CE0D41"/>
        </w:rPr>
        <w:t>The Mandarin Oriental Hotel, Quai Turrettini 1, 1201 Geneva, Switzerland</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Notice is hereby given that the 2015 Annual General Meeting of Shareholders (the “Annual General Meeting”) of Weatherford International plc (the “Company”) will be held at 10:00 a.m. (Central European Time) on Tuesday, June 16, 2015, at The Mandarin Oriental Hotel, Quai Turrettini 1, 1201 Geneva, Switzerland, for the following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AGENDA ITEMS</w:t>
      </w:r>
    </w:p>
    <w:p>
      <w:pPr>
        <w:spacing w:after="0" w:line="214" w:lineRule="exact"/>
        <w:rPr>
          <w:sz w:val="20"/>
          <w:szCs w:val="20"/>
          <w:color w:val="auto"/>
        </w:rPr>
      </w:pPr>
    </w:p>
    <w:p>
      <w:pPr>
        <w:jc w:val="both"/>
        <w:ind w:left="280" w:right="380" w:hanging="272"/>
        <w:spacing w:after="0" w:line="260" w:lineRule="auto"/>
        <w:tabs>
          <w:tab w:leader="none" w:pos="280" w:val="left"/>
        </w:tabs>
        <w:numPr>
          <w:ilvl w:val="0"/>
          <w:numId w:val="25"/>
        </w:numPr>
        <w:rPr>
          <w:rFonts w:ascii="Arial" w:cs="Arial" w:eastAsia="Arial" w:hAnsi="Arial"/>
          <w:sz w:val="16"/>
          <w:szCs w:val="16"/>
          <w:color w:val="BB1131"/>
        </w:rPr>
      </w:pPr>
      <w:r>
        <w:rPr>
          <w:rFonts w:ascii="Arial" w:cs="Arial" w:eastAsia="Arial" w:hAnsi="Arial"/>
          <w:sz w:val="16"/>
          <w:szCs w:val="16"/>
          <w:color w:val="auto"/>
        </w:rPr>
        <w:t>By separate resolutions, to elect the following ten individuals as directors of the Company until the 2016 annual general meeting of shareholders of the Company (the “2016 Annual General Meeting”) or, in each case, until his earlier death, retirement, resignation or removal from the position of director:</w:t>
      </w:r>
    </w:p>
    <w:p>
      <w:pPr>
        <w:spacing w:after="0" w:line="168" w:lineRule="exact"/>
        <w:rPr>
          <w:rFonts w:ascii="Arial" w:cs="Arial" w:eastAsia="Arial" w:hAnsi="Arial"/>
          <w:sz w:val="16"/>
          <w:szCs w:val="16"/>
          <w:color w:val="BB113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Mohamed A. Awad</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David J. Butters</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Dr. Bernard J. Duroc-Danner</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John D. Gass</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Sir Emyr Jones Parry</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Francis S. Kalman</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William E. Macaulay</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Robert K. Moses, Jr.</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Dr. Guillermo Ortiz</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Robert A. Rayne</w:t>
      </w:r>
    </w:p>
    <w:p>
      <w:pPr>
        <w:spacing w:after="0" w:line="194" w:lineRule="exact"/>
        <w:rPr>
          <w:rFonts w:ascii="Arial" w:cs="Arial" w:eastAsia="Arial" w:hAnsi="Arial"/>
          <w:sz w:val="16"/>
          <w:szCs w:val="16"/>
          <w:color w:val="CE0D41"/>
        </w:rPr>
      </w:pPr>
    </w:p>
    <w:p>
      <w:pPr>
        <w:ind w:left="280" w:right="120" w:hanging="272"/>
        <w:spacing w:after="0" w:line="260" w:lineRule="auto"/>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ratify the appointment of KPMG LLP as the Company’s independent registered public accounting firm and auditor for the financial year ending December 31, 2015 and to authorize the Board of Directors of the Company, acting through the Audit Committee, to determine the auditor’s remuneration.</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adopt an advisory resolution approving the compensation of the named executive officers.</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approve an amendment to the Company’s 2010 Omnibus Incentive Plan.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authorize holding the 2016 Annual General Meeting at a location outside of Ireland as currently required under Irish law.</w:t>
      </w:r>
    </w:p>
    <w:p>
      <w:pPr>
        <w:spacing w:after="0" w:line="19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foregoing items, including the votes required in respect of each, are more fully described (and the full text of each proposal is set out) in the accompanying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ORGANIZATIONAL MATTERS</w:t>
      </w: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have established the close of business on April 23, 2015 as the record date for determining the shareholders listed in our share register (registered shareholders) entitled to attend, vote or grant proxies to vote at the Annual General Meeting or any adjournments or postponements of the Annual General Meeting. A copy of this notice, the accompanying Proxy Statement and the proxy card are first being sent on or about May 1, 2015, to each shareholder in our share register as of the record date, together with a copy of our 2014 Annual Report and Irish Statutory Accounts for fiscal year 2014.</w:t>
      </w:r>
    </w:p>
    <w:p>
      <w:pPr>
        <w:spacing w:after="0" w:line="15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Only shareholders who are registered in our share register as of the record date will be entitled to attend, vote or grant proxies to vote at the Annual General Meeting. Any such registered shareholder may appoint one or more proxies to attend, speak and vote in his place at the Annual General Meeting. A proxy holder need not be a registered shareholder.</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ANNUAL REPORT, FINANCIAL STATEMENTS</w:t>
      </w:r>
    </w:p>
    <w:p>
      <w:pPr>
        <w:spacing w:after="0" w:line="21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 xml:space="preserve">The 2014 Annual Report and the audited consolidated financial statements for Weatherford International plc for the year ended December 31, 2014, and accompanying auditor’s reports have been filed with the U.S. Securities and Exchange Commission (“SEC”).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Any shareholder may also obtain a copy of these documents free of charge by contacting our U.S. Investor Relations Department in writing at 2000 St. James Place, Houston, Texas 77056 or by telephone at +1 (713) 836-4000. Additionally, during the Annual General Meeting, the Company’s management will present Weatherford’s Irish Statutory Accounts for the fiscal year ended December 31, 2014 along with related directors’ and auditor’s reports.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1, 2015</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121920</wp:posOffset>
            </wp:positionV>
            <wp:extent cx="1800860" cy="514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008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920"/>
        <w:spacing w:after="0"/>
        <w:rPr>
          <w:sz w:val="20"/>
          <w:szCs w:val="20"/>
          <w:color w:val="auto"/>
        </w:rPr>
      </w:pPr>
      <w:r>
        <w:rPr>
          <w:rFonts w:ascii="Arial" w:cs="Arial" w:eastAsia="Arial" w:hAnsi="Arial"/>
          <w:sz w:val="16"/>
          <w:szCs w:val="16"/>
          <w:i w:val="1"/>
          <w:iCs w:val="1"/>
          <w:color w:val="auto"/>
        </w:rPr>
        <w:t>Natalia G. Shehadeh</w:t>
      </w:r>
    </w:p>
    <w:p>
      <w:pPr>
        <w:spacing w:after="0" w:line="21"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30" w:right="239" w:bottom="383"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9307830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2" w:hanging="312"/>
        <w:spacing w:after="0"/>
        <w:tabs>
          <w:tab w:leader="none" w:pos="312" w:val="left"/>
        </w:tabs>
        <w:numPr>
          <w:ilvl w:val="0"/>
          <w:numId w:val="2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26" w:name="page27"/>
    <w:bookmarkEnd w:id="26"/>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3" w:lineRule="exact"/>
        <w:rPr>
          <w:sz w:val="20"/>
          <w:szCs w:val="20"/>
          <w:color w:val="auto"/>
        </w:rPr>
      </w:pPr>
    </w:p>
    <w:tbl>
      <w:tblPr>
        <w:tblLayout w:type="fixed"/>
        <w:tblInd w:w="1080" w:type="dxa"/>
        <w:tblCellMar>
          <w:top w:w="0" w:type="dxa"/>
          <w:left w:w="0" w:type="dxa"/>
          <w:bottom w:w="0" w:type="dxa"/>
          <w:right w:w="0" w:type="dxa"/>
        </w:tblCellMar>
      </w:tblPr>
      <w:tr>
        <w:trPr>
          <w:trHeight w:val="277"/>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05-08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PROXY STATEMENT</w:t>
              </w:r>
            </w:hyperlink>
          </w:p>
        </w:tc>
        <w:tc>
          <w:tcPr>
            <w:tcW w:w="0" w:type="dxa"/>
            <w:vAlign w:val="bottom"/>
          </w:tcPr>
          <w:p>
            <w:pPr>
              <w:spacing w:after="0"/>
              <w:rPr>
                <w:sz w:val="1"/>
                <w:szCs w:val="1"/>
                <w:color w:val="auto"/>
              </w:rPr>
            </w:pPr>
          </w:p>
        </w:tc>
      </w:tr>
      <w:tr>
        <w:trPr>
          <w:trHeight w:val="171"/>
        </w:trPr>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40" w:type="dxa"/>
            <w:vAlign w:val="bottom"/>
            <w:gridSpan w:val="2"/>
          </w:tcPr>
          <w:p>
            <w:pPr>
              <w:ind w:left="1260"/>
              <w:spacing w:after="0" w:line="160" w:lineRule="exact"/>
              <w:rPr>
                <w:rFonts w:ascii="Arial" w:cs="Arial" w:eastAsia="Arial" w:hAnsi="Arial"/>
                <w:sz w:val="15"/>
                <w:szCs w:val="15"/>
                <w:color w:val="0000EE"/>
                <w:w w:val="71"/>
              </w:rPr>
            </w:pPr>
            <w:hyperlink w:anchor="page29">
              <w:r>
                <w:rPr>
                  <w:rFonts w:ascii="Arial" w:cs="Arial" w:eastAsia="Arial" w:hAnsi="Arial"/>
                  <w:sz w:val="15"/>
                  <w:szCs w:val="15"/>
                  <w:color w:val="0000EE"/>
                  <w:w w:val="71"/>
                </w:rPr>
                <w:t>5</w:t>
              </w:r>
            </w:hyperlink>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60" w:type="dxa"/>
            <w:vAlign w:val="bottom"/>
            <w:gridSpan w:val="9"/>
          </w:tcPr>
          <w:p>
            <w:pPr>
              <w:spacing w:after="0" w:line="160" w:lineRule="exact"/>
              <w:rPr>
                <w:rFonts w:ascii="Arial" w:cs="Arial" w:eastAsia="Arial" w:hAnsi="Arial"/>
                <w:sz w:val="16"/>
                <w:szCs w:val="16"/>
                <w:color w:val="0000EE"/>
              </w:rPr>
            </w:pPr>
            <w:hyperlink w:anchor="page29">
              <w:r>
                <w:rPr>
                  <w:rFonts w:ascii="Arial" w:cs="Arial" w:eastAsia="Arial" w:hAnsi="Arial"/>
                  <w:sz w:val="16"/>
                  <w:szCs w:val="16"/>
                  <w:color w:val="0000EE"/>
                </w:rPr>
                <w:t>Information about the Meeting and Voting</w:t>
              </w:r>
            </w:hyperlink>
          </w:p>
        </w:tc>
        <w:tc>
          <w:tcPr>
            <w:tcW w:w="0" w:type="dxa"/>
            <w:vAlign w:val="bottom"/>
          </w:tcPr>
          <w:p>
            <w:pPr>
              <w:spacing w:after="0"/>
              <w:rPr>
                <w:sz w:val="1"/>
                <w:szCs w:val="1"/>
                <w:color w:val="auto"/>
              </w:rPr>
            </w:pPr>
          </w:p>
        </w:tc>
      </w:tr>
      <w:tr>
        <w:trPr>
          <w:trHeight w:val="122"/>
        </w:trPr>
        <w:tc>
          <w:tcPr>
            <w:tcW w:w="126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4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720" w:type="dxa"/>
            <w:vAlign w:val="bottom"/>
            <w:tcBorders>
              <w:top w:val="single" w:sz="8" w:color="0000EE"/>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line="269" w:lineRule="exact"/>
              <w:rPr>
                <w:sz w:val="20"/>
                <w:szCs w:val="20"/>
                <w:color w:val="auto"/>
              </w:rPr>
            </w:pPr>
            <w:r>
              <w:rPr>
                <w:rFonts w:ascii="Arial" w:cs="Arial" w:eastAsia="Arial" w:hAnsi="Arial"/>
                <w:sz w:val="31"/>
                <w:szCs w:val="31"/>
                <w:b w:val="1"/>
                <w:bCs w:val="1"/>
                <w:color w:val="auto"/>
              </w:rPr>
              <w:t>09-21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Borders>
              <w:bottom w:val="single" w:sz="8" w:color="0000EE"/>
            </w:tcBorders>
            <w:gridSpan w:val="6"/>
          </w:tcPr>
          <w:p>
            <w:pPr>
              <w:spacing w:after="0"/>
              <w:rPr>
                <w:rFonts w:ascii="Arial" w:cs="Arial" w:eastAsia="Arial" w:hAnsi="Arial"/>
                <w:sz w:val="22"/>
                <w:szCs w:val="22"/>
                <w:color w:val="0000EE"/>
                <w:w w:val="97"/>
              </w:rPr>
            </w:pPr>
            <w:hyperlink w:anchor="page34">
              <w:r>
                <w:rPr>
                  <w:rFonts w:ascii="Arial" w:cs="Arial" w:eastAsia="Arial" w:hAnsi="Arial"/>
                  <w:sz w:val="22"/>
                  <w:szCs w:val="22"/>
                  <w:color w:val="0000EE"/>
                  <w:w w:val="97"/>
                </w:rPr>
                <w:t>AGENDA ITEM 1 – ELECT DIRECTORS</w:t>
              </w:r>
            </w:hyperlink>
          </w:p>
        </w:tc>
        <w:tc>
          <w:tcPr>
            <w:tcW w:w="4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40" w:type="dxa"/>
            <w:vAlign w:val="bottom"/>
            <w:gridSpan w:val="3"/>
          </w:tcPr>
          <w:p>
            <w:pPr>
              <w:ind w:left="1260"/>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13</w:t>
              </w:r>
            </w:hyperlink>
          </w:p>
        </w:tc>
        <w:tc>
          <w:tcPr>
            <w:tcW w:w="2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Corporate Governance Matters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3"/>
          </w:tcPr>
          <w:p>
            <w:pPr>
              <w:ind w:left="1260"/>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16</w:t>
              </w:r>
            </w:hyperlink>
          </w:p>
        </w:tc>
        <w:tc>
          <w:tcPr>
            <w:tcW w:w="240" w:type="dxa"/>
            <w:vAlign w:val="bottom"/>
          </w:tcPr>
          <w:p>
            <w:pPr>
              <w:spacing w:after="0"/>
              <w:rPr>
                <w:sz w:val="19"/>
                <w:szCs w:val="19"/>
                <w:color w:val="auto"/>
              </w:rPr>
            </w:pPr>
          </w:p>
        </w:tc>
        <w:tc>
          <w:tcPr>
            <w:tcW w:w="8660" w:type="dxa"/>
            <w:vAlign w:val="bottom"/>
            <w:gridSpan w:val="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Our Board Committees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3"/>
          </w:tcPr>
          <w:p>
            <w:pPr>
              <w:ind w:left="1260"/>
              <w:spacing w:after="0"/>
              <w:rPr>
                <w:rFonts w:ascii="Arial" w:cs="Arial" w:eastAsia="Arial" w:hAnsi="Arial"/>
                <w:sz w:val="16"/>
                <w:szCs w:val="16"/>
                <w:color w:val="0000EE"/>
                <w:w w:val="89"/>
              </w:rPr>
            </w:pPr>
            <w:hyperlink w:anchor="page45">
              <w:r>
                <w:rPr>
                  <w:rFonts w:ascii="Arial" w:cs="Arial" w:eastAsia="Arial" w:hAnsi="Arial"/>
                  <w:sz w:val="16"/>
                  <w:szCs w:val="16"/>
                  <w:color w:val="0000EE"/>
                  <w:w w:val="89"/>
                </w:rPr>
                <w:t>19</w:t>
              </w:r>
            </w:hyperlink>
          </w:p>
        </w:tc>
        <w:tc>
          <w:tcPr>
            <w:tcW w:w="240" w:type="dxa"/>
            <w:vAlign w:val="bottom"/>
          </w:tcPr>
          <w:p>
            <w:pPr>
              <w:spacing w:after="0"/>
              <w:rPr>
                <w:sz w:val="19"/>
                <w:szCs w:val="19"/>
                <w:color w:val="auto"/>
              </w:rPr>
            </w:pPr>
          </w:p>
        </w:tc>
        <w:tc>
          <w:tcPr>
            <w:tcW w:w="8660" w:type="dxa"/>
            <w:vAlign w:val="bottom"/>
            <w:gridSpan w:val="9"/>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Board Compensation</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top w:val="single" w:sz="8" w:color="0000EE"/>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22-23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22"/>
                <w:szCs w:val="22"/>
                <w:color w:val="0000EE"/>
              </w:rPr>
            </w:pPr>
            <w:hyperlink w:anchor="page48">
              <w:r>
                <w:rPr>
                  <w:rFonts w:ascii="Arial" w:cs="Arial" w:eastAsia="Arial" w:hAnsi="Arial"/>
                  <w:sz w:val="22"/>
                  <w:szCs w:val="22"/>
                  <w:color w:val="0000EE"/>
                </w:rPr>
                <w:t>AGENDA ITEM 2 – RATIFY APPOINTMENT OF INDEPENDENT AUDITORS AND</w:t>
              </w:r>
            </w:hyperlink>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40" w:type="dxa"/>
            <w:vAlign w:val="bottom"/>
            <w:tcBorders>
              <w:top w:val="single" w:sz="8" w:color="0000EE"/>
            </w:tcBorders>
            <w:gridSpan w:val="8"/>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AUTHORIZE AUDITOR’S REMUNERATION</w:t>
              </w:r>
            </w:hyperlink>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760" w:hanging="429"/>
        <w:spacing w:after="0"/>
        <w:tabs>
          <w:tab w:leader="none" w:pos="2760" w:val="left"/>
        </w:tabs>
        <w:numPr>
          <w:ilvl w:val="0"/>
          <w:numId w:val="27"/>
        </w:numPr>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2013 Change in Independent Registered Public Accounting Firm</w:t>
        </w:r>
      </w:hyperlink>
    </w:p>
    <w:p>
      <w:pPr>
        <w:spacing w:after="0" w:line="59" w:lineRule="exact"/>
        <w:rPr>
          <w:rFonts w:ascii="Arial" w:cs="Arial" w:eastAsia="Arial" w:hAnsi="Arial"/>
          <w:sz w:val="16"/>
          <w:szCs w:val="16"/>
          <w:u w:val="single" w:color="auto"/>
          <w:color w:val="0000EE"/>
        </w:rPr>
      </w:pPr>
    </w:p>
    <w:p>
      <w:pPr>
        <w:ind w:left="2760" w:hanging="429"/>
        <w:spacing w:after="0"/>
        <w:tabs>
          <w:tab w:leader="none" w:pos="2760" w:val="left"/>
        </w:tabs>
        <w:numPr>
          <w:ilvl w:val="0"/>
          <w:numId w:val="27"/>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Fees Paid to KPMG</w:t>
        </w:r>
      </w:hyperlink>
    </w:p>
    <w:p>
      <w:pPr>
        <w:spacing w:after="0" w:line="59" w:lineRule="exact"/>
        <w:rPr>
          <w:rFonts w:ascii="Arial" w:cs="Arial" w:eastAsia="Arial" w:hAnsi="Arial"/>
          <w:sz w:val="16"/>
          <w:szCs w:val="16"/>
          <w:u w:val="single" w:color="auto"/>
          <w:color w:val="0000EE"/>
        </w:rPr>
      </w:pPr>
    </w:p>
    <w:p>
      <w:pPr>
        <w:ind w:left="2760" w:hanging="429"/>
        <w:spacing w:after="0"/>
        <w:tabs>
          <w:tab w:leader="none" w:pos="2760" w:val="left"/>
        </w:tabs>
        <w:numPr>
          <w:ilvl w:val="0"/>
          <w:numId w:val="28"/>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Audit Committee Pre-Approval Policy</w:t>
        </w:r>
      </w:hyperlink>
    </w:p>
    <w:p>
      <w:pPr>
        <w:spacing w:after="0" w:line="59" w:lineRule="exact"/>
        <w:rPr>
          <w:rFonts w:ascii="Arial" w:cs="Arial" w:eastAsia="Arial" w:hAnsi="Arial"/>
          <w:sz w:val="16"/>
          <w:szCs w:val="16"/>
          <w:u w:val="single" w:color="auto"/>
          <w:color w:val="0000EE"/>
        </w:rPr>
      </w:pPr>
    </w:p>
    <w:p>
      <w:pPr>
        <w:ind w:left="2760" w:hanging="429"/>
        <w:spacing w:after="0"/>
        <w:tabs>
          <w:tab w:leader="none" w:pos="2760" w:val="left"/>
        </w:tabs>
        <w:numPr>
          <w:ilvl w:val="0"/>
          <w:numId w:val="29"/>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682625</wp:posOffset>
            </wp:positionH>
            <wp:positionV relativeFrom="paragraph">
              <wp:posOffset>79375</wp:posOffset>
            </wp:positionV>
            <wp:extent cx="65690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162" w:lineRule="exact"/>
        <w:rPr>
          <w:rFonts w:ascii="Arial" w:cs="Arial" w:eastAsia="Arial" w:hAnsi="Arial"/>
          <w:sz w:val="16"/>
          <w:szCs w:val="16"/>
          <w:u w:val="single" w:color="auto"/>
          <w:color w:val="0000EE"/>
        </w:rPr>
      </w:pPr>
    </w:p>
    <w:tbl>
      <w:tblPr>
        <w:tblLayout w:type="fixed"/>
        <w:tblInd w:w="1080" w:type="dxa"/>
        <w:tblCellMar>
          <w:top w:w="0" w:type="dxa"/>
          <w:left w:w="0" w:type="dxa"/>
          <w:bottom w:w="0" w:type="dxa"/>
          <w:right w:w="0" w:type="dxa"/>
        </w:tblCellMar>
      </w:tblPr>
      <w:tr>
        <w:trPr>
          <w:trHeight w:val="253"/>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24-25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60" w:type="dxa"/>
            <w:vAlign w:val="bottom"/>
            <w:gridSpan w:val="26"/>
          </w:tcPr>
          <w:p>
            <w:pPr>
              <w:spacing w:after="0"/>
              <w:rPr>
                <w:rFonts w:ascii="Arial" w:cs="Arial" w:eastAsia="Arial" w:hAnsi="Arial"/>
                <w:sz w:val="22"/>
                <w:szCs w:val="22"/>
                <w:color w:val="0000EE"/>
              </w:rPr>
            </w:pPr>
            <w:hyperlink w:anchor="page50">
              <w:r>
                <w:rPr>
                  <w:rFonts w:ascii="Arial" w:cs="Arial" w:eastAsia="Arial" w:hAnsi="Arial"/>
                  <w:sz w:val="22"/>
                  <w:szCs w:val="22"/>
                  <w:color w:val="0000EE"/>
                </w:rPr>
                <w:t>AGENDA ITEM 3 – ADVISORY APPROVAL OF EXECUTIVE COMPENSATION</w:t>
              </w:r>
            </w:hyperlink>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92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gridSpan w:val="2"/>
          </w:tcPr>
          <w:p>
            <w:pPr>
              <w:ind w:left="1260"/>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25</w:t>
              </w:r>
            </w:hyperlink>
          </w:p>
        </w:tc>
        <w:tc>
          <w:tcPr>
            <w:tcW w:w="240" w:type="dxa"/>
            <w:vAlign w:val="bottom"/>
          </w:tcPr>
          <w:p>
            <w:pPr>
              <w:spacing w:after="0"/>
              <w:rPr>
                <w:sz w:val="17"/>
                <w:szCs w:val="17"/>
                <w:color w:val="auto"/>
              </w:rPr>
            </w:pPr>
          </w:p>
        </w:tc>
        <w:tc>
          <w:tcPr>
            <w:tcW w:w="8660" w:type="dxa"/>
            <w:vAlign w:val="bottom"/>
            <w:gridSpan w:val="26"/>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Our NEOs and other Executive Officers</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26-43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rPr>
            </w:pPr>
            <w:hyperlink w:anchor="page52">
              <w:r>
                <w:rPr>
                  <w:rFonts w:ascii="Arial" w:cs="Arial" w:eastAsia="Arial" w:hAnsi="Arial"/>
                  <w:sz w:val="22"/>
                  <w:szCs w:val="22"/>
                  <w:color w:val="0000EE"/>
                </w:rPr>
                <w:t>COMPENSATION DISCUSSION AND ANALYSIS</w:t>
              </w:r>
            </w:hyperlink>
          </w:p>
        </w:tc>
        <w:tc>
          <w:tcPr>
            <w:tcW w:w="0" w:type="dxa"/>
            <w:vAlign w:val="bottom"/>
          </w:tcPr>
          <w:p>
            <w:pPr>
              <w:spacing w:after="0"/>
              <w:rPr>
                <w:sz w:val="1"/>
                <w:szCs w:val="1"/>
                <w:color w:val="auto"/>
              </w:rPr>
            </w:pPr>
          </w:p>
        </w:tc>
      </w:tr>
      <w:tr>
        <w:trPr>
          <w:trHeight w:val="198"/>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1260"/>
              <w:spacing w:after="0" w:line="160" w:lineRule="exact"/>
              <w:rPr>
                <w:rFonts w:ascii="Arial" w:cs="Arial" w:eastAsia="Arial" w:hAnsi="Arial"/>
                <w:sz w:val="16"/>
                <w:szCs w:val="16"/>
                <w:color w:val="0000EE"/>
                <w:w w:val="89"/>
              </w:rPr>
            </w:pPr>
            <w:hyperlink w:anchor="page52">
              <w:r>
                <w:rPr>
                  <w:rFonts w:ascii="Arial" w:cs="Arial" w:eastAsia="Arial" w:hAnsi="Arial"/>
                  <w:sz w:val="16"/>
                  <w:szCs w:val="16"/>
                  <w:color w:val="0000EE"/>
                  <w:w w:val="89"/>
                </w:rPr>
                <w:t>26</w:t>
              </w:r>
            </w:hyperlink>
          </w:p>
        </w:tc>
        <w:tc>
          <w:tcPr>
            <w:tcW w:w="240" w:type="dxa"/>
            <w:vAlign w:val="bottom"/>
          </w:tcPr>
          <w:p>
            <w:pPr>
              <w:spacing w:after="0"/>
              <w:rPr>
                <w:sz w:val="13"/>
                <w:szCs w:val="13"/>
                <w:color w:val="auto"/>
              </w:rPr>
            </w:pPr>
          </w:p>
        </w:tc>
        <w:tc>
          <w:tcPr>
            <w:tcW w:w="8660" w:type="dxa"/>
            <w:vAlign w:val="bottom"/>
            <w:gridSpan w:val="26"/>
          </w:tcPr>
          <w:p>
            <w:pPr>
              <w:spacing w:after="0" w:line="160" w:lineRule="exact"/>
              <w:rPr>
                <w:rFonts w:ascii="Arial" w:cs="Arial" w:eastAsia="Arial" w:hAnsi="Arial"/>
                <w:sz w:val="16"/>
                <w:szCs w:val="16"/>
                <w:color w:val="0000EE"/>
              </w:rPr>
            </w:pPr>
            <w:hyperlink w:anchor="page52">
              <w:r>
                <w:rPr>
                  <w:rFonts w:ascii="Arial" w:cs="Arial" w:eastAsia="Arial" w:hAnsi="Arial"/>
                  <w:sz w:val="16"/>
                  <w:szCs w:val="16"/>
                  <w:color w:val="0000EE"/>
                </w:rPr>
                <w:t>Executive Summary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30</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Compensation Committee Report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3">
              <w:r>
                <w:rPr>
                  <w:rFonts w:ascii="Arial" w:cs="Arial" w:eastAsia="Arial" w:hAnsi="Arial"/>
                  <w:sz w:val="16"/>
                  <w:szCs w:val="16"/>
                  <w:color w:val="0000EE"/>
                  <w:w w:val="89"/>
                </w:rPr>
                <w:t>43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Further Considerations for Setting Executive Compensation</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7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2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44-52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EXECUTIVE COMPENSATION TABLES</w:t>
              </w:r>
            </w:hyperlink>
          </w:p>
        </w:tc>
        <w:tc>
          <w:tcPr>
            <w:tcW w:w="0" w:type="dxa"/>
            <w:vAlign w:val="bottom"/>
          </w:tcPr>
          <w:p>
            <w:pPr>
              <w:spacing w:after="0"/>
              <w:rPr>
                <w:sz w:val="1"/>
                <w:szCs w:val="1"/>
                <w:color w:val="auto"/>
              </w:rPr>
            </w:pPr>
          </w:p>
        </w:tc>
      </w:tr>
      <w:tr>
        <w:trPr>
          <w:trHeight w:val="198"/>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1260"/>
              <w:spacing w:after="0" w:line="160" w:lineRule="exact"/>
              <w:rPr>
                <w:rFonts w:ascii="Arial" w:cs="Arial" w:eastAsia="Arial" w:hAnsi="Arial"/>
                <w:sz w:val="16"/>
                <w:szCs w:val="16"/>
                <w:color w:val="0000EE"/>
                <w:w w:val="89"/>
              </w:rPr>
            </w:pPr>
            <w:hyperlink w:anchor="page75">
              <w:r>
                <w:rPr>
                  <w:rFonts w:ascii="Arial" w:cs="Arial" w:eastAsia="Arial" w:hAnsi="Arial"/>
                  <w:sz w:val="16"/>
                  <w:szCs w:val="16"/>
                  <w:color w:val="0000EE"/>
                  <w:w w:val="89"/>
                </w:rPr>
                <w:t>44</w:t>
              </w:r>
            </w:hyperlink>
          </w:p>
        </w:tc>
        <w:tc>
          <w:tcPr>
            <w:tcW w:w="240" w:type="dxa"/>
            <w:vAlign w:val="bottom"/>
          </w:tcPr>
          <w:p>
            <w:pPr>
              <w:spacing w:after="0"/>
              <w:rPr>
                <w:sz w:val="13"/>
                <w:szCs w:val="13"/>
                <w:color w:val="auto"/>
              </w:rPr>
            </w:pPr>
          </w:p>
        </w:tc>
        <w:tc>
          <w:tcPr>
            <w:tcW w:w="8660" w:type="dxa"/>
            <w:vAlign w:val="bottom"/>
            <w:gridSpan w:val="26"/>
          </w:tcPr>
          <w:p>
            <w:pPr>
              <w:spacing w:after="0" w:line="160" w:lineRule="exact"/>
              <w:rPr>
                <w:rFonts w:ascii="Arial" w:cs="Arial" w:eastAsia="Arial" w:hAnsi="Arial"/>
                <w:sz w:val="16"/>
                <w:szCs w:val="16"/>
                <w:color w:val="0000EE"/>
              </w:rPr>
            </w:pPr>
            <w:hyperlink w:anchor="page75">
              <w:r>
                <w:rPr>
                  <w:rFonts w:ascii="Arial" w:cs="Arial" w:eastAsia="Arial" w:hAnsi="Arial"/>
                  <w:sz w:val="16"/>
                  <w:szCs w:val="16"/>
                  <w:color w:val="0000EE"/>
                </w:rPr>
                <w:t>Summary Compensation Table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7">
              <w:r>
                <w:rPr>
                  <w:rFonts w:ascii="Arial" w:cs="Arial" w:eastAsia="Arial" w:hAnsi="Arial"/>
                  <w:sz w:val="16"/>
                  <w:szCs w:val="16"/>
                  <w:color w:val="0000EE"/>
                  <w:w w:val="89"/>
                </w:rPr>
                <w:t>46</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Grants of Plan-Based Awards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8">
              <w:r>
                <w:rPr>
                  <w:rFonts w:ascii="Arial" w:cs="Arial" w:eastAsia="Arial" w:hAnsi="Arial"/>
                  <w:sz w:val="16"/>
                  <w:szCs w:val="16"/>
                  <w:color w:val="0000EE"/>
                  <w:w w:val="89"/>
                </w:rPr>
                <w:t>47</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Outstanding Equity Awards at December 31, 2014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9">
              <w:r>
                <w:rPr>
                  <w:rFonts w:ascii="Arial" w:cs="Arial" w:eastAsia="Arial" w:hAnsi="Arial"/>
                  <w:sz w:val="16"/>
                  <w:szCs w:val="16"/>
                  <w:color w:val="0000EE"/>
                  <w:w w:val="89"/>
                </w:rPr>
                <w:t>48</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Option Exercises and Shares/Units Vested in 2014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9">
              <w:r>
                <w:rPr>
                  <w:rFonts w:ascii="Arial" w:cs="Arial" w:eastAsia="Arial" w:hAnsi="Arial"/>
                  <w:sz w:val="16"/>
                  <w:szCs w:val="16"/>
                  <w:color w:val="0000EE"/>
                  <w:w w:val="89"/>
                </w:rPr>
                <w:t>48</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Pension Benefits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9">
              <w:r>
                <w:rPr>
                  <w:rFonts w:ascii="Arial" w:cs="Arial" w:eastAsia="Arial" w:hAnsi="Arial"/>
                  <w:sz w:val="16"/>
                  <w:szCs w:val="16"/>
                  <w:color w:val="0000EE"/>
                  <w:w w:val="89"/>
                </w:rPr>
                <w:t>48</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Nonqualified Deferred Compensation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80">
              <w:r>
                <w:rPr>
                  <w:rFonts w:ascii="Arial" w:cs="Arial" w:eastAsia="Arial" w:hAnsi="Arial"/>
                  <w:sz w:val="16"/>
                  <w:szCs w:val="16"/>
                  <w:color w:val="0000EE"/>
                  <w:w w:val="89"/>
                </w:rPr>
                <w:t>49</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7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2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53-58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w w:val="98"/>
              </w:rPr>
            </w:pPr>
            <w:hyperlink w:anchor="page84">
              <w:r>
                <w:rPr>
                  <w:rFonts w:ascii="Arial" w:cs="Arial" w:eastAsia="Arial" w:hAnsi="Arial"/>
                  <w:sz w:val="22"/>
                  <w:szCs w:val="22"/>
                  <w:color w:val="0000EE"/>
                  <w:w w:val="98"/>
                </w:rPr>
                <w:t>AGENDA ITEM 4 – APPROVE AMENDMENT TO THE WEATHERFORD 2010 OMNIBUS</w:t>
              </w:r>
            </w:hyperlink>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0" w:type="dxa"/>
            <w:vAlign w:val="bottom"/>
            <w:tcBorders>
              <w:top w:val="single" w:sz="8" w:color="0000EE"/>
            </w:tcBorders>
            <w:gridSpan w:val="25"/>
          </w:tcPr>
          <w:p>
            <w:pPr>
              <w:spacing w:after="0" w:line="223" w:lineRule="exact"/>
              <w:rPr>
                <w:rFonts w:ascii="Arial" w:cs="Arial" w:eastAsia="Arial" w:hAnsi="Arial"/>
                <w:sz w:val="22"/>
                <w:szCs w:val="22"/>
                <w:color w:val="0000EE"/>
              </w:rPr>
            </w:pPr>
            <w:hyperlink w:anchor="page84">
              <w:r>
                <w:rPr>
                  <w:rFonts w:ascii="Arial" w:cs="Arial" w:eastAsia="Arial" w:hAnsi="Arial"/>
                  <w:sz w:val="22"/>
                  <w:szCs w:val="22"/>
                  <w:color w:val="0000EE"/>
                </w:rPr>
                <w:t>INCENTIVE PLAN</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59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00" w:type="dxa"/>
            <w:vAlign w:val="bottom"/>
            <w:tcBorders>
              <w:bottom w:val="single" w:sz="8" w:color="0000EE"/>
            </w:tcBorders>
            <w:gridSpan w:val="24"/>
          </w:tcPr>
          <w:p>
            <w:pPr>
              <w:spacing w:after="0"/>
              <w:rPr>
                <w:rFonts w:ascii="Arial" w:cs="Arial" w:eastAsia="Arial" w:hAnsi="Arial"/>
                <w:sz w:val="22"/>
                <w:szCs w:val="22"/>
                <w:color w:val="0000EE"/>
                <w:w w:val="97"/>
              </w:rPr>
            </w:pPr>
            <w:hyperlink w:anchor="page90">
              <w:r>
                <w:rPr>
                  <w:rFonts w:ascii="Arial" w:cs="Arial" w:eastAsia="Arial" w:hAnsi="Arial"/>
                  <w:sz w:val="22"/>
                  <w:szCs w:val="22"/>
                  <w:color w:val="0000EE"/>
                  <w:w w:val="97"/>
                </w:rPr>
                <w:t>AGENDA ITEM 5 – AUTHORIZATION TO HOLD 2016 ANNUAL GENERAL MEETING</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60" w:type="dxa"/>
            <w:vAlign w:val="bottom"/>
            <w:gridSpan w:val="26"/>
          </w:tcPr>
          <w:p>
            <w:pPr>
              <w:spacing w:after="0" w:line="223" w:lineRule="exact"/>
              <w:rPr>
                <w:rFonts w:ascii="Arial" w:cs="Arial" w:eastAsia="Arial" w:hAnsi="Arial"/>
                <w:sz w:val="22"/>
                <w:szCs w:val="22"/>
                <w:color w:val="0000EE"/>
              </w:rPr>
            </w:pPr>
            <w:hyperlink w:anchor="page90">
              <w:r>
                <w:rPr>
                  <w:rFonts w:ascii="Arial" w:cs="Arial" w:eastAsia="Arial" w:hAnsi="Arial"/>
                  <w:sz w:val="22"/>
                  <w:szCs w:val="22"/>
                  <w:color w:val="0000EE"/>
                </w:rPr>
                <w:t>OUTSIDE OF IRELAND</w:t>
              </w:r>
            </w:hyperlink>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6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60-63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rPr>
            </w:pPr>
            <w:hyperlink w:anchor="page91">
              <w:r>
                <w:rPr>
                  <w:rFonts w:ascii="Arial" w:cs="Arial" w:eastAsia="Arial" w:hAnsi="Arial"/>
                  <w:sz w:val="22"/>
                  <w:szCs w:val="22"/>
                  <w:color w:val="0000EE"/>
                </w:rPr>
                <w:t>OTHER INFORMATION</w:t>
              </w:r>
            </w:hyperlink>
          </w:p>
        </w:tc>
        <w:tc>
          <w:tcPr>
            <w:tcW w:w="0" w:type="dxa"/>
            <w:vAlign w:val="bottom"/>
          </w:tcPr>
          <w:p>
            <w:pPr>
              <w:spacing w:after="0"/>
              <w:rPr>
                <w:sz w:val="1"/>
                <w:szCs w:val="1"/>
                <w:color w:val="auto"/>
              </w:rPr>
            </w:pPr>
          </w:p>
        </w:tc>
      </w:tr>
      <w:tr>
        <w:trPr>
          <w:trHeight w:val="198"/>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1260"/>
              <w:spacing w:after="0" w:line="160" w:lineRule="exact"/>
              <w:rPr>
                <w:rFonts w:ascii="Arial" w:cs="Arial" w:eastAsia="Arial" w:hAnsi="Arial"/>
                <w:sz w:val="16"/>
                <w:szCs w:val="16"/>
                <w:color w:val="0000EE"/>
                <w:w w:val="89"/>
              </w:rPr>
            </w:pPr>
            <w:hyperlink w:anchor="page91">
              <w:r>
                <w:rPr>
                  <w:rFonts w:ascii="Arial" w:cs="Arial" w:eastAsia="Arial" w:hAnsi="Arial"/>
                  <w:sz w:val="16"/>
                  <w:szCs w:val="16"/>
                  <w:color w:val="0000EE"/>
                  <w:w w:val="89"/>
                </w:rPr>
                <w:t>60</w:t>
              </w:r>
            </w:hyperlink>
          </w:p>
        </w:tc>
        <w:tc>
          <w:tcPr>
            <w:tcW w:w="240" w:type="dxa"/>
            <w:vAlign w:val="bottom"/>
          </w:tcPr>
          <w:p>
            <w:pPr>
              <w:spacing w:after="0"/>
              <w:rPr>
                <w:sz w:val="13"/>
                <w:szCs w:val="13"/>
                <w:color w:val="auto"/>
              </w:rPr>
            </w:pPr>
          </w:p>
        </w:tc>
        <w:tc>
          <w:tcPr>
            <w:tcW w:w="8660" w:type="dxa"/>
            <w:vAlign w:val="bottom"/>
            <w:gridSpan w:val="26"/>
          </w:tcPr>
          <w:p>
            <w:pPr>
              <w:spacing w:after="0" w:line="160" w:lineRule="exact"/>
              <w:rPr>
                <w:rFonts w:ascii="Arial" w:cs="Arial" w:eastAsia="Arial" w:hAnsi="Arial"/>
                <w:sz w:val="16"/>
                <w:szCs w:val="16"/>
                <w:color w:val="0000EE"/>
              </w:rPr>
            </w:pPr>
            <w:hyperlink w:anchor="page91">
              <w:r>
                <w:rPr>
                  <w:rFonts w:ascii="Arial" w:cs="Arial" w:eastAsia="Arial" w:hAnsi="Arial"/>
                  <w:sz w:val="16"/>
                  <w:szCs w:val="16"/>
                  <w:color w:val="0000EE"/>
                </w:rPr>
                <w:t>Share Ownership</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Section 16(a) Beneficial Ownership Reporting Compliance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Incorporation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Presentation of Irish Statutory Accounts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Proposals by Shareholders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63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Other Business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63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Householding</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63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Additional Information Available</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64-66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60" w:type="dxa"/>
            <w:vAlign w:val="bottom"/>
            <w:tcBorders>
              <w:bottom w:val="single" w:sz="8" w:color="0000EE"/>
            </w:tcBorders>
            <w:gridSpan w:val="23"/>
          </w:tcPr>
          <w:p>
            <w:pPr>
              <w:spacing w:after="0"/>
              <w:rPr>
                <w:rFonts w:ascii="Arial" w:cs="Arial" w:eastAsia="Arial" w:hAnsi="Arial"/>
                <w:sz w:val="22"/>
                <w:szCs w:val="22"/>
                <w:color w:val="0000EE"/>
                <w:w w:val="97"/>
              </w:rPr>
            </w:pPr>
            <w:hyperlink w:anchor="page95">
              <w:r>
                <w:rPr>
                  <w:rFonts w:ascii="Arial" w:cs="Arial" w:eastAsia="Arial" w:hAnsi="Arial"/>
                  <w:sz w:val="22"/>
                  <w:szCs w:val="22"/>
                  <w:color w:val="0000EE"/>
                  <w:w w:val="97"/>
                </w:rPr>
                <w:t>ANNEX A – FIRST AMENDMENT TO WEATHERFORD INTERNATIONAL PLC 2010</w:t>
              </w:r>
            </w:hyperlink>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60" w:type="dxa"/>
            <w:vAlign w:val="bottom"/>
            <w:gridSpan w:val="26"/>
          </w:tcPr>
          <w:p>
            <w:pPr>
              <w:spacing w:after="0" w:line="223" w:lineRule="exact"/>
              <w:rPr>
                <w:rFonts w:ascii="Arial" w:cs="Arial" w:eastAsia="Arial" w:hAnsi="Arial"/>
                <w:sz w:val="22"/>
                <w:szCs w:val="22"/>
                <w:color w:val="0000EE"/>
              </w:rPr>
            </w:pPr>
            <w:hyperlink w:anchor="page95">
              <w:r>
                <w:rPr>
                  <w:rFonts w:ascii="Arial" w:cs="Arial" w:eastAsia="Arial" w:hAnsi="Arial"/>
                  <w:sz w:val="22"/>
                  <w:szCs w:val="22"/>
                  <w:color w:val="0000EE"/>
                </w:rPr>
                <w:t>OMNIBUS INCENTIVE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9307830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2" w:hanging="312"/>
        <w:spacing w:after="0"/>
        <w:tabs>
          <w:tab w:leader="none" w:pos="312" w:val="left"/>
        </w:tabs>
        <w:numPr>
          <w:ilvl w:val="0"/>
          <w:numId w:val="3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28" w:name="page29"/>
    <w:bookmarkEnd w:id="28"/>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INFORMATION ABOUT THE MEETING AND VOTING</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to be Held on June 16, 2015: The Proxy Statement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Weatherford International plc, our 2014 Annual Report and Irish Statutory Accounts are available at: </w:t>
      </w:r>
      <w:r>
        <w:rPr>
          <w:rFonts w:ascii="Arial" w:cs="Arial" w:eastAsia="Arial" w:hAnsi="Arial"/>
          <w:sz w:val="16"/>
          <w:szCs w:val="16"/>
          <w:b w:val="1"/>
          <w:bCs w:val="1"/>
          <w:i w:val="1"/>
          <w:iCs w:val="1"/>
          <w:color w:val="auto"/>
        </w:rPr>
        <w:t>www.WeatherfordAnnualMeeting.com</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DATE &amp; TIME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June 16, 2015, at 10:00 a.m. (Central European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PLACE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Mandarin Oriental Hotel, Quai Turrettini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1201 Geneva,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GENERAL</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“Weatherford,” “the Company,” “we,” “us” and “our” refer to Weatherford International plc, an Irish public limited company.</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Proxy Statement and proxy card are first being mailed on behalf of our Board of Directors, or our “Board,” to all shareholders beginning on or about May 1,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in Switzerland are located at Bahnhofstrasse 1, 6340 Baar, Switzerland, and our telephone number there is +41.22.816.1500.</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References to “$” in this Proxy Statement are references to United States dollars, references to “CHF” are references to Swiss francs, and references to “£” are to U.K. pounds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AGENDA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At the 2015 Annual General Meeting (the “Annual General Meeting”), shareholders will be asked to vote on the following agenda items: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By separate resolutions, to elect the following ten individuals as directors of the Company until the 2016 annual general meeting of shareholders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Company (the “2016 Annual General Meeting”) or, in each case, until his earlier death, retirement, resignation or removal from the position of director:</w:t>
      </w:r>
    </w:p>
    <w:p>
      <w:pPr>
        <w:spacing w:after="0" w:line="194"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Mohamed A. Awad</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David J. Butters</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Bernard J. Duroc-Danner</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John D. Gass</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Sir Emyr Jones Parry</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Francis S. Kalman</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William E. Macaulay</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Robert K. Moses, Jr.</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Guillermo Ortiz</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Robert A. Rayne</w:t>
      </w:r>
    </w:p>
    <w:p>
      <w:pPr>
        <w:spacing w:after="0" w:line="1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To ratify the appointment of KPMG LLP as our independent registered public accounting firm and auditor for the fiscal year ending December 31, 2015</w:t>
      </w:r>
      <w:r>
        <w:rPr>
          <w:rFonts w:ascii="Arial" w:cs="Arial" w:eastAsia="Arial" w:hAnsi="Arial"/>
          <w:sz w:val="16"/>
          <w:szCs w:val="16"/>
          <w:b w:val="1"/>
          <w:bCs w:val="1"/>
          <w:color w:val="auto"/>
        </w:rPr>
        <w:t xml:space="preserve"> </w:t>
      </w:r>
      <w:r>
        <w:rPr>
          <w:rFonts w:ascii="Arial" w:cs="Arial" w:eastAsia="Arial" w:hAnsi="Arial"/>
          <w:sz w:val="16"/>
          <w:szCs w:val="16"/>
          <w:color w:val="auto"/>
        </w:rPr>
        <w:t>and to authorize the Board of Directors, acting through the Audit Committee, to determine the auditor’s remuneration.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To adopt an advisory resolution approving the compensation of the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To approve an amendment to the Company’s 2010 Omnibus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To authorize holding the 2016 Annual General Meeting at a location outside of Ireland as currently required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WHO CAN VOTE</w:t>
      </w:r>
    </w:p>
    <w:p>
      <w:pPr>
        <w:sectPr>
          <w:pgSz w:w="11900" w:h="16838" w:orient="portrait"/>
          <w:cols w:equalWidth="0" w:num="1">
            <w:col w:w="11400"/>
          </w:cols>
          <w:pgMar w:left="240" w:top="470" w:right="259" w:bottom="148" w:gutter="0" w:footer="0" w:header="0"/>
        </w:sectPr>
      </w:pPr>
    </w:p>
    <w:bookmarkStart w:id="29" w:name="page30"/>
    <w:bookmarkEnd w:id="29"/>
    <w:p>
      <w:pPr>
        <w:ind w:right="140"/>
        <w:spacing w:after="0" w:line="251" w:lineRule="auto"/>
        <w:rPr>
          <w:sz w:val="20"/>
          <w:szCs w:val="20"/>
          <w:color w:val="auto"/>
        </w:rPr>
      </w:pPr>
      <w:r>
        <w:rPr>
          <w:rFonts w:ascii="Arial" w:cs="Arial" w:eastAsia="Arial" w:hAnsi="Arial"/>
          <w:sz w:val="16"/>
          <w:szCs w:val="16"/>
          <w:color w:val="auto"/>
        </w:rPr>
        <w:t>All shareholders registered in our share register (our “registered shareholders”) at the close of business on the record date of April 23, 2015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w:t>
      </w:r>
    </w:p>
    <w:p>
      <w:pPr>
        <w:spacing w:after="0" w:line="17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 registered shareholder may appoint one or more proxies to attend, speak and vote in their place at the Annual General Meeting. A proxy holder need not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MEETING ATTENDANCE</w:t>
      </w:r>
    </w:p>
    <w:p>
      <w:pPr>
        <w:spacing w:after="0" w:line="37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Furthermore, we have made arrangements for registered shareholders to participate, by technological means, in the Annual General Meeting without leaving Ireland. Registered shareholders who wish to so participate in the Annual General Meeting may do so by attending in person at the offices of our Irish lawyers, Matheson, located at 70 Sir John Rogerson’s Quay, Dublin 2, Ireland, at the time of the meeting (and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HOW TO VOTE</w:t>
      </w:r>
    </w:p>
    <w:p>
      <w:pPr>
        <w:spacing w:after="0" w:line="37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completing, signing, dating and returning the enclosed proxy card for receipt by us no later than 5:59 a.m. Central European Time on June 15, 2015 (11:59 p.m. New York Time on June 14, 2015), whether or not you plan to attend.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Most of our individual beneficial owners hold their shares through a brokerage account and therefore are not listed in our share registry.</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Shareholders who hold their shares through a broker or other nominee (in “street name”) must vote their shares in the manner prescribed by their broker or other nominee</w:t>
      </w:r>
      <w:r>
        <w:rPr>
          <w:rFonts w:ascii="Arial" w:cs="Arial" w:eastAsia="Arial" w:hAnsi="Arial"/>
          <w:sz w:val="16"/>
          <w:szCs w:val="16"/>
          <w:color w:val="auto"/>
        </w:rPr>
        <w:t>. Shareholders who hold their shares in this manner and wish to vote in person at the meeting must obtain a valid proxy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 that holds their shares. </w:t>
      </w:r>
      <w:r>
        <w:rPr>
          <w:rFonts w:ascii="Arial" w:cs="Arial" w:eastAsia="Arial" w:hAnsi="Arial"/>
          <w:sz w:val="16"/>
          <w:szCs w:val="16"/>
          <w:b w:val="1"/>
          <w:bCs w:val="1"/>
          <w:color w:val="auto"/>
        </w:rPr>
        <w:t>This may be very difficult for an individual shareholder to do, so individual shareholders holding in street name</w:t>
      </w:r>
      <w:r>
        <w:rPr>
          <w:rFonts w:ascii="Arial" w:cs="Arial" w:eastAsia="Arial" w:hAnsi="Arial"/>
          <w:sz w:val="16"/>
          <w:szCs w:val="16"/>
          <w:color w:val="auto"/>
        </w:rPr>
        <w:t xml:space="preserve"> </w:t>
      </w:r>
      <w:r>
        <w:rPr>
          <w:rFonts w:ascii="Arial" w:cs="Arial" w:eastAsia="Arial" w:hAnsi="Arial"/>
          <w:sz w:val="16"/>
          <w:szCs w:val="16"/>
          <w:b w:val="1"/>
          <w:bCs w:val="1"/>
          <w:color w:val="auto"/>
        </w:rPr>
        <w:t>are strongly encouraged to submit their proxy to their broker, who in turn will vote in accordance with their directions</w:t>
      </w:r>
      <w:r>
        <w:rPr>
          <w:rFonts w:ascii="Arial" w:cs="Arial" w:eastAsia="Arial" w:hAnsi="Arial"/>
          <w:sz w:val="16"/>
          <w:szCs w:val="16"/>
          <w:color w:val="auto"/>
        </w:rPr>
        <w:t>. See “Quorum and Voting” as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PROXIES</w:t>
      </w:r>
    </w:p>
    <w:p>
      <w:pPr>
        <w:spacing w:after="0" w:line="37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 copy of this Proxy Statement and proxy card are being sent to each shareholder registered in our share register as of April 23, 2015. Shareholders not registered in our share register as of April 23, 2015, will not be entitled to attend, vote or grant proxies to vote at the Annual General Meeting. Your vote and proxy are being solicited by our Board of Directors in favor of Natalia G. Shehadeh or, failing her, Dr. Bernard J. Duroc-Danner (the “Proxy Holders”), for use at the Annual General Meeting.</w:t>
      </w:r>
    </w:p>
    <w:p>
      <w:pPr>
        <w:spacing w:after="0" w:line="176"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We request that you grant your proxy to vote on each of the proposals in this notice and any other matters that may properly come before the meeting to the Proxy Holders by completing, signing, dating and returning the proxy card for receipt by us no later than 5:59 a.m. Central European Time on June 15, 2015 (11:59 p.m. New York Time on June 14, 2015), whether or not you plan to attend.</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7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may accept a proxy by any form of communication permitted by Irish law and as the Board of Directors may approve in accordance with our Articles of Association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REVOKING YOUR PROXY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If you are a registered shareholder, you may revoke your proxy by:</w:t>
      </w:r>
    </w:p>
    <w:p>
      <w:pPr>
        <w:spacing w:after="0" w:line="194" w:lineRule="exact"/>
        <w:rPr>
          <w:sz w:val="20"/>
          <w:szCs w:val="20"/>
          <w:color w:val="auto"/>
        </w:rPr>
      </w:pPr>
    </w:p>
    <w:p>
      <w:pPr>
        <w:ind w:left="180" w:right="80" w:hanging="172"/>
        <w:spacing w:after="0" w:line="260" w:lineRule="auto"/>
        <w:tabs>
          <w:tab w:leader="none" w:pos="180" w:val="left"/>
        </w:tabs>
        <w:numPr>
          <w:ilvl w:val="0"/>
          <w:numId w:val="33"/>
        </w:numPr>
        <w:rPr>
          <w:rFonts w:ascii="Arial" w:cs="Arial" w:eastAsia="Arial" w:hAnsi="Arial"/>
          <w:sz w:val="16"/>
          <w:szCs w:val="16"/>
          <w:color w:val="CE0D41"/>
        </w:rPr>
      </w:pPr>
      <w:r>
        <w:rPr>
          <w:rFonts w:ascii="Arial" w:cs="Arial" w:eastAsia="Arial" w:hAnsi="Arial"/>
          <w:sz w:val="16"/>
          <w:szCs w:val="16"/>
          <w:color w:val="auto"/>
        </w:rPr>
        <w:t>writing to the Secretary, such that the revocation is received at Bahnhofstrasse 1, 6340 Baar, Switzerland, or at the Company’s registered office, 70 Sir John Rogerson’s Quay, Dublin 2, Ireland, at least one hour prior to the commencement of the Annual General Meeting; or</w:t>
      </w:r>
    </w:p>
    <w:p>
      <w:pPr>
        <w:spacing w:after="0" w:line="168" w:lineRule="exact"/>
        <w:rPr>
          <w:rFonts w:ascii="Arial" w:cs="Arial" w:eastAsia="Arial" w:hAnsi="Arial"/>
          <w:sz w:val="16"/>
          <w:szCs w:val="16"/>
          <w:color w:val="CE0D41"/>
        </w:rPr>
      </w:pPr>
    </w:p>
    <w:p>
      <w:pPr>
        <w:ind w:left="180" w:right="280" w:hanging="172"/>
        <w:spacing w:after="0" w:line="260" w:lineRule="auto"/>
        <w:tabs>
          <w:tab w:leader="none" w:pos="180" w:val="left"/>
        </w:tabs>
        <w:numPr>
          <w:ilvl w:val="0"/>
          <w:numId w:val="33"/>
        </w:numPr>
        <w:rPr>
          <w:rFonts w:ascii="Arial" w:cs="Arial" w:eastAsia="Arial" w:hAnsi="Arial"/>
          <w:sz w:val="16"/>
          <w:szCs w:val="16"/>
          <w:color w:val="CE0D41"/>
        </w:rPr>
      </w:pPr>
      <w:r>
        <w:rPr>
          <w:rFonts w:ascii="Arial" w:cs="Arial" w:eastAsia="Arial" w:hAnsi="Arial"/>
          <w:sz w:val="16"/>
          <w:szCs w:val="16"/>
          <w:color w:val="auto"/>
        </w:rPr>
        <w:t>submitting a later-dated proxy via mail, to the address specified in the proxy materials, for receipt by us no later than 5:59 a.m. Central European Time on June 15, 2015 (11:59 p.m. New York Time on June 14,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If you have revoked your proxy as described above, you may attend and vote in person at the Annual General Meeting.</w:t>
      </w:r>
    </w:p>
    <w:p>
      <w:pPr>
        <w:spacing w:after="0" w:line="1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QUORUM AND VOTING</w:t>
      </w:r>
    </w:p>
    <w:p>
      <w:pPr>
        <w:spacing w:after="0" w:line="37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quorum at our Annual General Meeting will be two or more persons holding or representing by proxy more than 50% of the total issued voting rights of our ordinary shares. For purposes of determining a quorum, abstentions and broker “non-votes” present in person or by proxy are counted as represented. A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you are a beneficial shareholder and your broker or other nominee holds your shares in its name (in “street name”), the broker generally has discretion to vote your shares with respect to “routine” proposals such as agenda Item 2 (ratification of appointment of independent auditor and authorization of auditor’s remuneration), even if the broker does not receive voting instructions from you. However, your broker may not vote your shares with respect to “non-routine” proposals. Proxies submitted by brokers without instructions from customers for non-routine matters are referred to as “broker non-votes.” Under the rules of the New York Stock Exchange (the “NYSE”), agenda Item 1 (election of directors), agenda Item 3 (approval of executive compensation advisory resolution), agenda Item 4 (approval of an amendment to our 2010 Omnibus Plan) and agenda Item 5 (authorization to hold our 2016 Annual General Meeting at a location outside of Ireland) are non-routine proposals. Accordingly, if you hold your shares in “street name,” your broker will not be able to vote your shares on these matters unless your broker receives voting instructions from you.</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Approval of each of the proposals to be presented at the Annual General Meeting will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“For” or “Against,” in person or by proxy, provided a quorum is present). The election of each director nominee will be considered and voted upon as a separate proposal. There is no cumulative voting in the election of directors. Abstentions and broker “non-votes” will not affect the voting results. However, agenda Item 4 is also subject to separate NYSE rules. Under NYSE rules, abstentions will be considered votes cast. As a result, abstentions will have the effect of a vote against agenda Item 4 under NYSE rules. Broker “non-votes” will not affect the voting results for agenda Item 4 under Irish law or NYSE rules.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of April 23, 2015, there were approximately </w:t>
      </w:r>
      <w:r>
        <w:rPr>
          <w:rFonts w:ascii="Arial" w:cs="Arial" w:eastAsia="Arial" w:hAnsi="Arial"/>
          <w:sz w:val="16"/>
          <w:szCs w:val="16"/>
          <w:color w:val="00FF00"/>
        </w:rPr>
        <w:t>[•]</w:t>
      </w:r>
      <w:r>
        <w:rPr>
          <w:rFonts w:ascii="Arial" w:cs="Arial" w:eastAsia="Arial" w:hAnsi="Arial"/>
          <w:sz w:val="16"/>
          <w:szCs w:val="16"/>
          <w:color w:val="auto"/>
        </w:rPr>
        <w:t xml:space="preserve"> ordinary shares issued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MULTIPLE PROXY CARDS</w:t>
      </w:r>
    </w:p>
    <w:p>
      <w:pPr>
        <w:spacing w:after="0" w:line="37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7180"/>
        <w:spacing w:after="0"/>
        <w:tabs>
          <w:tab w:leader="none" w:pos="1130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2" w:name="page33"/>
    <w:bookmarkEnd w:id="3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COST OF PROXY SOLICITATION</w:t>
      </w:r>
    </w:p>
    <w:p>
      <w:pPr>
        <w:spacing w:after="0" w:line="3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retained Okapi Partners LLC to solicit proxies from our shareholders at an estimated fee of $20,000, plus expenses. Some of our directors, officers and employees may solicit proxies personally, without any additional compensation, electronically or by telephone or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QUESTIONS</w:t>
      </w:r>
    </w:p>
    <w:p>
      <w:pPr>
        <w:spacing w:after="0" w:line="37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You may call our proxy solicitor, Okapi Partners LLC, toll-free at (877) 869-0171 (U.S. callers) or +1 (212) 297-0720 (international callers), or our U.S. Investor Relations Department at +1 (713) 836-4000, or email us at </w:t>
      </w:r>
      <w:r>
        <w:rPr>
          <w:rFonts w:ascii="Arial" w:cs="Arial" w:eastAsia="Arial" w:hAnsi="Arial"/>
          <w:sz w:val="16"/>
          <w:szCs w:val="16"/>
          <w:i w:val="1"/>
          <w:iCs w:val="1"/>
          <w:color w:val="auto"/>
        </w:rPr>
        <w:t>investor.relations@weatherford.com</w:t>
      </w:r>
      <w:r>
        <w:rPr>
          <w:rFonts w:ascii="Arial" w:cs="Arial" w:eastAsia="Arial" w:hAnsi="Arial"/>
          <w:sz w:val="16"/>
          <w:szCs w:val="16"/>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3511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3511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514" w:right="359" w:bottom="1440" w:gutter="0" w:footer="0" w:header="0"/>
        </w:sectPr>
      </w:pPr>
    </w:p>
    <w:bookmarkStart w:id="33" w:name="page34"/>
    <w:bookmarkEnd w:id="33"/>
    <w:p>
      <w:pPr>
        <w:ind w:right="3480"/>
        <w:spacing w:after="0" w:line="275" w:lineRule="auto"/>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 – ELECT DIRECTORS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The Board of Directors recommends that you vote “FOR” each of these nominees for director.</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Upon the recommendation of the Corporate Governance and Nominating Committee, the Company’s Board of Directors has nominated the following ten nominees to be elected at the Annual General Meeting: Mohamed A. Awad, David J. Butters, Bernard J. Duroc-Danner, John D. Gass, Francis S. Kalman, William E. Macaulay, Robert K. Moses, Jr., Guillermo Ortiz, Emyr Jones Parry, and Robert A. Rayne. All of the nominees for director are independent under the rules of the NYSE, other than Bernard J. Duroc-Danner, who is our 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Each director is an existing director who, in accordance with the Articles, shall retire at the Annual General Meeting and is eligible for re-election.</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Each director elected will serve until the 2016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If you properly submit a proxy card but do not indicate how you wish to vote, the Proxy Holders will vote for all of the listed nominees for director. The vote will be held by a separate resolution for each director nominee. A director nominee will be re-elected if approved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 simple majority of the votes cast “For” or “Against,” in person or by proxy, provided a quorum is present).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BIOGRAPHIES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20585" cy="14922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20585" cy="1492250"/>
                    </a:xfrm>
                    <a:prstGeom prst="rect">
                      <a:avLst/>
                    </a:prstGeom>
                    <a:noFill/>
                  </pic:spPr>
                </pic:pic>
              </a:graphicData>
            </a:graphic>
          </wp:anchor>
        </w:drawing>
      </w:r>
    </w:p>
    <w:p>
      <w:pPr>
        <w:sectPr>
          <w:pgSz w:w="11900" w:h="16838" w:orient="portrait"/>
          <w:cols w:equalWidth="0" w:num="1">
            <w:col w:w="11420"/>
          </w:cols>
          <w:pgMar w:left="240" w:top="470" w:right="239"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0505" cy="1054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00505" cy="105473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2014</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Health, Safety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and Environment; Corporate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Governance and Nominating</w:t>
      </w:r>
    </w:p>
    <w:p>
      <w:pPr>
        <w:spacing w:after="0" w:line="80"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500505" cy="2847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0050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74</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1984</w:t>
      </w:r>
    </w:p>
    <w:p>
      <w:pPr>
        <w:spacing w:after="0" w:line="100" w:lineRule="exact"/>
        <w:rPr>
          <w:sz w:val="20"/>
          <w:szCs w:val="20"/>
          <w:color w:val="auto"/>
        </w:rPr>
      </w:pPr>
    </w:p>
    <w:p>
      <w:pPr>
        <w:ind w:left="40" w:right="340"/>
        <w:spacing w:after="0" w:line="26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r>
        <w:rPr>
          <w:rFonts w:ascii="Arial" w:cs="Arial" w:eastAsia="Arial" w:hAnsi="Arial"/>
          <w:sz w:val="16"/>
          <w:szCs w:val="16"/>
          <w:b w:val="1"/>
          <w:bCs w:val="1"/>
          <w:color w:val="FFFFFF"/>
        </w:rPr>
        <w:t xml:space="preserve"> </w:t>
      </w:r>
      <w:r>
        <w:rPr>
          <w:rFonts w:ascii="Arial" w:cs="Arial" w:eastAsia="Arial" w:hAnsi="Arial"/>
          <w:sz w:val="16"/>
          <w:szCs w:val="16"/>
          <w:color w:val="FFFFFF"/>
        </w:rPr>
        <w:t>Corporate Governance and Nominating (Chairman)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OTHER PUBLIC COMPANY</w:t>
      </w:r>
    </w:p>
    <w:p>
      <w:pPr>
        <w:spacing w:after="0" w:line="100" w:lineRule="exact"/>
        <w:rPr>
          <w:sz w:val="20"/>
          <w:szCs w:val="20"/>
          <w:color w:val="auto"/>
        </w:rPr>
      </w:pPr>
    </w:p>
    <w:p>
      <w:pPr>
        <w:ind w:left="40" w:right="120"/>
        <w:spacing w:after="0" w:line="286" w:lineRule="auto"/>
        <w:rPr>
          <w:sz w:val="20"/>
          <w:szCs w:val="20"/>
          <w:color w:val="auto"/>
        </w:rPr>
      </w:pPr>
      <w:r>
        <w:rPr>
          <w:rFonts w:ascii="Arial" w:cs="Arial" w:eastAsia="Arial" w:hAnsi="Arial"/>
          <w:sz w:val="16"/>
          <w:szCs w:val="16"/>
          <w:b w:val="1"/>
          <w:bCs w:val="1"/>
          <w:color w:val="FFFFFF"/>
        </w:rPr>
        <w:t xml:space="preserve">BOARDS: </w:t>
      </w:r>
      <w:r>
        <w:rPr>
          <w:rFonts w:ascii="Arial" w:cs="Arial" w:eastAsia="Arial" w:hAnsi="Arial"/>
          <w:sz w:val="16"/>
          <w:szCs w:val="16"/>
          <w:color w:val="FFFFFF"/>
        </w:rPr>
        <w:t>GulfMark Offshore,</w:t>
      </w:r>
      <w:r>
        <w:rPr>
          <w:rFonts w:ascii="Arial" w:cs="Arial" w:eastAsia="Arial" w:hAnsi="Arial"/>
          <w:sz w:val="16"/>
          <w:szCs w:val="16"/>
          <w:b w:val="1"/>
          <w:bCs w:val="1"/>
          <w:color w:val="FFFFFF"/>
        </w:rPr>
        <w:t xml:space="preserve"> </w:t>
      </w:r>
      <w:r>
        <w:rPr>
          <w:rFonts w:ascii="Arial" w:cs="Arial" w:eastAsia="Arial" w:hAnsi="Arial"/>
          <w:sz w:val="16"/>
          <w:szCs w:val="16"/>
          <w:color w:val="FFFFFF"/>
        </w:rPr>
        <w:t>Inc.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MOHAMED A.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13633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82565" cy="1363345"/>
                    </a:xfrm>
                    <a:prstGeom prst="rect">
                      <a:avLst/>
                    </a:prstGeom>
                    <a:noFill/>
                  </pic:spPr>
                </pic:pic>
              </a:graphicData>
            </a:graphic>
          </wp:anchor>
        </w:drawing>
      </w:r>
    </w:p>
    <w:p>
      <w:pPr>
        <w:spacing w:after="0" w:line="229" w:lineRule="exact"/>
        <w:rPr>
          <w:sz w:val="20"/>
          <w:szCs w:val="20"/>
          <w:color w:val="auto"/>
        </w:rPr>
      </w:pPr>
    </w:p>
    <w:p>
      <w:pPr>
        <w:ind w:left="20" w:right="160"/>
        <w:spacing w:after="0" w:line="250" w:lineRule="auto"/>
        <w:rPr>
          <w:sz w:val="20"/>
          <w:szCs w:val="20"/>
          <w:color w:val="auto"/>
        </w:rPr>
      </w:pPr>
      <w:r>
        <w:rPr>
          <w:rFonts w:ascii="Arial" w:cs="Arial" w:eastAsia="Arial" w:hAnsi="Arial"/>
          <w:sz w:val="16"/>
          <w:szCs w:val="16"/>
          <w:color w:val="auto"/>
        </w:rPr>
        <w:t>Mr. Awad is a retired executive who most recently served as Chairman of Schlumberger–Middle East and Asia, a role he held from 2001 to 2012. Mr. Awad joined Schlumberger in 1981 and, over the next 30 years, held positions of increasing responsibility, both domestically and abroad, including in the wireline, well services, drilling and measurement, and oilfield services groups. Mr. Awad holds a M.S. degree from the University of Tulsa and a B.S. degree from Cairo University, both in Petroleum Engineering.</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260"/>
        <w:spacing w:after="0" w:line="253" w:lineRule="auto"/>
        <w:rPr>
          <w:sz w:val="20"/>
          <w:szCs w:val="20"/>
          <w:color w:val="auto"/>
        </w:rPr>
      </w:pPr>
      <w:r>
        <w:rPr>
          <w:rFonts w:ascii="Arial" w:cs="Arial" w:eastAsia="Arial" w:hAnsi="Arial"/>
          <w:sz w:val="16"/>
          <w:szCs w:val="16"/>
          <w:color w:val="auto"/>
        </w:rPr>
        <w:t>Mr. Awad has more than 30 years of experience in the oilfield services industry, including international leadership experience, which is a valuable asset to our Board in its industry planning and strategic decision-making processes, especially in the Middle East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1035685</wp:posOffset>
            </wp:positionV>
            <wp:extent cx="5282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17240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82565" cy="1724025"/>
                    </a:xfrm>
                    <a:prstGeom prst="rect">
                      <a:avLst/>
                    </a:prstGeom>
                    <a:noFill/>
                  </pic:spPr>
                </pic:pic>
              </a:graphicData>
            </a:graphic>
          </wp:anchor>
        </w:drawing>
      </w:r>
    </w:p>
    <w:p>
      <w:pPr>
        <w:spacing w:after="0" w:line="229" w:lineRule="exact"/>
        <w:rPr>
          <w:sz w:val="20"/>
          <w:szCs w:val="20"/>
          <w:color w:val="auto"/>
        </w:rPr>
      </w:pPr>
    </w:p>
    <w:p>
      <w:pPr>
        <w:ind w:left="20" w:right="160"/>
        <w:spacing w:after="0" w:line="246" w:lineRule="auto"/>
        <w:rPr>
          <w:sz w:val="20"/>
          <w:szCs w:val="20"/>
          <w:color w:val="auto"/>
        </w:rPr>
      </w:pPr>
      <w:r>
        <w:rPr>
          <w:rFonts w:ascii="Arial" w:cs="Arial" w:eastAsia="Arial" w:hAnsi="Arial"/>
          <w:sz w:val="16"/>
          <w:szCs w:val="16"/>
          <w:color w:val="auto"/>
        </w:rPr>
        <w:t>Mr. Butters has been Chairman, President and Chief Executive Officer of Navigator Holdings, Ltd., an international shipping company the principal business of which is the transport of liquefied petroleum gas, since September</w:t>
      </w:r>
    </w:p>
    <w:p>
      <w:pPr>
        <w:spacing w:after="0" w:line="1" w:lineRule="exact"/>
        <w:rPr>
          <w:sz w:val="20"/>
          <w:szCs w:val="20"/>
          <w:color w:val="auto"/>
        </w:rPr>
      </w:pPr>
    </w:p>
    <w:p>
      <w:pPr>
        <w:ind w:left="20" w:right="80"/>
        <w:spacing w:after="0" w:line="250" w:lineRule="auto"/>
        <w:rPr>
          <w:sz w:val="20"/>
          <w:szCs w:val="20"/>
          <w:color w:val="auto"/>
        </w:rPr>
      </w:pPr>
      <w:r>
        <w:rPr>
          <w:rFonts w:ascii="Arial" w:cs="Arial" w:eastAsia="Arial" w:hAnsi="Arial"/>
          <w:sz w:val="16"/>
          <w:szCs w:val="16"/>
          <w:color w:val="auto"/>
        </w:rPr>
        <w:t>2008 and has been Chairman and President of Navigator Holdings since August 2006. From 1969 to September 2008, Mr. Butters was a Managing Director of Lehman Brothers Inc., an investment banking company. Mr. Butters currently serves as Chairman of the Board of GulfMark Offshore, Inc., and was previously Chairman of the Board of Directors of ACOL Tankers Ltd., a privately held oil tanker company. Mr. Butters holds a B.S. from Boston College and an M.B.A. from Columbia University Business School.</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260"/>
        <w:spacing w:after="0" w:line="251" w:lineRule="auto"/>
        <w:rPr>
          <w:sz w:val="20"/>
          <w:szCs w:val="20"/>
          <w:color w:val="auto"/>
        </w:rPr>
      </w:pPr>
      <w:r>
        <w:rPr>
          <w:rFonts w:ascii="Arial" w:cs="Arial" w:eastAsia="Arial" w:hAnsi="Arial"/>
          <w:sz w:val="16"/>
          <w:szCs w:val="16"/>
          <w:color w:val="auto"/>
        </w:rPr>
        <w:t>Mr. Butters’ extensive career experience in investment banking is an asset to the Audit Committee in carrying out its duties. In addition, his chief executive officer experience and his depth of knowledge of the Company’s business, as a result of his 30-year directorship on our Board, provide us with a valuable perspective in making strategic decisions and planning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839470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7" w:lineRule="exact"/>
        <w:rPr>
          <w:sz w:val="20"/>
          <w:szCs w:val="20"/>
          <w:color w:val="auto"/>
        </w:rPr>
      </w:pPr>
    </w:p>
    <w:p>
      <w:pPr>
        <w:sectPr>
          <w:pgSz w:w="11900" w:h="16838" w:orient="portrait"/>
          <w:cols w:equalWidth="0" w:num="2">
            <w:col w:w="2340" w:space="720"/>
            <w:col w:w="8360"/>
          </w:cols>
          <w:pgMar w:left="240" w:top="470" w:right="239" w:bottom="99" w:gutter="0" w:footer="0" w:header="0"/>
          <w:type w:val="continuous"/>
        </w:sectPr>
      </w:pPr>
    </w:p>
    <w:p>
      <w:pPr>
        <w:spacing w:after="0" w:line="77" w:lineRule="exact"/>
        <w:rPr>
          <w:sz w:val="20"/>
          <w:szCs w:val="20"/>
          <w:color w:val="auto"/>
        </w:rPr>
      </w:pPr>
    </w:p>
    <w:p>
      <w:pPr>
        <w:ind w:left="7220"/>
        <w:spacing w:after="0"/>
        <w:tabs>
          <w:tab w:leader="none" w:pos="1130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99" w:gutter="0" w:footer="0" w:header="0"/>
          <w:type w:val="continuous"/>
        </w:sectPr>
      </w:pPr>
    </w:p>
    <w:bookmarkStart w:id="34" w:name="page35"/>
    <w:bookmarkEnd w:id="34"/>
    <w:p>
      <w:pPr>
        <w:spacing w:after="0"/>
        <w:rPr>
          <w:sz w:val="20"/>
          <w:szCs w:val="20"/>
          <w:color w:val="auto"/>
        </w:rPr>
      </w:pPr>
      <w:r>
        <w:rPr>
          <w:rFonts w:ascii="Arial" w:cs="Arial" w:eastAsia="Arial" w:hAnsi="Arial"/>
          <w:sz w:val="25"/>
          <w:szCs w:val="25"/>
          <w:b w:val="1"/>
          <w:bCs w:val="1"/>
          <w:color w:val="818284"/>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500505" cy="2435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0050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1988</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None</w:t>
      </w:r>
    </w:p>
    <w:p>
      <w:pPr>
        <w:spacing w:after="0" w:line="100"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LMS Capital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1500505" cy="15005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-657225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5282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825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5282565" cy="2324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82565" cy="2324100"/>
                    </a:xfrm>
                    <a:prstGeom prst="rect">
                      <a:avLst/>
                    </a:prstGeom>
                    <a:noFill/>
                  </pic:spPr>
                </pic:pic>
              </a:graphicData>
            </a:graphic>
          </wp:anchor>
        </w:drawing>
      </w:r>
    </w:p>
    <w:p>
      <w:pPr>
        <w:spacing w:after="0" w:line="242" w:lineRule="exact"/>
        <w:rPr>
          <w:sz w:val="20"/>
          <w:szCs w:val="20"/>
          <w:color w:val="auto"/>
        </w:rPr>
      </w:pPr>
    </w:p>
    <w:p>
      <w:pPr>
        <w:ind w:left="20" w:right="40"/>
        <w:spacing w:after="0" w:line="248" w:lineRule="auto"/>
        <w:rPr>
          <w:sz w:val="20"/>
          <w:szCs w:val="20"/>
          <w:color w:val="auto"/>
        </w:rPr>
      </w:pPr>
      <w:r>
        <w:rPr>
          <w:rFonts w:ascii="Arial" w:cs="Arial" w:eastAsia="Arial" w:hAnsi="Arial"/>
          <w:sz w:val="16"/>
          <w:szCs w:val="16"/>
          <w:color w:val="auto"/>
        </w:rPr>
        <w:t>Dr. Duroc-Danner joined EVI, Inc., Weatherford’s predecessor company, at inception in May 1987 and was directly responsible for the growth of EVI, Inc.’s oilfield service and equipment business. He has directed the growth of the Company since that time. He was elected EVI’s President and Chief Executive Officer in 1990. Subsequent to the merger of EVI, Inc. with Weatherford Enterra, Inc. on May 27, 1998, Dr. Duroc-Danner was elected as our Chairman of the Board. He holds an M.B.A. and a Ph.D. in Economics from Wharton (University of Pennsylvania). Prior to the start-up of EVI, Dr. Duroc-Danner held positions at Arthur D. Little Inc. and Mobil Oil Inc. Dr. Duroc-Danner has been a director of LMS Capital plc, an investment company listed on the London Stock Exchange, since 2006. Dr. Duroc-Danner also serves on the National Petroleum Council and is a member of the Society of Petroleum Engineers. Dr. Duroc-Danner was the recipient of Ernst and Young’s 2008 Entrepreneur of the Year in Energy, Chemicals and Mining category. During the past five years, Dr. Duroc-Danner also was a director of Helix Energy Solutions Group, Inc.</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jc w:val="both"/>
        <w:ind w:left="20"/>
        <w:spacing w:after="0" w:line="250" w:lineRule="auto"/>
        <w:rPr>
          <w:sz w:val="20"/>
          <w:szCs w:val="20"/>
          <w:color w:val="auto"/>
        </w:rPr>
      </w:pPr>
      <w:r>
        <w:rPr>
          <w:rFonts w:ascii="Arial" w:cs="Arial" w:eastAsia="Arial" w:hAnsi="Arial"/>
          <w:sz w:val="16"/>
          <w:szCs w:val="16"/>
          <w:color w:val="auto"/>
        </w:rPr>
        <w:t>Dr. Duroc-Danner is a valued member of the Board because of his educational background, depth of knowledge of the oilfield service industry, domestically and internationally, and his 28 years of experience in successfully leading and expanding the Company’s business. As President and Chief Executive Officer, Dr. Duroc-Danner serves as an important link between senior management and the Board, and he brings to the Board an invaluable perspective in strategic planning for the future growth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282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720"/>
            <w:col w:w="8240"/>
          </w:cols>
          <w:pgMar w:left="240" w:top="4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0505" cy="11747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00505" cy="11747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2013</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Compensation;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Health, Safety and Environment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OTHER PUBLIC COMPANY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BOARDS: </w:t>
      </w:r>
      <w:r>
        <w:rPr>
          <w:rFonts w:ascii="Arial" w:cs="Arial" w:eastAsia="Arial" w:hAnsi="Arial"/>
          <w:sz w:val="16"/>
          <w:szCs w:val="16"/>
          <w:color w:val="FFFFFF"/>
        </w:rPr>
        <w:t>Southwestern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Energy Company, Suncor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500505" cy="15005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19640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82565" cy="1964055"/>
                    </a:xfrm>
                    <a:prstGeom prst="rect">
                      <a:avLst/>
                    </a:prstGeom>
                    <a:noFill/>
                  </pic:spPr>
                </pic:pic>
              </a:graphicData>
            </a:graphic>
          </wp:anchor>
        </w:drawing>
      </w:r>
    </w:p>
    <w:p>
      <w:pPr>
        <w:spacing w:after="0" w:line="229" w:lineRule="exact"/>
        <w:rPr>
          <w:sz w:val="20"/>
          <w:szCs w:val="20"/>
          <w:color w:val="auto"/>
        </w:rPr>
      </w:pPr>
    </w:p>
    <w:p>
      <w:pPr>
        <w:ind w:left="20" w:right="20"/>
        <w:spacing w:after="0" w:line="251" w:lineRule="auto"/>
        <w:rPr>
          <w:sz w:val="20"/>
          <w:szCs w:val="20"/>
          <w:color w:val="auto"/>
        </w:rPr>
      </w:pPr>
      <w:r>
        <w:rPr>
          <w:rFonts w:ascii="Arial" w:cs="Arial" w:eastAsia="Arial" w:hAnsi="Arial"/>
          <w:sz w:val="16"/>
          <w:szCs w:val="16"/>
          <w:color w:val="auto"/>
        </w:rPr>
        <w:t>Mr. Gass is a retired executive who held positions of Vice President of Chevron Corporation and President of Chevron Gas and Midstream, a role held from 2003 until 2012. Mr. Gass joined Chevron in 1974 and over the next 38 years held positions of increasing responsibility, both domestically and abroad, in engineering, operations and executive management.</w:t>
      </w:r>
    </w:p>
    <w:p>
      <w:pPr>
        <w:spacing w:after="0" w:line="176" w:lineRule="exact"/>
        <w:rPr>
          <w:sz w:val="20"/>
          <w:szCs w:val="20"/>
          <w:color w:val="auto"/>
        </w:rPr>
      </w:pPr>
    </w:p>
    <w:p>
      <w:pPr>
        <w:ind w:left="20" w:right="40"/>
        <w:spacing w:after="0" w:line="250" w:lineRule="auto"/>
        <w:rPr>
          <w:sz w:val="20"/>
          <w:szCs w:val="20"/>
          <w:color w:val="auto"/>
        </w:rPr>
      </w:pPr>
      <w:r>
        <w:rPr>
          <w:rFonts w:ascii="Arial" w:cs="Arial" w:eastAsia="Arial" w:hAnsi="Arial"/>
          <w:sz w:val="16"/>
          <w:szCs w:val="16"/>
          <w:color w:val="auto"/>
        </w:rPr>
        <w:t>Mr. Gass has been a director of Southwestern Energy Company since November 2012. He became a director of Suncor Energy Inc. in February 2014. Mr. Gass received a bachelor’s degree in civil engineering from Vanderbilt University and a master’s degree in civil engineering from Tulane University. He serves on the Board of Visitors for the Vanderbilt School of Engineering and is on the Advisory Board for the Vanderbilt Eye Institute. He is a member of the American Society of Civil Engineers and the Society of Petroleum Engineers.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180"/>
        <w:spacing w:after="0" w:line="253" w:lineRule="auto"/>
        <w:rPr>
          <w:sz w:val="20"/>
          <w:szCs w:val="20"/>
          <w:color w:val="auto"/>
        </w:rPr>
      </w:pPr>
      <w:r>
        <w:rPr>
          <w:rFonts w:ascii="Arial" w:cs="Arial" w:eastAsia="Arial" w:hAnsi="Arial"/>
          <w:sz w:val="16"/>
          <w:szCs w:val="16"/>
          <w:color w:val="auto"/>
        </w:rPr>
        <w:t>Mr. Gass has 38 years of experience in the international exploration and production industry, including executive leadership experience, which is a valuable asset to our Board in its strategic planning and decision-making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5282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2">
            <w:col w:w="2340" w:space="720"/>
            <w:col w:w="8240"/>
          </w:cols>
          <w:pgMar w:left="240" w:top="4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0505" cy="1174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00505" cy="11747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2010</w:t>
      </w:r>
    </w:p>
    <w:p>
      <w:pPr>
        <w:spacing w:after="0" w:line="100" w:lineRule="exact"/>
        <w:rPr>
          <w:sz w:val="20"/>
          <w:szCs w:val="20"/>
          <w:color w:val="auto"/>
        </w:rPr>
      </w:pPr>
    </w:p>
    <w:p>
      <w:pPr>
        <w:ind w:left="40"/>
        <w:spacing w:after="0" w:line="259"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Corporate</w:t>
      </w:r>
      <w:r>
        <w:rPr>
          <w:rFonts w:ascii="Arial" w:cs="Arial" w:eastAsia="Arial" w:hAnsi="Arial"/>
          <w:sz w:val="16"/>
          <w:szCs w:val="16"/>
          <w:b w:val="1"/>
          <w:bCs w:val="1"/>
          <w:color w:val="FFFFFF"/>
        </w:rPr>
        <w:t xml:space="preserve"> </w:t>
      </w:r>
      <w:r>
        <w:rPr>
          <w:rFonts w:ascii="Arial" w:cs="Arial" w:eastAsia="Arial" w:hAnsi="Arial"/>
          <w:sz w:val="16"/>
          <w:szCs w:val="16"/>
          <w:color w:val="FFFFFF"/>
        </w:rPr>
        <w:t>Governance and Nominating; Health, Safety and Environment (Chairman)</w:t>
      </w:r>
    </w:p>
    <w:p>
      <w:pPr>
        <w:spacing w:after="0" w:line="57"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None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5282565" cy="1844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82565" cy="18440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right="40"/>
        <w:spacing w:after="0" w:line="248" w:lineRule="auto"/>
        <w:rPr>
          <w:sz w:val="20"/>
          <w:szCs w:val="20"/>
          <w:color w:val="auto"/>
        </w:rPr>
      </w:pPr>
      <w:r>
        <w:rPr>
          <w:rFonts w:ascii="Arial" w:cs="Arial" w:eastAsia="Arial" w:hAnsi="Arial"/>
          <w:sz w:val="16"/>
          <w:szCs w:val="16"/>
          <w:color w:val="auto"/>
        </w:rPr>
        <w:t>Sir Emyr has been the President of the University of Aberystwyth, located in Wales, since 2008; Chairman of the All Wales Convention, a body established by the Welsh Assembly Government to review Wales’s constitutional arrangements, since 2007; is Chairman of Redress, a human rights organization; and was Chairman of the Corporate and Social Responsibility External Advisory Group of First Group plc, a transport operator, from 2008 to 2011. Sir Emyr previously held numerous diplomatic positions, including UK Permanent Representative to the UN from 2003 to 2007 and UK Ambassador to NATO from 2001 to 2003, after specializing in European Union affairs including energy policy. He is also the President of the Learned Society of Wales and began his three-year term of office in May of 2014. Sir Emyr received a B.S. in Theoretical Physics from the University of Cardiff and a Ph.D. in Polymer Physics from the University of Cambridge.</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160"/>
        <w:spacing w:after="0" w:line="253" w:lineRule="auto"/>
        <w:rPr>
          <w:sz w:val="20"/>
          <w:szCs w:val="20"/>
          <w:color w:val="auto"/>
        </w:rPr>
      </w:pPr>
      <w:r>
        <w:rPr>
          <w:rFonts w:ascii="Arial" w:cs="Arial" w:eastAsia="Arial" w:hAnsi="Arial"/>
          <w:sz w:val="16"/>
          <w:szCs w:val="16"/>
          <w:color w:val="auto"/>
        </w:rPr>
        <w:t>Sir Emyr brings to the Board a wealth of government relations experience, a high level of public and social policy knowledge and an important international perspective that are valuable to the Board in making global business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555625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00" w:lineRule="exact"/>
        <w:rPr>
          <w:sz w:val="20"/>
          <w:szCs w:val="20"/>
          <w:color w:val="auto"/>
        </w:rPr>
      </w:pPr>
    </w:p>
    <w:p>
      <w:pPr>
        <w:sectPr>
          <w:pgSz w:w="11900" w:h="16838" w:orient="portrait"/>
          <w:cols w:equalWidth="0" w:num="2">
            <w:col w:w="2340" w:space="720"/>
            <w:col w:w="8240"/>
          </w:cols>
          <w:pgMar w:left="240" w:top="487" w:right="359" w:bottom="1440" w:gutter="0" w:footer="0" w:header="0"/>
          <w:type w:val="continuous"/>
        </w:sectPr>
      </w:pPr>
    </w:p>
    <w:p>
      <w:pPr>
        <w:spacing w:after="0" w:line="97"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487" w:right="35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500505" cy="2795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0050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2013</w:t>
      </w:r>
    </w:p>
    <w:p>
      <w:pPr>
        <w:spacing w:after="0" w:line="100"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r>
        <w:rPr>
          <w:rFonts w:ascii="Arial" w:cs="Arial" w:eastAsia="Arial" w:hAnsi="Arial"/>
          <w:sz w:val="16"/>
          <w:szCs w:val="16"/>
          <w:b w:val="1"/>
          <w:bCs w:val="1"/>
          <w:color w:val="FFFFFF"/>
        </w:rPr>
        <w:t xml:space="preserve"> </w:t>
      </w:r>
      <w:r>
        <w:rPr>
          <w:rFonts w:ascii="Arial" w:cs="Arial" w:eastAsia="Arial" w:hAnsi="Arial"/>
          <w:sz w:val="16"/>
          <w:szCs w:val="16"/>
          <w:color w:val="FFFFFF"/>
        </w:rPr>
        <w:t>(Chairman)</w:t>
      </w:r>
    </w:p>
    <w:p>
      <w:pPr>
        <w:spacing w:after="0" w:line="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Ensco plc, Kraton</w:t>
      </w:r>
      <w:r>
        <w:rPr>
          <w:rFonts w:ascii="Arial" w:cs="Arial" w:eastAsia="Arial" w:hAnsi="Arial"/>
          <w:sz w:val="16"/>
          <w:szCs w:val="16"/>
          <w:b w:val="1"/>
          <w:bCs w:val="1"/>
          <w:color w:val="FFFFFF"/>
        </w:rPr>
        <w:t xml:space="preserve"> </w:t>
      </w:r>
      <w:r>
        <w:rPr>
          <w:rFonts w:ascii="Arial" w:cs="Arial" w:eastAsia="Arial" w:hAnsi="Arial"/>
          <w:sz w:val="16"/>
          <w:szCs w:val="16"/>
          <w:color w:val="FFFFFF"/>
        </w:rPr>
        <w:t>Performance Polymers, Inc., CHC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1500505" cy="15005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5"/>
          <w:szCs w:val="25"/>
          <w:b w:val="1"/>
          <w:bCs w:val="1"/>
          <w:color w:val="818284"/>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-265430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231140</wp:posOffset>
            </wp:positionV>
            <wp:extent cx="5282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5282565" cy="2684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82565" cy="2684145"/>
                    </a:xfrm>
                    <a:prstGeom prst="rect">
                      <a:avLst/>
                    </a:prstGeom>
                    <a:noFill/>
                  </pic:spPr>
                </pic:pic>
              </a:graphicData>
            </a:graphic>
          </wp:anchor>
        </w:drawing>
      </w:r>
    </w:p>
    <w:p>
      <w:pPr>
        <w:spacing w:after="0" w:line="242" w:lineRule="exact"/>
        <w:rPr>
          <w:sz w:val="20"/>
          <w:szCs w:val="20"/>
          <w:color w:val="auto"/>
        </w:rPr>
      </w:pPr>
    </w:p>
    <w:p>
      <w:pPr>
        <w:ind w:left="20" w:right="80"/>
        <w:spacing w:after="0" w:line="248" w:lineRule="auto"/>
        <w:rPr>
          <w:sz w:val="20"/>
          <w:szCs w:val="20"/>
          <w:color w:val="auto"/>
        </w:rPr>
      </w:pPr>
      <w:r>
        <w:rPr>
          <w:rFonts w:ascii="Arial" w:cs="Arial" w:eastAsia="Arial" w:hAnsi="Arial"/>
          <w:sz w:val="16"/>
          <w:szCs w:val="16"/>
          <w:color w:val="auto"/>
        </w:rPr>
        <w:t>Mr. Kalman serves as a senior advisor to a private investment subsidiary of Tudor, Pickering, Holt and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 Mr. Kalman started his career as a Certified Public Accountant with PriceWaterhouse and Co. In addition to the above, he has served in various financial capacities with Atlantic Richfield Company (1975 to 1982), United Gas Pipeline (1982 to 1991) and American Ref-Fuel (1991 to 1996). Mr. Kalman has a B.S. in Accounting from Long Island University.</w:t>
      </w:r>
    </w:p>
    <w:p>
      <w:pPr>
        <w:spacing w:after="0" w:line="178" w:lineRule="exact"/>
        <w:rPr>
          <w:sz w:val="20"/>
          <w:szCs w:val="20"/>
          <w:color w:val="auto"/>
        </w:rPr>
      </w:pPr>
    </w:p>
    <w:p>
      <w:pPr>
        <w:ind w:left="20" w:right="120"/>
        <w:spacing w:after="0" w:line="253" w:lineRule="auto"/>
        <w:rPr>
          <w:sz w:val="20"/>
          <w:szCs w:val="20"/>
          <w:color w:val="auto"/>
        </w:rPr>
      </w:pPr>
      <w:r>
        <w:rPr>
          <w:rFonts w:ascii="Arial" w:cs="Arial" w:eastAsia="Arial" w:hAnsi="Arial"/>
          <w:sz w:val="16"/>
          <w:szCs w:val="16"/>
          <w:color w:val="auto"/>
        </w:rPr>
        <w:t>In addition to his directorships on the boards of Ensco plc, Kraton Performance Polymers, Inc. and CHC Group Ltd., during the past five years, Mr. Kalman has also served on the board of Pride International, Inc., which merged into Ensco plc.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120"/>
        <w:spacing w:after="0" w:line="251" w:lineRule="auto"/>
        <w:rPr>
          <w:sz w:val="20"/>
          <w:szCs w:val="20"/>
          <w:color w:val="auto"/>
        </w:rPr>
      </w:pPr>
      <w:r>
        <w:rPr>
          <w:rFonts w:ascii="Arial" w:cs="Arial" w:eastAsia="Arial" w:hAnsi="Arial"/>
          <w:sz w:val="16"/>
          <w:szCs w:val="16"/>
          <w:color w:val="auto"/>
        </w:rPr>
        <w:t>Mr. Kalman has extensive experience in accounting and financial reporting, including chief financial officer experience and serving as chairman of the audit committee of a public company. In addition to financial expertise, he also has executive leadership and strategic planning experience in the international energy service industry that complements the mix of skills of our other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282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8360"/>
          </w:cols>
          <w:pgMar w:left="280" w:top="555" w:right="239" w:bottom="3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1500505" cy="14147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00505" cy="141478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1998</w:t>
      </w:r>
    </w:p>
    <w:p>
      <w:pPr>
        <w:spacing w:after="0" w:line="10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Compensation</w:t>
      </w:r>
      <w:r>
        <w:rPr>
          <w:rFonts w:ascii="Arial" w:cs="Arial" w:eastAsia="Arial" w:hAnsi="Arial"/>
          <w:sz w:val="16"/>
          <w:szCs w:val="16"/>
          <w:b w:val="1"/>
          <w:bCs w:val="1"/>
          <w:color w:val="FFFFFF"/>
        </w:rPr>
        <w:t xml:space="preserve"> </w:t>
      </w:r>
      <w:r>
        <w:rPr>
          <w:rFonts w:ascii="Arial" w:cs="Arial" w:eastAsia="Arial" w:hAnsi="Arial"/>
          <w:sz w:val="16"/>
          <w:szCs w:val="16"/>
          <w:color w:val="FFFFFF"/>
        </w:rPr>
        <w:t>(Chairman)</w:t>
      </w:r>
    </w:p>
    <w:p>
      <w:pPr>
        <w:spacing w:after="0" w:line="3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Dresser-Rand</w:t>
      </w:r>
      <w:r>
        <w:rPr>
          <w:rFonts w:ascii="Arial" w:cs="Arial" w:eastAsia="Arial" w:hAnsi="Arial"/>
          <w:sz w:val="16"/>
          <w:szCs w:val="16"/>
          <w:b w:val="1"/>
          <w:bCs w:val="1"/>
          <w:color w:val="FFFFFF"/>
        </w:rPr>
        <w:t xml:space="preserve"> </w:t>
      </w:r>
      <w:r>
        <w:rPr>
          <w:rFonts w:ascii="Arial" w:cs="Arial" w:eastAsia="Arial" w:hAnsi="Arial"/>
          <w:sz w:val="16"/>
          <w:szCs w:val="16"/>
          <w:color w:val="FFFFFF"/>
        </w:rPr>
        <w:t>Group, Inc. (Chairman), CHC Group Ltd.</w:t>
      </w:r>
    </w:p>
    <w:p>
      <w:pPr>
        <w:ind w:right="180"/>
        <w:spacing w:after="0" w:line="260" w:lineRule="auto"/>
        <w:rPr>
          <w:sz w:val="20"/>
          <w:szCs w:val="20"/>
          <w:color w:val="auto"/>
        </w:rPr>
      </w:pPr>
      <w:r>
        <w:rPr>
          <w:rFonts w:ascii="Arial" w:cs="Arial" w:eastAsia="Arial" w:hAnsi="Arial"/>
          <w:sz w:val="16"/>
          <w:szCs w:val="16"/>
          <w:color w:val="FFFFFF"/>
        </w:rPr>
        <w:t>(Chairman), Glencore Xstrata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123190</wp:posOffset>
            </wp:positionV>
            <wp:extent cx="1500505" cy="15005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20840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82565" cy="2084070"/>
                    </a:xfrm>
                    <a:prstGeom prst="rect">
                      <a:avLst/>
                    </a:prstGeom>
                    <a:noFill/>
                  </pic:spPr>
                </pic:pic>
              </a:graphicData>
            </a:graphic>
          </wp:anchor>
        </w:drawing>
      </w:r>
    </w:p>
    <w:p>
      <w:pPr>
        <w:spacing w:after="0" w:line="229" w:lineRule="exact"/>
        <w:rPr>
          <w:sz w:val="20"/>
          <w:szCs w:val="20"/>
          <w:color w:val="auto"/>
        </w:rPr>
      </w:pPr>
    </w:p>
    <w:p>
      <w:pPr>
        <w:ind w:left="20" w:right="100"/>
        <w:spacing w:after="0" w:line="248" w:lineRule="auto"/>
        <w:rPr>
          <w:sz w:val="20"/>
          <w:szCs w:val="20"/>
          <w:color w:val="auto"/>
        </w:rPr>
      </w:pPr>
      <w:r>
        <w:rPr>
          <w:rFonts w:ascii="Arial" w:cs="Arial" w:eastAsia="Arial" w:hAnsi="Arial"/>
          <w:sz w:val="16"/>
          <w:szCs w:val="16"/>
          <w:color w:val="auto"/>
        </w:rPr>
        <w:t>Mr. Macaulay is the Chairman and Chief Executive Officer of First Reserve. He has been with First Reserve, a global energy-focused private equity and infrastructure investment firm focused on the energy industry, since 1983. Mr. Macaulay is responsible for all aspects of the firm’s investment program and strategy, and the overall management of the firm. Mr. Macaulay served as a director of Weatherford Enterra from October 1995 to May 1998. Mr. Macaulay also served as Director of Corporate Finance for Oppenheimer and Co., Inc., where he worked from 1972 to 1982. Mr. Macaulay holds a B.B.A. from City College of New York and an M.B.A. from the Wharton School of the University of Pennsylvania.</w:t>
      </w:r>
    </w:p>
    <w:p>
      <w:pPr>
        <w:spacing w:after="0" w:line="182" w:lineRule="exact"/>
        <w:rPr>
          <w:sz w:val="20"/>
          <w:szCs w:val="20"/>
          <w:color w:val="auto"/>
        </w:rPr>
      </w:pPr>
    </w:p>
    <w:p>
      <w:pPr>
        <w:ind w:left="20" w:right="380"/>
        <w:spacing w:after="0" w:line="253" w:lineRule="auto"/>
        <w:rPr>
          <w:sz w:val="20"/>
          <w:szCs w:val="20"/>
          <w:color w:val="auto"/>
        </w:rPr>
      </w:pPr>
      <w:r>
        <w:rPr>
          <w:rFonts w:ascii="Arial" w:cs="Arial" w:eastAsia="Arial" w:hAnsi="Arial"/>
          <w:sz w:val="16"/>
          <w:szCs w:val="16"/>
          <w:color w:val="auto"/>
        </w:rPr>
        <w:t>Currently, Mr. Macaulay serves as Chairman of Dresser-Rand Group Inc., and is a director of Glencore Plc. Previously, Mr. Macaulay served as Chairman of CHC Group Ltd. and Foundation Coal Holdings Inc., and as a director of Dresser, Inc., National Oilwell Varco, Inc., and Pride International, Inc., which merged into Ensco plc.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240"/>
        <w:spacing w:after="0" w:line="253" w:lineRule="auto"/>
        <w:rPr>
          <w:sz w:val="20"/>
          <w:szCs w:val="20"/>
          <w:color w:val="auto"/>
        </w:rPr>
      </w:pPr>
      <w:r>
        <w:rPr>
          <w:rFonts w:ascii="Arial" w:cs="Arial" w:eastAsia="Arial" w:hAnsi="Arial"/>
          <w:sz w:val="16"/>
          <w:szCs w:val="16"/>
          <w:color w:val="auto"/>
        </w:rPr>
        <w:t>Mr. Macaulay’s investment and financial expertise, chief executive officer experience and extensive knowledge of the oilfield service industry are important assets to the Board in its decision-making process and in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683895</wp:posOffset>
            </wp:positionV>
            <wp:extent cx="5282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2300" w:space="720"/>
            <w:col w:w="8360"/>
          </w:cols>
          <w:pgMar w:left="280" w:top="555" w:right="239" w:bottom="302" w:gutter="0" w:footer="0" w:header="0"/>
          <w:type w:val="continuous"/>
        </w:sectPr>
      </w:pPr>
    </w:p>
    <w:p>
      <w:pPr>
        <w:spacing w:after="0" w:line="102" w:lineRule="exact"/>
        <w:rPr>
          <w:sz w:val="20"/>
          <w:szCs w:val="20"/>
          <w:color w:val="auto"/>
        </w:rPr>
      </w:pPr>
    </w:p>
    <w:p>
      <w:pPr>
        <w:ind w:left="3020"/>
        <w:spacing w:after="0"/>
        <w:rPr>
          <w:sz w:val="20"/>
          <w:szCs w:val="20"/>
          <w:color w:val="auto"/>
        </w:rPr>
      </w:pPr>
      <w:r>
        <w:rPr>
          <w:rFonts w:ascii="Arial" w:cs="Arial" w:eastAsia="Arial" w:hAnsi="Arial"/>
          <w:sz w:val="29"/>
          <w:szCs w:val="29"/>
          <w:b w:val="1"/>
          <w:bCs w:val="1"/>
          <w:color w:val="CE0D41"/>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130810</wp:posOffset>
            </wp:positionV>
            <wp:extent cx="5282565" cy="12433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82565" cy="1243330"/>
                    </a:xfrm>
                    <a:prstGeom prst="rect">
                      <a:avLst/>
                    </a:prstGeom>
                    <a:noFill/>
                  </pic:spPr>
                </pic:pic>
              </a:graphicData>
            </a:graphic>
          </wp:anchor>
        </w:drawing>
      </w:r>
    </w:p>
    <w:p>
      <w:pPr>
        <w:spacing w:after="0" w:line="229" w:lineRule="exact"/>
        <w:rPr>
          <w:sz w:val="20"/>
          <w:szCs w:val="20"/>
          <w:color w:val="auto"/>
        </w:rPr>
      </w:pPr>
    </w:p>
    <w:p>
      <w:pPr>
        <w:ind w:left="3040" w:right="100"/>
        <w:spacing w:after="0" w:line="251" w:lineRule="auto"/>
        <w:rPr>
          <w:sz w:val="20"/>
          <w:szCs w:val="20"/>
          <w:color w:val="auto"/>
        </w:rPr>
      </w:pPr>
      <w:r>
        <w:rPr>
          <w:rFonts w:ascii="Arial" w:cs="Arial" w:eastAsia="Arial" w:hAnsi="Arial"/>
          <w:sz w:val="16"/>
          <w:szCs w:val="16"/>
          <w:color w:val="auto"/>
        </w:rPr>
        <w:t>Mr. Moses has been a private investor, principally in the oil and gas exploration and oilfield services business in Houston, Texas, for more than 20 years. He served as Chairman of the Board of Directors of Weatherford Enterra from May 1989 to December 1992 and as a director of Weatherford Enterra from December 1989 to May 1998. Mr. Moses holds a B.A. in Economics from the University of Texas at Austin.</w:t>
      </w:r>
    </w:p>
    <w:p>
      <w:pPr>
        <w:spacing w:after="0" w:line="156"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3040" w:right="360"/>
        <w:spacing w:after="0" w:line="246" w:lineRule="auto"/>
        <w:rPr>
          <w:sz w:val="20"/>
          <w:szCs w:val="20"/>
          <w:color w:val="auto"/>
        </w:rPr>
      </w:pPr>
      <w:r>
        <w:rPr>
          <w:rFonts w:ascii="Arial" w:cs="Arial" w:eastAsia="Arial" w:hAnsi="Arial"/>
          <w:sz w:val="16"/>
          <w:szCs w:val="16"/>
          <w:color w:val="auto"/>
        </w:rPr>
        <w:t>Mr. Moses’ investment experience, extensive knowledge of and experience in the oilfield service industry and institutional knowledge of one of Weatherford’s most significant legacy companies provide a unique perspective that is an asset to the Board in its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-16510</wp:posOffset>
            </wp:positionV>
            <wp:extent cx="1500505" cy="1054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00505" cy="1054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75</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1998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FFFFFF"/>
        </w:rPr>
        <w:t>Compensation; Health, Safety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FFFF"/>
        </w:rPr>
        <w:t>and Environment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OTHER PUBLIC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BOARDS: </w:t>
      </w:r>
      <w:r>
        <w:rPr>
          <w:rFonts w:ascii="Arial" w:cs="Arial" w:eastAsia="Arial" w:hAnsi="Arial"/>
          <w:sz w:val="16"/>
          <w:szCs w:val="16"/>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72466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80" w:top="555" w:right="239" w:bottom="302" w:gutter="0" w:footer="0" w:header="0"/>
          <w:type w:val="continuous"/>
        </w:sectPr>
      </w:pPr>
    </w:p>
    <w:bookmarkStart w:id="36" w:name="page37"/>
    <w:bookmarkEnd w:id="36"/>
    <w:p>
      <w:pPr>
        <w:spacing w:after="0"/>
        <w:rPr>
          <w:sz w:val="20"/>
          <w:szCs w:val="20"/>
          <w:color w:val="auto"/>
        </w:rPr>
      </w:pPr>
      <w:r>
        <w:rPr>
          <w:rFonts w:ascii="Arial" w:cs="Arial" w:eastAsia="Arial" w:hAnsi="Arial"/>
          <w:sz w:val="25"/>
          <w:szCs w:val="25"/>
          <w:b w:val="1"/>
          <w:bCs w:val="1"/>
          <w:color w:val="818284"/>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31559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005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66</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2010</w:t>
      </w:r>
    </w:p>
    <w:p>
      <w:pPr>
        <w:spacing w:after="0" w:line="100" w:lineRule="exact"/>
        <w:rPr>
          <w:sz w:val="20"/>
          <w:szCs w:val="20"/>
          <w:color w:val="auto"/>
        </w:rPr>
      </w:pPr>
    </w:p>
    <w:p>
      <w:pPr>
        <w:ind w:left="40" w:right="700"/>
        <w:spacing w:after="0" w:line="28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r>
        <w:rPr>
          <w:rFonts w:ascii="Arial" w:cs="Arial" w:eastAsia="Arial" w:hAnsi="Arial"/>
          <w:sz w:val="16"/>
          <w:szCs w:val="16"/>
          <w:b w:val="1"/>
          <w:bCs w:val="1"/>
          <w:color w:val="FFFFFF"/>
        </w:rPr>
        <w:t xml:space="preserve"> </w:t>
      </w:r>
      <w:r>
        <w:rPr>
          <w:rFonts w:ascii="Arial" w:cs="Arial" w:eastAsia="Arial" w:hAnsi="Arial"/>
          <w:sz w:val="16"/>
          <w:szCs w:val="16"/>
          <w:color w:val="FFFFFF"/>
        </w:rPr>
        <w:t>Compensation</w:t>
      </w:r>
    </w:p>
    <w:p>
      <w:pPr>
        <w:spacing w:after="0" w:line="34" w:lineRule="exact"/>
        <w:rPr>
          <w:sz w:val="20"/>
          <w:szCs w:val="20"/>
          <w:color w:val="auto"/>
        </w:rPr>
      </w:pPr>
    </w:p>
    <w:p>
      <w:pPr>
        <w:ind w:left="40" w:right="20"/>
        <w:spacing w:after="0" w:line="253"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Grupo Aeroportuario</w:t>
      </w:r>
      <w:r>
        <w:rPr>
          <w:rFonts w:ascii="Arial" w:cs="Arial" w:eastAsia="Arial" w:hAnsi="Arial"/>
          <w:sz w:val="16"/>
          <w:szCs w:val="16"/>
          <w:b w:val="1"/>
          <w:bCs w:val="1"/>
          <w:color w:val="FFFFFF"/>
        </w:rPr>
        <w:t xml:space="preserve"> </w:t>
      </w:r>
      <w:r>
        <w:rPr>
          <w:rFonts w:ascii="Arial" w:cs="Arial" w:eastAsia="Arial" w:hAnsi="Arial"/>
          <w:sz w:val="16"/>
          <w:szCs w:val="16"/>
          <w:color w:val="FFFFFF"/>
        </w:rPr>
        <w:t>del Sureste S.A.B. de C.V., Grupo Comercial Chedraui S.A.B. de C.V., Mexichem S.A.B. de C.V., Vitro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500505" cy="30359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0050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66</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1987</w:t>
      </w:r>
    </w:p>
    <w:p>
      <w:pPr>
        <w:spacing w:after="0" w:line="100" w:lineRule="exact"/>
        <w:rPr>
          <w:sz w:val="20"/>
          <w:szCs w:val="20"/>
          <w:color w:val="auto"/>
        </w:rPr>
      </w:pPr>
    </w:p>
    <w:p>
      <w:pPr>
        <w:ind w:left="40" w:right="240"/>
        <w:spacing w:after="0" w:line="26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 (Vice</w:t>
      </w:r>
      <w:r>
        <w:rPr>
          <w:rFonts w:ascii="Arial" w:cs="Arial" w:eastAsia="Arial" w:hAnsi="Arial"/>
          <w:sz w:val="16"/>
          <w:szCs w:val="16"/>
          <w:b w:val="1"/>
          <w:bCs w:val="1"/>
          <w:color w:val="FFFFFF"/>
        </w:rPr>
        <w:t xml:space="preserve"> </w:t>
      </w:r>
      <w:r>
        <w:rPr>
          <w:rFonts w:ascii="Arial" w:cs="Arial" w:eastAsia="Arial" w:hAnsi="Arial"/>
          <w:sz w:val="16"/>
          <w:szCs w:val="16"/>
          <w:color w:val="FFFFFF"/>
        </w:rPr>
        <w:t>Chairman), Corporate Governance and Nominating</w:t>
      </w:r>
    </w:p>
    <w:p>
      <w:pPr>
        <w:spacing w:after="0" w:line="50" w:lineRule="exact"/>
        <w:rPr>
          <w:sz w:val="20"/>
          <w:szCs w:val="20"/>
          <w:color w:val="auto"/>
        </w:rPr>
      </w:pPr>
    </w:p>
    <w:p>
      <w:pPr>
        <w:ind w:left="40" w:right="80"/>
        <w:spacing w:after="0" w:line="25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ChyronHego</w:t>
      </w:r>
      <w:r>
        <w:rPr>
          <w:rFonts w:ascii="Arial" w:cs="Arial" w:eastAsia="Arial" w:hAnsi="Arial"/>
          <w:sz w:val="16"/>
          <w:szCs w:val="16"/>
          <w:b w:val="1"/>
          <w:bCs w:val="1"/>
          <w:color w:val="FFFFFF"/>
        </w:rPr>
        <w:t xml:space="preserve"> </w:t>
      </w:r>
      <w:r>
        <w:rPr>
          <w:rFonts w:ascii="Arial" w:cs="Arial" w:eastAsia="Arial" w:hAnsi="Arial"/>
          <w:sz w:val="16"/>
          <w:szCs w:val="16"/>
          <w:color w:val="FFFFFF"/>
        </w:rPr>
        <w:t>Corporation, Derwent London plc (Non-Executive Chairman), LMS Capital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-717550</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52825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825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5282565" cy="17240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82565" cy="1724025"/>
                    </a:xfrm>
                    <a:prstGeom prst="rect">
                      <a:avLst/>
                    </a:prstGeom>
                    <a:noFill/>
                  </pic:spPr>
                </pic:pic>
              </a:graphicData>
            </a:graphic>
          </wp:anchor>
        </w:drawing>
      </w:r>
    </w:p>
    <w:p>
      <w:pPr>
        <w:spacing w:after="0" w:line="242" w:lineRule="exact"/>
        <w:rPr>
          <w:sz w:val="20"/>
          <w:szCs w:val="20"/>
          <w:color w:val="auto"/>
        </w:rPr>
      </w:pPr>
    </w:p>
    <w:p>
      <w:pPr>
        <w:ind w:left="20" w:right="20"/>
        <w:spacing w:after="0" w:line="248" w:lineRule="auto"/>
        <w:rPr>
          <w:sz w:val="20"/>
          <w:szCs w:val="20"/>
          <w:color w:val="auto"/>
        </w:rPr>
      </w:pPr>
      <w:r>
        <w:rPr>
          <w:rFonts w:ascii="Arial" w:cs="Arial" w:eastAsia="Arial" w:hAnsi="Arial"/>
          <w:sz w:val="16"/>
          <w:szCs w:val="16"/>
          <w:color w:val="auto"/>
        </w:rPr>
        <w:t>Dr. Ortiz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and is currently a member of “The Group of Thirty”. Other public company boards include Grupo Aeroportuario del Sureste S.A.B. de C.V., Grupo Comercial Chedraui S.A.B. de C.V., Mexichem S.A.B. de C.V., and Vitro S.A.B. de C.V. Dr. Ortiz holds a B.A. in Economics from the National Autonomous University of Mexico and both an M.Sc. and a Ph.D. in Economics from Stanford University.</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jc w:val="both"/>
        <w:ind w:left="20" w:right="180"/>
        <w:spacing w:after="0" w:line="253" w:lineRule="auto"/>
        <w:rPr>
          <w:sz w:val="20"/>
          <w:szCs w:val="20"/>
          <w:color w:val="auto"/>
        </w:rPr>
      </w:pPr>
      <w:r>
        <w:rPr>
          <w:rFonts w:ascii="Arial" w:cs="Arial" w:eastAsia="Arial" w:hAnsi="Arial"/>
          <w:sz w:val="16"/>
          <w:szCs w:val="16"/>
          <w:color w:val="auto"/>
        </w:rPr>
        <w:t>Dr. Ortiz is a valuable member of the Audit Committee because of his extensive finance and banking experience, particularly relating to global economic matters and multinational financing. In addition, he brings to the Board an important international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1155700</wp:posOffset>
            </wp:positionV>
            <wp:extent cx="5282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24441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82565" cy="2444115"/>
                    </a:xfrm>
                    <a:prstGeom prst="rect">
                      <a:avLst/>
                    </a:prstGeom>
                    <a:noFill/>
                  </pic:spPr>
                </pic:pic>
              </a:graphicData>
            </a:graphic>
          </wp:anchor>
        </w:drawing>
      </w:r>
    </w:p>
    <w:p>
      <w:pPr>
        <w:spacing w:after="0" w:line="215" w:lineRule="exact"/>
        <w:rPr>
          <w:sz w:val="20"/>
          <w:szCs w:val="20"/>
          <w:color w:val="auto"/>
        </w:rPr>
      </w:pPr>
    </w:p>
    <w:p>
      <w:pPr>
        <w:ind w:left="20"/>
        <w:spacing w:after="0" w:line="248" w:lineRule="auto"/>
        <w:rPr>
          <w:sz w:val="20"/>
          <w:szCs w:val="20"/>
          <w:color w:val="auto"/>
        </w:rPr>
      </w:pPr>
      <w:r>
        <w:rPr>
          <w:rFonts w:ascii="Arial" w:cs="Arial" w:eastAsia="Arial" w:hAnsi="Arial"/>
          <w:sz w:val="16"/>
          <w:szCs w:val="16"/>
          <w:color w:val="auto"/>
        </w:rPr>
        <w:t>Mr. Rayne has been a non-executive director of LMS Capital plc, an investment company listed on the London Stock Exchange, since February 2010, and was the Chairman of LMS Capital from February 2010 to January 2012. Mr. Rayne was the Chief Executive Officer and a director of LMS Capital from June 2006, when the investment business of London Merchant Securities plc was demerged, and LMS Capital was formed to hold this business, until February 2010. Mr. Rayne was employed by London Merchant Securities from 1968 to June 2006 and served as its Chief Executive Director from May 2001 to June 2006. Other public company boards include ChyronHego Corporation and Derwent London plc. Mr. Rayne also serves as the trustee for several charitable foundations, including the National Theatre Foundation, the Imperial College Endowment Fund and the Children of Success Schools, each in London. Mr. Rayne attended Malvern College and received a diploma from the New York Institute of Finance in Accounting, Law, and Working in the Stock Exchange.</w:t>
      </w:r>
    </w:p>
    <w:p>
      <w:pPr>
        <w:spacing w:after="0" w:line="179" w:lineRule="exact"/>
        <w:rPr>
          <w:sz w:val="20"/>
          <w:szCs w:val="20"/>
          <w:color w:val="auto"/>
        </w:rPr>
      </w:pPr>
    </w:p>
    <w:p>
      <w:pPr>
        <w:ind w:left="20" w:right="380"/>
        <w:spacing w:after="0" w:line="260" w:lineRule="auto"/>
        <w:rPr>
          <w:sz w:val="20"/>
          <w:szCs w:val="20"/>
          <w:color w:val="auto"/>
        </w:rPr>
      </w:pPr>
      <w:r>
        <w:rPr>
          <w:rFonts w:ascii="Arial" w:cs="Arial" w:eastAsia="Arial" w:hAnsi="Arial"/>
          <w:sz w:val="16"/>
          <w:szCs w:val="16"/>
          <w:color w:val="auto"/>
        </w:rPr>
        <w:t>Mr. Rayne is Vice Chairman and Presiding Director of the Company’s Board. As Presiding Director, Mr. Rayne leads the executive sessions of the non-management Directors, which are held at least twice each year.</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300"/>
        <w:spacing w:after="0" w:line="251" w:lineRule="auto"/>
        <w:rPr>
          <w:sz w:val="20"/>
          <w:szCs w:val="20"/>
          <w:color w:val="auto"/>
        </w:rPr>
      </w:pPr>
      <w:r>
        <w:rPr>
          <w:rFonts w:ascii="Arial" w:cs="Arial" w:eastAsia="Arial" w:hAnsi="Arial"/>
          <w:sz w:val="16"/>
          <w:szCs w:val="16"/>
          <w:color w:val="auto"/>
        </w:rPr>
        <w:t>Mr. Rayne has expertise in a wide range of sectors in addition to the oilfield service industry, including the real estate, media, consumer and technology industries. His 28-year tenure on our Board and his financial and investment expertise, chief executive office experience, international perspectives and diversity of expertise are beneficial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281940</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86" w:lineRule="exact"/>
        <w:rPr>
          <w:sz w:val="20"/>
          <w:szCs w:val="20"/>
          <w:color w:val="auto"/>
        </w:rPr>
      </w:pPr>
    </w:p>
    <w:p>
      <w:pPr>
        <w:sectPr>
          <w:pgSz w:w="11900" w:h="16838" w:orient="portrait"/>
          <w:cols w:equalWidth="0" w:num="2">
            <w:col w:w="2340" w:space="720"/>
            <w:col w:w="8280"/>
          </w:cols>
          <w:pgMar w:left="240" w:top="487" w:right="319" w:bottom="1440" w:gutter="0" w:footer="0" w:header="0"/>
        </w:sectPr>
      </w:pPr>
    </w:p>
    <w:p>
      <w:pPr>
        <w:spacing w:after="0" w:line="8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87" w:right="31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CORPORATE GOVERNANCE MATTERS</w:t>
      </w:r>
    </w:p>
    <w:p>
      <w:pPr>
        <w:spacing w:after="0" w:line="37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 xml:space="preserve">We are committed to adhering to sound principles of corporate governance and high ethical standards. Our Board believes sound corporate governance processes and practices are critical to handling challenges and to achieving business success. We embrace leading governance practices and also conduct ongoing reviews of our governance structure and processes to reflect shareholder input and changing circumstances. Additional information regarding corporate governance at Weatherford can be found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in the “Investor Relations” section. Below are the primary highlights of our corporate governance practices and principles.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auto"/>
            </w:tcBorders>
          </w:tcPr>
          <w:p>
            <w:pPr>
              <w:spacing w:after="0"/>
              <w:rPr>
                <w:sz w:val="20"/>
                <w:szCs w:val="20"/>
                <w:color w:val="auto"/>
              </w:rPr>
            </w:pPr>
            <w:r>
              <w:rPr>
                <w:rFonts w:ascii="Arial" w:cs="Arial" w:eastAsia="Arial" w:hAnsi="Arial"/>
                <w:sz w:val="16"/>
                <w:szCs w:val="16"/>
                <w:color w:val="CE0D41"/>
              </w:rPr>
              <w:t>Director Independence</w:t>
            </w:r>
          </w:p>
        </w:tc>
        <w:tc>
          <w:tcPr>
            <w:tcW w:w="7180" w:type="dxa"/>
            <w:vAlign w:val="bottom"/>
            <w:tcBorders>
              <w:top w:val="single" w:sz="8" w:color="auto"/>
            </w:tcBorders>
          </w:tcPr>
          <w:p>
            <w:pPr>
              <w:ind w:left="960"/>
              <w:spacing w:after="0"/>
              <w:rPr>
                <w:sz w:val="20"/>
                <w:szCs w:val="20"/>
                <w:color w:val="auto"/>
              </w:rPr>
            </w:pPr>
            <w:r>
              <w:rPr>
                <w:rFonts w:ascii="Arial" w:cs="Arial" w:eastAsia="Arial" w:hAnsi="Arial"/>
                <w:sz w:val="16"/>
                <w:szCs w:val="16"/>
                <w:color w:val="auto"/>
              </w:rPr>
              <w:t>9 out of 10 of our directors are independent</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Our CEO is the only management director and the only director who is not</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independent</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We have an independent vice chairman and presiding director</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Committee Structure; Executive Sessions</w:t>
            </w:r>
          </w:p>
        </w:tc>
        <w:tc>
          <w:tcPr>
            <w:tcW w:w="7180" w:type="dxa"/>
            <w:vAlign w:val="bottom"/>
          </w:tcPr>
          <w:p>
            <w:pPr>
              <w:ind w:left="960"/>
              <w:spacing w:after="0"/>
              <w:rPr>
                <w:sz w:val="20"/>
                <w:szCs w:val="20"/>
                <w:color w:val="auto"/>
              </w:rPr>
            </w:pPr>
            <w:r>
              <w:rPr>
                <w:rFonts w:ascii="Arial" w:cs="Arial" w:eastAsia="Arial" w:hAnsi="Arial"/>
                <w:sz w:val="16"/>
                <w:szCs w:val="16"/>
                <w:color w:val="auto"/>
              </w:rPr>
              <w:t>Our Committees are composed entirely of independent directors</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In 2014, a new audit committee chair was appointed</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Independent directors meet regularly in executive session; in 2014, four executive</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sessions were held</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Voting; Shareholder Rights</w:t>
            </w:r>
          </w:p>
        </w:tc>
        <w:tc>
          <w:tcPr>
            <w:tcW w:w="7180" w:type="dxa"/>
            <w:vAlign w:val="bottom"/>
          </w:tcPr>
          <w:p>
            <w:pPr>
              <w:ind w:left="960"/>
              <w:spacing w:after="0"/>
              <w:rPr>
                <w:sz w:val="20"/>
                <w:szCs w:val="20"/>
                <w:color w:val="auto"/>
              </w:rPr>
            </w:pPr>
            <w:r>
              <w:rPr>
                <w:rFonts w:ascii="Arial" w:cs="Arial" w:eastAsia="Arial" w:hAnsi="Arial"/>
                <w:sz w:val="16"/>
                <w:szCs w:val="16"/>
                <w:color w:val="auto"/>
              </w:rPr>
              <w:t>Majority voting standard for uncontested director elections</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Non-staggered board with annual election of directors</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Shareholders representing 10% or more of outstanding shares can call a special</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shareholders meeting</w:t>
            </w:r>
          </w:p>
        </w:tc>
      </w:tr>
      <w:tr>
        <w:trPr>
          <w:trHeight w:val="183"/>
        </w:trPr>
        <w:tc>
          <w:tcPr>
            <w:tcW w:w="4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CE0D41"/>
              </w:rPr>
              <w:t>Annual Board and Committee Self Evaluation</w:t>
            </w:r>
          </w:p>
        </w:tc>
        <w:tc>
          <w:tcPr>
            <w:tcW w:w="7180" w:type="dxa"/>
            <w:vAlign w:val="bottom"/>
            <w:tcBorders>
              <w:bottom w:val="single" w:sz="8" w:color="auto"/>
            </w:tcBorders>
          </w:tcPr>
          <w:p>
            <w:pPr>
              <w:ind w:left="960"/>
              <w:spacing w:after="0" w:line="183" w:lineRule="exact"/>
              <w:rPr>
                <w:sz w:val="20"/>
                <w:szCs w:val="20"/>
                <w:color w:val="auto"/>
              </w:rPr>
            </w:pPr>
            <w:r>
              <w:rPr>
                <w:rFonts w:ascii="Arial" w:cs="Arial" w:eastAsia="Arial" w:hAnsi="Arial"/>
                <w:sz w:val="16"/>
                <w:szCs w:val="16"/>
                <w:color w:val="auto"/>
              </w:rPr>
              <w:t>The Board and Committees conduct annual self-evaluations</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Share Ownership Guidelines</w:t>
            </w:r>
          </w:p>
        </w:tc>
        <w:tc>
          <w:tcPr>
            <w:tcW w:w="7180" w:type="dxa"/>
            <w:vAlign w:val="bottom"/>
          </w:tcPr>
          <w:p>
            <w:pPr>
              <w:ind w:left="960"/>
              <w:spacing w:after="0"/>
              <w:rPr>
                <w:sz w:val="20"/>
                <w:szCs w:val="20"/>
                <w:color w:val="auto"/>
              </w:rPr>
            </w:pPr>
            <w:r>
              <w:rPr>
                <w:rFonts w:ascii="Arial" w:cs="Arial" w:eastAsia="Arial" w:hAnsi="Arial"/>
                <w:sz w:val="16"/>
                <w:szCs w:val="16"/>
                <w:color w:val="auto"/>
              </w:rPr>
              <w:t>Our directors are required to own at least five times their annual cash retainer</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Our CEO is required to own at least six times his annual base salary and he currently</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owns in excess of 10 times his annual base salary other NEOs are required to own</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three times their annual salary</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Risk Oversight</w:t>
            </w:r>
          </w:p>
        </w:tc>
        <w:tc>
          <w:tcPr>
            <w:tcW w:w="7180" w:type="dxa"/>
            <w:vAlign w:val="bottom"/>
          </w:tcPr>
          <w:p>
            <w:pPr>
              <w:ind w:left="960"/>
              <w:spacing w:after="0"/>
              <w:rPr>
                <w:sz w:val="20"/>
                <w:szCs w:val="20"/>
                <w:color w:val="auto"/>
              </w:rPr>
            </w:pPr>
            <w:r>
              <w:rPr>
                <w:rFonts w:ascii="Arial" w:cs="Arial" w:eastAsia="Arial" w:hAnsi="Arial"/>
                <w:sz w:val="16"/>
                <w:szCs w:val="16"/>
                <w:color w:val="auto"/>
              </w:rPr>
              <w:t>Our entire Board is responsible for risk management of the Company and our</w:t>
            </w:r>
          </w:p>
        </w:tc>
      </w:tr>
      <w:tr>
        <w:trPr>
          <w:trHeight w:val="194"/>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Committees have particular oversight of certain key risks</w:t>
            </w:r>
          </w:p>
        </w:tc>
      </w:tr>
      <w:tr>
        <w:trPr>
          <w:trHeight w:val="405"/>
        </w:trPr>
        <w:tc>
          <w:tcPr>
            <w:tcW w:w="4240" w:type="dxa"/>
            <w:vAlign w:val="bottom"/>
          </w:tcPr>
          <w:p>
            <w:pPr>
              <w:spacing w:after="0"/>
              <w:rPr>
                <w:sz w:val="20"/>
                <w:szCs w:val="20"/>
                <w:color w:val="auto"/>
              </w:rPr>
            </w:pPr>
            <w:r>
              <w:rPr>
                <w:rFonts w:ascii="Arial" w:cs="Arial" w:eastAsia="Arial" w:hAnsi="Arial"/>
                <w:sz w:val="18"/>
                <w:szCs w:val="18"/>
                <w:b w:val="1"/>
                <w:bCs w:val="1"/>
                <w:color w:val="auto"/>
              </w:rPr>
              <w:t>THE BOARD’S ROLE</w:t>
            </w:r>
          </w:p>
        </w:tc>
        <w:tc>
          <w:tcPr>
            <w:tcW w:w="7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-2597785</wp:posOffset>
            </wp:positionV>
            <wp:extent cx="102870" cy="2228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22288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-2237740</wp:posOffset>
            </wp:positionV>
            <wp:extent cx="10287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-2108835</wp:posOffset>
            </wp:positionV>
            <wp:extent cx="102870" cy="3429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-1619885</wp:posOffset>
            </wp:positionV>
            <wp:extent cx="102870" cy="3429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-1131570</wp:posOffset>
            </wp:positionV>
            <wp:extent cx="102870" cy="1028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-1002665</wp:posOffset>
            </wp:positionV>
            <wp:extent cx="102870" cy="2228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22288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-513715</wp:posOffset>
            </wp:positionV>
            <wp:extent cx="10287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Please refer to “Our Board Committees” below for additional information on our Committees, including principal Board and Committee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RISK MANAGEMENT OVERSIGHT</w:t>
      </w:r>
    </w:p>
    <w:p>
      <w:pPr>
        <w:spacing w:after="0" w:line="37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Board is responsible for the oversight of overall risk management for the Company, and the Audit Committee is responsible for financial and compliance reporting and risk assessment. As part of this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reviews our compensation plans and practices to ensure that they do not encourage excessive risk taking and instead encourage behaviors that support sustainable value creation. See “Risk Analysis of our Compensation Programs” in the Compensation Discussion and Analysis section of this Proxy Statement. 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SUCCESSION PLANNING</w:t>
      </w:r>
    </w:p>
    <w:p>
      <w:pPr>
        <w:spacing w:after="0" w:line="23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In addition to oversight of risk management, one of the responsibilities of our Board is to ensure that the Company has a skilled and qualified management team in place. On a periodic basis, the Corporate Governance and Nominating Committee conducts a review of our management’s development and succession planning activities. The Board’s goal is to have a long-term and evolving program for effective leadership development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DIVERSITY OF SKILLS AND EXPERTISE</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Board seeks diversity in the broadest sense – of culture, background, outlook and experience, to bring together multiple, complementary perspectives. Our nominees bring a diverse range of skills and experience in relevant areas, including finance, exploration and production as well as oilfield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1992630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106045</wp:posOffset>
            </wp:positionV>
            <wp:extent cx="3550285" cy="1663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5502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DIVERSITY OF EXPERIENCE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shown by the highlighted areas in the map below, our directors have significant business experience within domestic, international and global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2197735</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121920</wp:posOffset>
            </wp:positionV>
            <wp:extent cx="3395980" cy="18522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9598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DIRECTOR TENURE</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the last five years, five new directors have joined our Board. The Corporate Governance and Nominating Committee believes it is desirable for new directors to join the Board from time to time to “refresh” the Board with new perspectives and thereby reduce the average tenure of the Board. The following illustrates the tenure of our current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1661795</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109855</wp:posOffset>
            </wp:positionV>
            <wp:extent cx="2838450" cy="128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3845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p>
    <w:p>
      <w:pPr>
        <w:sectPr>
          <w:pgSz w:w="11900" w:h="16838" w:orient="portrait"/>
          <w:cols w:equalWidth="0" w:num="1">
            <w:col w:w="11420"/>
          </w:cols>
          <w:pgMar w:left="240" w:top="514" w:right="239" w:bottom="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DIRECTOR INDEPENDENCE</w:t>
      </w:r>
    </w:p>
    <w:p>
      <w:pPr>
        <w:spacing w:after="0" w:line="37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 xml:space="preserve">The Board has affirmatively determined that each director is independent under the rules of the NYSE and the SEC, other than Dr. Duroc-Danner, who is our Chief Executive Officer. As contemplated by NYSE rules, the Board has adopted categorical standards to assist it in making independence determinations. These standards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by clicking on “Investor Relations,” then “Corporate Governance,” then “Corporate Governance Principles.”</w:t>
      </w:r>
    </w:p>
    <w:p>
      <w:pPr>
        <w:spacing w:after="0" w:line="176"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 The relationship discussed under “Related Person Transaction” in this Proxy Statement did not exceed these categorical standards and was determined by the Board not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240"/>
        <w:spacing w:after="0" w:line="281" w:lineRule="auto"/>
        <w:rPr>
          <w:sz w:val="20"/>
          <w:szCs w:val="20"/>
          <w:color w:val="auto"/>
        </w:rPr>
      </w:pPr>
      <w:r>
        <w:rPr>
          <w:rFonts w:ascii="Arial" w:cs="Arial" w:eastAsia="Arial" w:hAnsi="Arial"/>
          <w:sz w:val="43"/>
          <w:szCs w:val="43"/>
          <w:b w:val="1"/>
          <w:bCs w:val="1"/>
          <w:color w:val="818284"/>
        </w:rPr>
        <w:t>CORPORATE GOVERNANCE PRINCIPLES; CODES OF CONDUCT; RELATED PERSON TRANSACTIONS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 xml:space="preserve">Policies. </w:t>
      </w:r>
      <w:r>
        <w:rPr>
          <w:rFonts w:ascii="Arial" w:cs="Arial" w:eastAsia="Arial" w:hAnsi="Arial"/>
          <w:sz w:val="16"/>
          <w:szCs w:val="16"/>
          <w:color w:val="auto"/>
        </w:rPr>
        <w:t>Our policies regarding transactions between us or any of our affiliates and our directors, executive officers and other employees are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writing in our Corporate Governance Principles and our Code of Business Conduct. These documents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selecting “Corporate Governance Principles” or “Code of Business Conduct,” as applicable. We also have a Supplemental Code of Business Conduct that applies to our President and Chief Executive Officer, our Chief Financial Officer and our Chief Accounting Officer, which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“Supplemental Code of Conduct.” The Board believes these documents promote the effective functioning of the Board, its Committees and management. Accordingly, they are periodically reviewed and revised, as appropriate.</w:t>
      </w:r>
    </w:p>
    <w:p>
      <w:pPr>
        <w:spacing w:after="0" w:line="17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If an actual or potential conflict of interest arises for any director, the director is required to notify the Board and is not allowed to participate in any discussions or vote on any transaction in which the actual or potential conflict of interest may arise. The Board approves any transactions with our Chief Executive Officer, and our Chief Executive Officer approves any transactions with any other officer.</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b w:val="1"/>
          <w:bCs w:val="1"/>
          <w:i w:val="1"/>
          <w:iCs w:val="1"/>
          <w:color w:val="auto"/>
        </w:rPr>
        <w:t xml:space="preserve">Transactions with Related Persons in 2014. </w:t>
      </w:r>
      <w:r>
        <w:rPr>
          <w:rFonts w:ascii="Arial" w:cs="Arial" w:eastAsia="Arial" w:hAnsi="Arial"/>
          <w:sz w:val="16"/>
          <w:szCs w:val="16"/>
          <w:color w:val="auto"/>
        </w:rPr>
        <w:t>We lease our London office space from Central London Commercial Estates Limited, which is affiliated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Derwent London, of which one of our directors, Mr. Robert A. Rayne, is a non-executive director.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2014, we paid the lessor a total of approximately £457,000 ($754,000 based on an annual average exchange rate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LEADERSHIP STRUCTURE; EXECUTIVE SESSIONS</w:t>
      </w:r>
    </w:p>
    <w:p>
      <w:pPr>
        <w:spacing w:after="0" w:line="37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Board has determined the most effective leadership structure for the Company is to combine the role of Chief Executive Officer and Chairman. The Board believes that by serving both as Chief Executive Officer and Chairman, Dr. Duroc-Danner brings multiple perspectives to the Board and also is best informed to lead the Board because of his role in the management of the Company’s business and strategic direction.</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Board has appointed Mr. Rayne as Vice Chairman and Presiding Director to preside over executive sessions of non-management Directors. The Board believes it is in the best interest of the Company’s shareholders to have a Presiding Director who has the authority to call executive sessions as a counterbalance to the Company’s combined roles of Chief Executive Officer and Chairman. The Board believes executive sessions provide the Board with the ability to independently evaluate management, openly discuss strategic and other business issues involving the Company ensuring that the Company is upholding high standards of corporate governance. Executive sessions of non-management Directors are held after each regularly scheduled Board meeting and at such additional times as may be needed. In 2014, the non-management Directors held four executive sessions.</w:t>
      </w:r>
    </w:p>
    <w:p>
      <w:pPr>
        <w:spacing w:after="0" w:line="178" w:lineRule="exact"/>
        <w:rPr>
          <w:sz w:val="20"/>
          <w:szCs w:val="20"/>
          <w:color w:val="auto"/>
        </w:rPr>
      </w:pPr>
    </w:p>
    <w:p>
      <w:pPr>
        <w:ind w:right="1180"/>
        <w:spacing w:after="0" w:line="260" w:lineRule="auto"/>
        <w:rPr>
          <w:sz w:val="20"/>
          <w:szCs w:val="20"/>
          <w:color w:val="auto"/>
        </w:rPr>
      </w:pPr>
      <w:r>
        <w:rPr>
          <w:rFonts w:ascii="Arial" w:cs="Arial" w:eastAsia="Arial" w:hAnsi="Arial"/>
          <w:sz w:val="16"/>
          <w:szCs w:val="16"/>
          <w:color w:val="auto"/>
        </w:rPr>
        <w:t>For information on how to communicate with our Presiding Director and other non-management members of the Board of Directors, please see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BOARD COMMITTEES</w:t>
      </w:r>
    </w:p>
    <w:p>
      <w:pPr>
        <w:spacing w:after="0" w:line="37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Board has created the following committees: Audit; Compensation; Corporate Governance and Nominating; and Health, Safety and Environment. All members of these committees are considered independent under the current rules of the NYSE and the SEC. The current members of each committee are shown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360" w:type="dxa"/>
            <w:vAlign w:val="bottom"/>
          </w:tcPr>
          <w:p>
            <w:pPr>
              <w:jc w:val="right"/>
              <w:ind w:right="259"/>
              <w:spacing w:after="0"/>
              <w:rPr>
                <w:sz w:val="20"/>
                <w:szCs w:val="20"/>
                <w:color w:val="auto"/>
              </w:rPr>
            </w:pPr>
            <w:r>
              <w:rPr>
                <w:rFonts w:ascii="Arial" w:cs="Arial" w:eastAsia="Arial" w:hAnsi="Arial"/>
                <w:sz w:val="16"/>
                <w:szCs w:val="16"/>
                <w:color w:val="auto"/>
              </w:rPr>
              <w:t>Corporate Governance</w:t>
            </w:r>
          </w:p>
        </w:tc>
        <w:tc>
          <w:tcPr>
            <w:tcW w:w="1580" w:type="dxa"/>
            <w:vAlign w:val="bottom"/>
          </w:tcPr>
          <w:p>
            <w:pPr>
              <w:jc w:val="right"/>
              <w:spacing w:after="0"/>
              <w:rPr>
                <w:sz w:val="20"/>
                <w:szCs w:val="20"/>
                <w:color w:val="auto"/>
              </w:rPr>
            </w:pPr>
            <w:r>
              <w:rPr>
                <w:rFonts w:ascii="Arial" w:cs="Arial" w:eastAsia="Arial" w:hAnsi="Arial"/>
                <w:sz w:val="16"/>
                <w:szCs w:val="16"/>
                <w:color w:val="auto"/>
              </w:rPr>
              <w:t>Health, Safety</w:t>
            </w:r>
          </w:p>
        </w:tc>
      </w:tr>
      <w:tr>
        <w:trPr>
          <w:trHeight w:val="194"/>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Audit</w:t>
            </w:r>
          </w:p>
        </w:tc>
        <w:tc>
          <w:tcPr>
            <w:tcW w:w="1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Compensation</w:t>
            </w:r>
          </w:p>
        </w:tc>
        <w:tc>
          <w:tcPr>
            <w:tcW w:w="2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and Nominating</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and Environment</w:t>
            </w:r>
          </w:p>
        </w:tc>
      </w:tr>
      <w:tr>
        <w:trPr>
          <w:trHeight w:val="230"/>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Mohamed A. Awad</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David J. Butters</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(Chairman)</w:t>
            </w:r>
          </w:p>
        </w:tc>
        <w:tc>
          <w:tcPr>
            <w:tcW w:w="1580" w:type="dxa"/>
            <w:vAlign w:val="bottom"/>
            <w:tcBorders>
              <w:bottom w:val="single" w:sz="8" w:color="818284"/>
            </w:tcBorders>
          </w:tcPr>
          <w:p>
            <w:pPr>
              <w:spacing w:after="0"/>
              <w:rPr>
                <w:sz w:val="19"/>
                <w:szCs w:val="19"/>
                <w:color w:val="auto"/>
              </w:rPr>
            </w:pPr>
          </w:p>
        </w:tc>
      </w:tr>
      <w:tr>
        <w:trPr>
          <w:trHeight w:val="210"/>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2720" w:type="dxa"/>
            <w:vAlign w:val="bottom"/>
            <w:tcBorders>
              <w:bottom w:val="single" w:sz="8" w:color="818284"/>
            </w:tcBorders>
          </w:tcPr>
          <w:p>
            <w:pPr>
              <w:spacing w:after="0"/>
              <w:rPr>
                <w:sz w:val="18"/>
                <w:szCs w:val="18"/>
                <w:color w:val="auto"/>
              </w:rPr>
            </w:pPr>
          </w:p>
        </w:tc>
        <w:tc>
          <w:tcPr>
            <w:tcW w:w="1860" w:type="dxa"/>
            <w:vAlign w:val="bottom"/>
            <w:tcBorders>
              <w:bottom w:val="single" w:sz="8" w:color="818284"/>
            </w:tcBorders>
          </w:tcPr>
          <w:p>
            <w:pPr>
              <w:spacing w:after="0"/>
              <w:rPr>
                <w:sz w:val="18"/>
                <w:szCs w:val="18"/>
                <w:color w:val="auto"/>
              </w:rPr>
            </w:pPr>
          </w:p>
        </w:tc>
        <w:tc>
          <w:tcPr>
            <w:tcW w:w="2360" w:type="dxa"/>
            <w:vAlign w:val="bottom"/>
            <w:tcBorders>
              <w:bottom w:val="single" w:sz="8" w:color="818284"/>
            </w:tcBorders>
          </w:tcPr>
          <w:p>
            <w:pPr>
              <w:spacing w:after="0"/>
              <w:rPr>
                <w:sz w:val="18"/>
                <w:szCs w:val="18"/>
                <w:color w:val="auto"/>
              </w:rPr>
            </w:pPr>
          </w:p>
        </w:tc>
        <w:tc>
          <w:tcPr>
            <w:tcW w:w="1580" w:type="dxa"/>
            <w:vAlign w:val="bottom"/>
            <w:tcBorders>
              <w:bottom w:val="single" w:sz="8" w:color="818284"/>
            </w:tcBorders>
          </w:tcPr>
          <w:p>
            <w:pPr>
              <w:spacing w:after="0"/>
              <w:rPr>
                <w:sz w:val="18"/>
                <w:szCs w:val="18"/>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John D. Gass</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Francis S. Kalman</w:t>
            </w:r>
          </w:p>
        </w:tc>
        <w:tc>
          <w:tcPr>
            <w:tcW w:w="272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(Chairman)</w:t>
            </w: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William E. Macaulay</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jc w:val="right"/>
              <w:ind w:right="279"/>
              <w:spacing w:after="0"/>
              <w:rPr>
                <w:sz w:val="20"/>
                <w:szCs w:val="20"/>
                <w:color w:val="auto"/>
              </w:rPr>
            </w:pPr>
            <w:r>
              <w:rPr>
                <w:rFonts w:ascii="Arial" w:cs="Arial" w:eastAsia="Arial" w:hAnsi="Arial"/>
                <w:sz w:val="16"/>
                <w:szCs w:val="16"/>
                <w:color w:val="auto"/>
              </w:rPr>
              <w:t>(Chairman)</w:t>
            </w: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Robert K. Moses, Jr.</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Guillermo Ortiz</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Emyr Jones Parry</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(Chairman)</w:t>
            </w: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Robert A. Rayne</w:t>
            </w:r>
          </w:p>
        </w:tc>
        <w:tc>
          <w:tcPr>
            <w:tcW w:w="2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(Vice Chairman)</w:t>
            </w:r>
          </w:p>
        </w:tc>
        <w:tc>
          <w:tcPr>
            <w:tcW w:w="18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-1525905</wp:posOffset>
            </wp:positionV>
            <wp:extent cx="102870" cy="1028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-1525905</wp:posOffset>
            </wp:positionV>
            <wp:extent cx="102870" cy="102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-1371600</wp:posOffset>
            </wp:positionV>
            <wp:extent cx="102870" cy="1028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-1371600</wp:posOffset>
            </wp:positionV>
            <wp:extent cx="10287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-1071245</wp:posOffset>
            </wp:positionV>
            <wp:extent cx="102870" cy="1028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-1071245</wp:posOffset>
            </wp:positionV>
            <wp:extent cx="102870" cy="102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-916940</wp:posOffset>
            </wp:positionV>
            <wp:extent cx="102870" cy="1028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-762635</wp:posOffset>
            </wp:positionV>
            <wp:extent cx="102870" cy="1028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-608330</wp:posOffset>
            </wp:positionV>
            <wp:extent cx="102870" cy="1028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-608330</wp:posOffset>
            </wp:positionV>
            <wp:extent cx="102870"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-608330</wp:posOffset>
            </wp:positionV>
            <wp:extent cx="102870" cy="1028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-454025</wp:posOffset>
            </wp:positionV>
            <wp:extent cx="102870" cy="1028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-454025</wp:posOffset>
            </wp:positionV>
            <wp:extent cx="102870" cy="1028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-299720</wp:posOffset>
            </wp:positionV>
            <wp:extent cx="102870" cy="1028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6634480</wp:posOffset>
            </wp:positionH>
            <wp:positionV relativeFrom="paragraph">
              <wp:posOffset>-299720</wp:posOffset>
            </wp:positionV>
            <wp:extent cx="102870" cy="1028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-145415</wp:posOffset>
            </wp:positionV>
            <wp:extent cx="102870" cy="1028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-145415</wp:posOffset>
            </wp:positionV>
            <wp:extent cx="102870" cy="1028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AUDIT COMMITTEE</w:t>
      </w:r>
    </w:p>
    <w:p>
      <w:pPr>
        <w:spacing w:after="0" w:line="37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Audit Committee has been established in accordance with Section 3(a)(58)(A) of the Securities Exchange Act of 1934, as amended (the “Exchange Act”) and is composed entirely of independent directors. The Board of Directors has adopted a written charter for the Audit Committee. The primary responsibilities and functions of the Audit Committee are:</w:t>
      </w:r>
    </w:p>
    <w:p>
      <w:pPr>
        <w:spacing w:after="0" w:line="174"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the integrity of our financial statements, financial reporting process and systems of internal accounting and financial controls;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our compliance with legal and regulatory requirements;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our independent auditor’s qualifications and independence;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the performance of our internal audit function and independent auditor.</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Audit Committee has established policies and procedures for the pre-approval of all services provided by the independent registered public accounting firm as described in “Audit Committee Pre-Approval Policy” in this Proxy Statement. The Audit Committee also has established procedures for the receipt, retention and treatment, on a confidential basis, of complaints received by the Company regarding its accounting, internal controls, Code of Conduct or other matters.</w:t>
      </w:r>
    </w:p>
    <w:p>
      <w:pPr>
        <w:spacing w:after="0" w:line="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Further details of the role of the Audit Committee, as well as the Audit Committee Report, may be found in “Item 2—Ratify Appointment of Independent Auditors and Authorize Auditor’s Remuneration” later in this Proxy Statement.</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Board of Directors has determined that each member of the Audit Committee is “financially literate” pursuant to the listing standards of the NYSE. The Board of Directors has also determined that both Messrs. Rayne and Kalman are each an “audit committee financial expert” as defined by applicable SEC rules because of each of their individual extensive financial experience. For more information regarding Mr. Rayne’s and Mr. Kalman’s experience, please see their biographies beginning on page 9 of this Proxy Statement.</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Mr. Kalman currently serves on the audit committees of four public companies, including the Company’s Audit Committee. In connection with his commencement of service on the fourth audit committee, the Board of Directors of the Company determined that his service on these other audit committees would not impair his ability to effectively serve on the Company’s Audit Committee.</w:t>
      </w:r>
    </w:p>
    <w:p>
      <w:pPr>
        <w:spacing w:after="0" w:line="158"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The Audit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COMPENSATION COMMITTEE</w:t>
      </w:r>
    </w:p>
    <w:p>
      <w:pPr>
        <w:spacing w:after="0" w:line="37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Compensation Committee is composed entirely of independent directors and is governed by a Board approved written charter stating responsibilities and primary functions. Under the terms of its charter, the Compensation Committee is responsible for:</w:t>
      </w:r>
    </w:p>
    <w:p>
      <w:pPr>
        <w:spacing w:after="0" w:line="16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CE0D41"/>
        </w:rPr>
      </w:pPr>
      <w:r>
        <w:rPr>
          <w:rFonts w:ascii="Arial" w:cs="Arial" w:eastAsia="Arial" w:hAnsi="Arial"/>
          <w:sz w:val="16"/>
          <w:szCs w:val="16"/>
          <w:color w:val="auto"/>
        </w:rPr>
        <w:t>evaluating the performance and determining and approving the compensation of our executive officers;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0"/>
        </w:numPr>
        <w:rPr>
          <w:rFonts w:ascii="Arial" w:cs="Arial" w:eastAsia="Arial" w:hAnsi="Arial"/>
          <w:sz w:val="16"/>
          <w:szCs w:val="16"/>
          <w:color w:val="CE0D41"/>
        </w:rPr>
      </w:pPr>
      <w:r>
        <w:rPr>
          <w:rFonts w:ascii="Arial" w:cs="Arial" w:eastAsia="Arial" w:hAnsi="Arial"/>
          <w:sz w:val="16"/>
          <w:szCs w:val="16"/>
          <w:color w:val="auto"/>
        </w:rPr>
        <w:t>making decisions regarding executive compensation plans, incentive compensation plans and equity-based plans;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0"/>
        </w:numPr>
        <w:rPr>
          <w:rFonts w:ascii="Arial" w:cs="Arial" w:eastAsia="Arial" w:hAnsi="Arial"/>
          <w:sz w:val="16"/>
          <w:szCs w:val="16"/>
          <w:color w:val="CE0D41"/>
        </w:rPr>
      </w:pPr>
      <w:r>
        <w:rPr>
          <w:rFonts w:ascii="Arial" w:cs="Arial" w:eastAsia="Arial" w:hAnsi="Arial"/>
          <w:sz w:val="16"/>
          <w:szCs w:val="16"/>
          <w:color w:val="auto"/>
        </w:rPr>
        <w:t>administering or having administered our incentive compensation plans and equity-based plans for executive officers and employees.</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See “Compensation Discussion and Analysis” in this Proxy Statement for information concerning the Compensation Committee’s role, processes and activities in overseeing executive compensation. See also “Compensation Committee Report” in this Proxy Statement.</w:t>
      </w:r>
    </w:p>
    <w:p>
      <w:pPr>
        <w:spacing w:after="0" w:line="16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All members of the Compensation Committee satisfy the qualification standards of section 162(m) (“section 162(m)”) of the U.S. Internal Revenue Code of 1986, as amended (the “Code”), and Section 16 of the Exchange Act.</w:t>
      </w:r>
    </w:p>
    <w:p>
      <w:pPr>
        <w:spacing w:after="0" w:line="15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The Compensation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by clicking on “Investor Relations,” then “Corporate Governance,” then “Compensation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540"/>
        <w:spacing w:after="0" w:line="281" w:lineRule="auto"/>
        <w:rPr>
          <w:sz w:val="20"/>
          <w:szCs w:val="20"/>
          <w:color w:val="auto"/>
        </w:rPr>
      </w:pPr>
      <w:r>
        <w:rPr>
          <w:rFonts w:ascii="Arial" w:cs="Arial" w:eastAsia="Arial" w:hAnsi="Arial"/>
          <w:sz w:val="43"/>
          <w:szCs w:val="43"/>
          <w:b w:val="1"/>
          <w:bCs w:val="1"/>
          <w:color w:val="818284"/>
        </w:rPr>
        <w:t>CORPORATE GOVERNANCE AND NOMINATING COMMITTEE</w:t>
      </w:r>
    </w:p>
    <w:p>
      <w:pPr>
        <w:spacing w:after="0" w:line="20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Corporate Governance and Nominating Committee is composed entirely of independent directors and is governed by a Board approved written charter stating responsibilities and primary functions. Under the terms of its charter, the Corporate Governance and Nominating Committee is responsible for:</w:t>
      </w:r>
    </w:p>
    <w:p>
      <w:pPr>
        <w:spacing w:after="0" w:line="169"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identifying individuals qualified to serve as Board members;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recommending to the Board the director nominees for the next annual general meeting of shareholders;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reviewing and structuring our compensation policy regarding fees and equity compensation paid and granted to our directors;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developing and recommending to the Board the Corporate Governance Principles for the Company;</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overseeing the Board in its annual review of the Board’s and management’s performance and overseeing director education;</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succession planning for the Company’s CEO;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recommending to the Board director nominees for each committee.</w:t>
      </w:r>
    </w:p>
    <w:p>
      <w:pPr>
        <w:spacing w:after="0" w:line="19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2014, the Corporate Governance and Nominating Committee oversaw the selection and appointment of a new director, Mr. Awad, to the Board. Mr. Awad will attend a multi-day orientation session in 2015, including onsite visits in the United States at various service locations and manufacturing facilities and presentations from multiple product line vice presidents, which will supplement the two site visits he completed in the Middle East region in early 2015. Additionally, the Corporate Governance and Nominating Committee approved, recommended and implemented a change to the chair of the Audit Committee, whereby Mr. Kalman replaced Mr. Rayne, a transition from a chairman who successfully saw the Company through its financial restatements and U.S. government investigations to a newer director who brings fresh perspective.</w:t>
      </w:r>
    </w:p>
    <w:p>
      <w:pPr>
        <w:spacing w:after="0" w:line="17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addition to the responsibilities and changes described above, in 2015 and beyond, the Corporate Governance and Nominating Committee will also continue to evaluate and recommend committee chairman to the Board and assess the appropriateness of any further chair rotations.</w:t>
      </w:r>
    </w:p>
    <w:p>
      <w:pPr>
        <w:spacing w:after="0" w:line="15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 xml:space="preserve">The Corporate Governance and Nominating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“Corporate Governance &amp; Nominating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HEALTH, SAFETY AND ENVIRONMENT COMMITTEE</w:t>
      </w:r>
    </w:p>
    <w:p>
      <w:pPr>
        <w:spacing w:after="0" w:line="37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Health, Safety and Environment Committee, formed in 2013, is composed entirely of independent directors and promotes best practices relating to meeting the opportunities and managing risks deriving from economic, environmental and social developments. Our Health, Safety and Environment Committee encourages safety awareness among all employees and monitors safety performance and inspections as well as provides recommendations to executive management for resolution of health, safety and environmental concerns of strategic importance. We developed a platform to consistently report environmental and social initiatives leading to cost savings and revenue generation. The adoption and implementation of sustainability measures is becoming of increasing importance in the ways we address our daily business. We will continue to pursue and prioritize the integration of our sustainability program into our Company’s corporate culture.</w:t>
      </w:r>
    </w:p>
    <w:p>
      <w:pPr>
        <w:spacing w:after="0" w:line="166" w:lineRule="exact"/>
        <w:rPr>
          <w:sz w:val="20"/>
          <w:szCs w:val="20"/>
          <w:color w:val="auto"/>
        </w:rPr>
      </w:pPr>
    </w:p>
    <w:p>
      <w:pPr>
        <w:ind w:right="740"/>
        <w:spacing w:after="0" w:line="281" w:lineRule="auto"/>
        <w:rPr>
          <w:sz w:val="20"/>
          <w:szCs w:val="20"/>
          <w:color w:val="auto"/>
        </w:rPr>
      </w:pPr>
      <w:r>
        <w:rPr>
          <w:rFonts w:ascii="Arial" w:cs="Arial" w:eastAsia="Arial" w:hAnsi="Arial"/>
          <w:sz w:val="16"/>
          <w:szCs w:val="16"/>
          <w:color w:val="auto"/>
        </w:rPr>
        <w:t xml:space="preserve">The Health, Safety and Environment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by clicking on “Investor Relations,” then “Corporate Governance,” then “Health Safety and Environment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45" w:gutter="0" w:footer="0" w:header="0"/>
        </w:sectPr>
      </w:pPr>
    </w:p>
    <w:bookmarkStart w:id="43" w:name="page44"/>
    <w:bookmarkEnd w:id="43"/>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ind w:right="1900"/>
        <w:spacing w:after="0" w:line="281" w:lineRule="auto"/>
        <w:rPr>
          <w:sz w:val="20"/>
          <w:szCs w:val="20"/>
          <w:color w:val="auto"/>
        </w:rPr>
      </w:pPr>
      <w:r>
        <w:rPr>
          <w:rFonts w:ascii="Arial" w:cs="Arial" w:eastAsia="Arial" w:hAnsi="Arial"/>
          <w:sz w:val="43"/>
          <w:szCs w:val="43"/>
          <w:b w:val="1"/>
          <w:bCs w:val="1"/>
          <w:color w:val="818284"/>
        </w:rPr>
        <w:t>BOARD AND COMMITTEE MEETINGS IN 2014; DIRECTOR ATTENDANCE</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During 2014, Board meeting information is set forth below. All of the directors participated in at least 75% of all Board of Directors and respective committee meetings. All directors are expected to attend our Annual General Meeting. All of our directors attended our 2014 annual general meeting of shareholders.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960" w:type="dxa"/>
            <w:vAlign w:val="bottom"/>
          </w:tcPr>
          <w:p>
            <w:pPr>
              <w:jc w:val="center"/>
              <w:ind w:left="59"/>
              <w:spacing w:after="0"/>
              <w:rPr>
                <w:sz w:val="20"/>
                <w:szCs w:val="20"/>
                <w:color w:val="auto"/>
              </w:rPr>
            </w:pPr>
            <w:r>
              <w:rPr>
                <w:rFonts w:ascii="Arial" w:cs="Arial" w:eastAsia="Arial" w:hAnsi="Arial"/>
                <w:sz w:val="16"/>
                <w:szCs w:val="16"/>
                <w:color w:val="auto"/>
              </w:rPr>
              <w:t>Health, Safety and</w:t>
            </w:r>
          </w:p>
        </w:tc>
      </w:tr>
      <w:tr>
        <w:trPr>
          <w:trHeight w:val="194"/>
        </w:trPr>
        <w:tc>
          <w:tcPr>
            <w:tcW w:w="20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8"/>
              </w:rPr>
              <w:t>Board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Audit</w:t>
            </w: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Compensation</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Corporate Governance and Nominating</w:t>
            </w:r>
          </w:p>
        </w:tc>
        <w:tc>
          <w:tcPr>
            <w:tcW w:w="19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Environment</w:t>
            </w:r>
          </w:p>
        </w:tc>
      </w:tr>
      <w:tr>
        <w:trPr>
          <w:trHeight w:val="196"/>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Number of Meetings</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w:t>
            </w: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4</w:t>
            </w:r>
          </w:p>
        </w:tc>
        <w:tc>
          <w:tcPr>
            <w:tcW w:w="3580" w:type="dxa"/>
            <w:vAlign w:val="bottom"/>
            <w:tcBorders>
              <w:bottom w:val="single" w:sz="8" w:color="auto"/>
            </w:tcBorders>
          </w:tcPr>
          <w:p>
            <w:pPr>
              <w:jc w:val="right"/>
              <w:ind w:right="1679"/>
              <w:spacing w:after="0"/>
              <w:rPr>
                <w:sz w:val="20"/>
                <w:szCs w:val="20"/>
                <w:color w:val="auto"/>
              </w:rPr>
            </w:pPr>
            <w:r>
              <w:rPr>
                <w:rFonts w:ascii="Arial" w:cs="Arial" w:eastAsia="Arial" w:hAnsi="Arial"/>
                <w:sz w:val="16"/>
                <w:szCs w:val="16"/>
                <w:color w:val="auto"/>
              </w:rPr>
              <w:t>4</w:t>
            </w:r>
          </w:p>
        </w:tc>
        <w:tc>
          <w:tcPr>
            <w:tcW w:w="19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DIRECTOR NOMINATIONS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obtaining the names of possible nominees, the Corporate Governance and Nominating Committee conducts its own inquiries and considers suggestions from other directors, management, shareholders and other sources. The Committee’s process for evaluating nominees identified in unsolicited recommendations from shareholders is the same as its process for unsolicited recommendations from other sources. The Corporate Governance and Nominating Committee will consider nominees recommended by shareholders who submit their recommendations in writing to Chairman, Corporate Governance and Nominating Committee, care of the Secretary, Weatherford International plc, Bahnhofstrasse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17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Corporate Governance and Nominating Committee believes that nominees should possess the highest personal and professional ethics,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whether and to what extent a nominee will bring diversity, whether in educational background, experience, expertise and/or regional knowledge, to the Board in determining whether a candidate will be an appropriate fit with, and an asset to, the Board of Directors.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RESPONSIVENESS TO SHAREHOLDERS</w:t>
      </w:r>
    </w:p>
    <w:p>
      <w:pPr>
        <w:spacing w:after="0" w:line="37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Shareholder outreach is a long-standing cornerstone of our governance program. We engage in regular and ongoing dialogue with our investors to gain valuable insights into the governance issues about which they care most. These outreach discussions permit a more nuanced and precise exchange of views. During our conversations with shareholders, we listen to constructive input that we believe will better position the Company to deliver sustainable value over the long-term for all of our stakeholders. Members of our executive management team, including our Chief Financial Officer and our Vice President of Investor Relations, regularly meet (telephonically or in person) with shareholders and, on occasion, members of our Board will meet with our shareholders as well. The results of our discussions are regularly and fully reported to the Board as well as to the applicable Committees.</w:t>
      </w:r>
    </w:p>
    <w:p>
      <w:pPr>
        <w:spacing w:after="0" w:line="178"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Since the 2014 Annual General Meeting, the Company has contacted holders of approximately 73% of our shares and received valuable feedback. As a result of our shareholder outreach, emphasis on aligning pay with performance and incorporating best practices, the Compensation Committee has adopted changes to our policies.</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response to shareholder feedback, we changed our compensation practices to no longer provide employment agreements to future executive officers. We also changed how our 2015 performance units are measured to reflect a monthly average share price versus a one-day price. Our annual cash incentives are now tied to relative peer performance. Additionally and subject to shareholder approval, we propose an amendment to our 2010 Omnibus Plan that prohibits “buying out” underwater stock options and share appreciation rights (“SARs”)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During the course of our outreach to shareholders, a majority expressed support of our recent enhancements to our compensation policies and practices and approve of the new long-term changes to executive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our outreach and shareholder feedback received in the last two years, the following governance actions have been taken:</w:t>
      </w:r>
    </w:p>
    <w:p>
      <w:pPr>
        <w:spacing w:after="0" w:line="194"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in 2013, two new directors with significant industry and financial experience, Messrs. Gass and Kalman, were added to the Board;</w:t>
      </w:r>
    </w:p>
    <w:p>
      <w:pPr>
        <w:spacing w:after="0" w:line="194" w:lineRule="exact"/>
        <w:rPr>
          <w:rFonts w:ascii="Arial" w:cs="Arial" w:eastAsia="Arial" w:hAnsi="Arial"/>
          <w:sz w:val="16"/>
          <w:szCs w:val="16"/>
          <w:color w:val="CE0D41"/>
        </w:rPr>
      </w:pPr>
    </w:p>
    <w:p>
      <w:pPr>
        <w:ind w:left="180" w:right="320" w:hanging="172"/>
        <w:spacing w:after="0" w:line="260"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in 2014, an additional director, Mr. Awad, was appointed to the Board, who has substantial expertise in the Middle East region and recently retired from a peer in the industry;</w:t>
      </w:r>
    </w:p>
    <w:p>
      <w:pPr>
        <w:spacing w:after="0" w:line="168" w:lineRule="exact"/>
        <w:rPr>
          <w:rFonts w:ascii="Arial" w:cs="Arial" w:eastAsia="Arial" w:hAnsi="Arial"/>
          <w:sz w:val="16"/>
          <w:szCs w:val="16"/>
          <w:color w:val="CE0D41"/>
        </w:rPr>
      </w:pPr>
    </w:p>
    <w:p>
      <w:pPr>
        <w:ind w:left="180" w:hanging="172"/>
        <w:spacing w:after="0"/>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the Corporate Governance and Nominating Committee reviewed our management’s development and succession planning activity;</w:t>
      </w:r>
    </w:p>
    <w:p>
      <w:pPr>
        <w:spacing w:after="0" w:line="194" w:lineRule="exact"/>
        <w:rPr>
          <w:rFonts w:ascii="Arial" w:cs="Arial" w:eastAsia="Arial" w:hAnsi="Arial"/>
          <w:sz w:val="16"/>
          <w:szCs w:val="16"/>
          <w:color w:val="CE0D41"/>
        </w:rPr>
      </w:pPr>
    </w:p>
    <w:p>
      <w:pPr>
        <w:ind w:left="180" w:right="560" w:hanging="172"/>
        <w:spacing w:after="0" w:line="260"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our Audit Committee Chairman rotated from Mr. Rayne to Mr. Kalman, transitioning from a chair who successfully saw the Company through financial restatements and U.S. government investigations to a new director who brings fresh perspective to the role;</w:t>
      </w:r>
    </w:p>
    <w:p>
      <w:pPr>
        <w:spacing w:after="0" w:line="168" w:lineRule="exact"/>
        <w:rPr>
          <w:rFonts w:ascii="Arial" w:cs="Arial" w:eastAsia="Arial" w:hAnsi="Arial"/>
          <w:sz w:val="16"/>
          <w:szCs w:val="16"/>
          <w:color w:val="CE0D41"/>
        </w:rPr>
      </w:pPr>
    </w:p>
    <w:p>
      <w:pPr>
        <w:jc w:val="both"/>
        <w:ind w:left="180" w:right="280" w:hanging="172"/>
        <w:spacing w:after="0" w:line="253"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we continue to provide intensive new director orientation, including a multi-day orientation session in 2015 for Mr. Awad which will include site visits in the United States at various service locations and manufacturing facilities as well as presentations from multiple operational (product line) and functional vice presidents; and</w:t>
      </w:r>
    </w:p>
    <w:p>
      <w:pPr>
        <w:spacing w:after="0" w:line="174" w:lineRule="exact"/>
        <w:rPr>
          <w:rFonts w:ascii="Arial" w:cs="Arial" w:eastAsia="Arial" w:hAnsi="Arial"/>
          <w:sz w:val="16"/>
          <w:szCs w:val="16"/>
          <w:color w:val="CE0D41"/>
        </w:rPr>
      </w:pPr>
    </w:p>
    <w:p>
      <w:pPr>
        <w:jc w:val="both"/>
        <w:ind w:left="180" w:right="60" w:hanging="172"/>
        <w:spacing w:after="0" w:line="253"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directors have increased their overall number of site visits to gain insight into the Company’s ongoing operations; for example, since joining the Board in late November of 2014, Mr. Awad has travelled to facilities in Dubai and Egypt and other Directors have visited Aberdeen, Abu Dhabi, Houston, San Antonio and Singapore.</w:t>
      </w:r>
    </w:p>
    <w:p>
      <w:pPr>
        <w:spacing w:after="0" w:line="174"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We continue to seek a collaborative and mutually beneficially approach to issues that are important to our investors in ways that ensure our Corporate Governance practices remain best-in-class. These issues affect our business. We believe the actions described above effectively enhance our corporate governance practices and ensure the promotion of shareholder long-term interests. For additional information, see “Corporate Governance Matters” in the preceding pages.</w:t>
      </w:r>
    </w:p>
    <w:p>
      <w:pPr>
        <w:spacing w:after="0" w:line="17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In addition, several of our shareholders had extensive comments and suggestions regarding our executive compensation program. We discuss the feedback and our corresponding response and actions in the Compensation Discussion and Analysis, or “CD&amp;A”, beginning on page 26.</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welcome input from our institutional and individual shareholders, regardless of the number of shares owned. Shareholders should direct their comments to our U.S. Investor Relations Department in writing at 2000 St. James Place, Houston, Texas 77056, or by telephone at +1 (713) 836-4000. In addition, shareholders and other interested parties can contact members of our Board as discussed under “Communication with Directors”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COMMUNICATION WITH DIRECTORS</w:t>
      </w:r>
    </w:p>
    <w:p>
      <w:pPr>
        <w:spacing w:after="0" w:line="37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Any shareholder or other interested party that desires to communicate with the Board of Directors or any of its specific members, including the Vice Chairman and Presiding Director or the non-management directors as a group, should send their communication to the Secretary, Weatherford International plc, Bahnhofstrasse 1, 6340 Baar, Switzerland. All such communications will be forwarded to the appropriate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BOARD COMPENSATION</w:t>
      </w:r>
    </w:p>
    <w:p>
      <w:pPr>
        <w:spacing w:after="0" w:line="36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as well as the level of knowledge and experience that we require of members of our Board. Our Corporate Governance and Nominating Committee is responsible for reviewing and structuring our compensation policy regarding fees and compensation paid and granted to our directors.</w:t>
      </w:r>
    </w:p>
    <w:p>
      <w:pPr>
        <w:spacing w:after="0" w:line="17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Longnecker &amp; Associates (“L&amp;A”), a compensation consulting firm, has been retained by the Corporate Governance and Nominating Committee as an independent compensation consultant to advise the Committee on appropriate compensation for the Board. L&amp;A annually assists the Corporate Governance and Nominating Committee by providing comparative market data on board compensation practices and programs based on an analysis of publicly available information on our peer group (see “Peer Group” in the CD&amp;A section in this Proxy Statement) and U.S. industry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5" w:name="page46"/>
    <w:bookmarkEnd w:id="45"/>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DIRECTORS’ FEES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20"/>
                <w:szCs w:val="20"/>
                <w:color w:val="auto"/>
              </w:rPr>
            </w:pPr>
            <w:r>
              <w:rPr>
                <w:rFonts w:ascii="Arial" w:cs="Arial" w:eastAsia="Arial" w:hAnsi="Arial"/>
                <w:sz w:val="16"/>
                <w:szCs w:val="16"/>
                <w:color w:val="auto"/>
              </w:rPr>
              <w:t>The directors who are not employees of the Company are paid the following fees:</w:t>
            </w:r>
          </w:p>
        </w:tc>
        <w:tc>
          <w:tcPr>
            <w:tcW w:w="2940" w:type="dxa"/>
            <w:vAlign w:val="bottom"/>
          </w:tcPr>
          <w:p>
            <w:pPr>
              <w:spacing w:after="0"/>
              <w:rPr>
                <w:sz w:val="16"/>
                <w:szCs w:val="16"/>
                <w:color w:val="auto"/>
              </w:rPr>
            </w:pPr>
          </w:p>
        </w:tc>
      </w:tr>
      <w:tr>
        <w:trPr>
          <w:trHeight w:val="378"/>
        </w:trPr>
        <w:tc>
          <w:tcPr>
            <w:tcW w:w="8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Type of Fee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 Amount</w:t>
            </w:r>
          </w:p>
        </w:tc>
      </w:tr>
      <w:tr>
        <w:trPr>
          <w:trHeight w:val="189"/>
        </w:trPr>
        <w:tc>
          <w:tcPr>
            <w:tcW w:w="84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Annual Retainer for all Directors</w:t>
            </w:r>
          </w:p>
        </w:tc>
        <w:tc>
          <w:tcPr>
            <w:tcW w:w="29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$95,000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Audit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$22,500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Each Audit Committee Member excluding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$10,000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Compensation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$17,500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Corporate Governance and Nominating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$15,000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Health, Safety and Environment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$15,000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Presiding Director</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$22,500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Board Meeting Attendance (per meeting)</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$5,000</w:t>
            </w:r>
          </w:p>
        </w:tc>
      </w:tr>
      <w:tr>
        <w:trPr>
          <w:trHeight w:val="190"/>
        </w:trPr>
        <w:tc>
          <w:tcPr>
            <w:tcW w:w="8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Committee Meeting Attendance (per meeting)</w:t>
            </w:r>
          </w:p>
        </w:tc>
        <w:tc>
          <w:tcPr>
            <w:tcW w:w="2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$2,250</w:t>
            </w:r>
          </w:p>
        </w:tc>
      </w:tr>
    </w:tbl>
    <w:p>
      <w:pPr>
        <w:spacing w:after="0" w:line="19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Annual retainers are paid quarterly in advance. Meeting fees are paid after each meeting. We do not compensate Dr. Duroc-Danner for his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RESTRICTED SHARE UNIT AWARDS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September 24, 2014, we granted to each of the non-employee directors then serving on our Board of Directors 12,000 restricted share units pursuant to our 2010 Omnibus Incentive Plan. The awards vest in three equal annual installments, beginning on September 24, 2015, subject to earlier vesting in the event of the death or disability of the director or a change of control of the Company. In addition, on November 24, 2014, we granted to Mr. Awad 14,162 restricted share units in connection with his joining our Board; 8,000 of the restricted share units will vest in three equal installments on November 24, 2015, 2016 and 2017 and 6,162 restricted share units which will vest in two equal installments on November 24, 2016 and 2018, also subject to earlier vesting as noted above. The Corporate Governance and Nominating Committee believes that providing a majority of overall Board compensation in the form of restricted share units aligns the interests of our directors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3040"/>
        <w:spacing w:after="0" w:line="281" w:lineRule="auto"/>
        <w:rPr>
          <w:sz w:val="20"/>
          <w:szCs w:val="20"/>
          <w:color w:val="auto"/>
        </w:rPr>
      </w:pPr>
      <w:r>
        <w:rPr>
          <w:rFonts w:ascii="Arial" w:cs="Arial" w:eastAsia="Arial" w:hAnsi="Arial"/>
          <w:sz w:val="43"/>
          <w:szCs w:val="43"/>
          <w:b w:val="1"/>
          <w:bCs w:val="1"/>
          <w:color w:val="818284"/>
        </w:rPr>
        <w:t>NON-EMPLOYEE DIRECTOR DEFERRED COMPENSATION PLAN (SUSPENDED)</w:t>
      </w:r>
    </w:p>
    <w:p>
      <w:pPr>
        <w:spacing w:after="0" w:line="20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Weatherford International Ltd. Non-Employee Director Deferred Compensation Plan was suspended effective December 31, 2008 because of changes in tax laws. While the plan is suspended, amounts are still payable to participants on the occurrence of triggering events under the plan.</w:t>
      </w:r>
    </w:p>
    <w:p>
      <w:pPr>
        <w:spacing w:after="0" w:line="16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Prior to the suspension of this plan, the following non-employee directors: Messrs. Butters, Macaulay, Moses and Rayne elected to defer 7.5% of the fees paid by us and to have their distributions paid on the first day of the calendar quarter on or immediately following the date of his cessation of service with the Board. In any event, all benefits under the plan will be distributed no later than January 1, 2017. The amount of the distribution will be a number of ordinary shares equal to the number of units in the director’s account at the time of the distribution.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Messrs. Awad, Gass, Kalman, Ortiz and Sir Emyr are not participants in this suspended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818284"/>
        </w:rPr>
        <w:t>NON-EMPLOYEE DIRECTOR RETIREMENT PLAN (DISCONTINUED)</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After the merger of EVI, Inc. and Weatherford Enterra in June 1998, we discontinued this plan. Mr. Moses is the only current director who was fully vested and eligible to participate in this plan at the time of the plan’s discontinuance. Mr. Moses had over 10 years of credited service on the Board of Weatherford Enterra at the time the plan was discontinued, and his annual benefit amount upon his retirement will be $20,000 payable for 10 years, provided that in any event, benefits under this plan will be completely distributed no later than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6" w:name="page47"/>
    <w:bookmarkEnd w:id="46"/>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SUMMARY OF BOARD COMPENSATION FOR 2014</w:t>
      </w:r>
    </w:p>
    <w:p>
      <w:pPr>
        <w:spacing w:after="0" w:line="371"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The following table sets forth the compensation paid to each of our non-employee directors for the year ended December 31, 2014. Dr. Duroc-Danner was a named executive officer and director in 2014, and information about his compensation is listed in the Summary Compensation Table in this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3920" w:type="dxa"/>
            <w:vAlign w:val="bottom"/>
          </w:tcPr>
          <w:p>
            <w:pPr>
              <w:jc w:val="right"/>
              <w:ind w:right="219"/>
              <w:spacing w:after="0"/>
              <w:rPr>
                <w:sz w:val="20"/>
                <w:szCs w:val="20"/>
                <w:color w:val="auto"/>
              </w:rPr>
            </w:pPr>
            <w:r>
              <w:rPr>
                <w:rFonts w:ascii="Arial" w:cs="Arial" w:eastAsia="Arial" w:hAnsi="Arial"/>
                <w:sz w:val="16"/>
                <w:szCs w:val="16"/>
                <w:color w:val="auto"/>
              </w:rPr>
              <w:t>Fees Earned or Paid in Cash</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Share Awards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All Other Compensation</w:t>
            </w:r>
          </w:p>
        </w:tc>
        <w:tc>
          <w:tcPr>
            <w:tcW w:w="80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194"/>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3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c>
          <w:tcPr>
            <w:tcW w:w="2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0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Mohamed A. Awad</w:t>
            </w:r>
          </w:p>
        </w:tc>
        <w:tc>
          <w:tcPr>
            <w:tcW w:w="3920" w:type="dxa"/>
            <w:vAlign w:val="bottom"/>
            <w:tcBorders>
              <w:bottom w:val="single" w:sz="8" w:color="818284"/>
            </w:tcBorders>
          </w:tcPr>
          <w:p>
            <w:pPr>
              <w:jc w:val="right"/>
              <w:ind w:right="219"/>
              <w:spacing w:after="0"/>
              <w:rPr>
                <w:sz w:val="20"/>
                <w:szCs w:val="20"/>
                <w:color w:val="auto"/>
              </w:rPr>
            </w:pPr>
            <w:r>
              <w:rPr>
                <w:rFonts w:ascii="Arial" w:cs="Arial" w:eastAsia="Arial" w:hAnsi="Arial"/>
                <w:sz w:val="16"/>
                <w:szCs w:val="16"/>
                <w:color w:val="auto"/>
              </w:rPr>
              <w:t>39,768</w:t>
            </w:r>
          </w:p>
        </w:tc>
        <w:tc>
          <w:tcPr>
            <w:tcW w:w="1520" w:type="dxa"/>
            <w:vAlign w:val="bottom"/>
            <w:tcBorders>
              <w:bottom w:val="single" w:sz="8" w:color="818284"/>
            </w:tcBorders>
          </w:tcPr>
          <w:p>
            <w:pPr>
              <w:jc w:val="right"/>
              <w:ind w:right="139"/>
              <w:spacing w:after="0"/>
              <w:rPr>
                <w:sz w:val="20"/>
                <w:szCs w:val="20"/>
                <w:color w:val="auto"/>
              </w:rPr>
            </w:pPr>
            <w:r>
              <w:rPr>
                <w:rFonts w:ascii="Arial" w:cs="Arial" w:eastAsia="Arial" w:hAnsi="Arial"/>
                <w:sz w:val="16"/>
                <w:szCs w:val="16"/>
                <w:color w:val="auto"/>
              </w:rPr>
              <w:t>229,849</w:t>
            </w:r>
          </w:p>
        </w:tc>
        <w:tc>
          <w:tcPr>
            <w:tcW w:w="2160" w:type="dxa"/>
            <w:vAlign w:val="bottom"/>
            <w:tcBorders>
              <w:bottom w:val="single" w:sz="8" w:color="818284"/>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269,617</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David J. Butters</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155,250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413,370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John D. Gass</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124,500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382,620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Emyr Jones Parry</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139,500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31,255</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428,875</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Francis S. Kalman</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140,500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398,620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William E. Macaulay</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132,250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390,370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Robert K. Moses, Jr.</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151,250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409,370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Guillermo Ortiz</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133,250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129,121</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520,491</w:t>
            </w:r>
          </w:p>
        </w:tc>
      </w:tr>
      <w:tr>
        <w:trPr>
          <w:trHeight w:val="190"/>
        </w:trPr>
        <w:tc>
          <w:tcPr>
            <w:tcW w:w="30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Robert A. Rayne</w:t>
            </w:r>
          </w:p>
        </w:tc>
        <w:tc>
          <w:tcPr>
            <w:tcW w:w="39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158,000</w:t>
            </w:r>
          </w:p>
        </w:tc>
        <w:tc>
          <w:tcPr>
            <w:tcW w:w="15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26,096</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442,216</w:t>
            </w:r>
          </w:p>
        </w:tc>
      </w:tr>
    </w:tbl>
    <w:p>
      <w:pPr>
        <w:spacing w:after="0" w:line="72" w:lineRule="exact"/>
        <w:rPr>
          <w:sz w:val="20"/>
          <w:szCs w:val="20"/>
          <w:color w:val="auto"/>
        </w:rPr>
      </w:pPr>
    </w:p>
    <w:p>
      <w:pPr>
        <w:ind w:left="280" w:right="280" w:hanging="272"/>
        <w:spacing w:after="0" w:line="258" w:lineRule="auto"/>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other compensation for 2014 consists of social contribution and withholding taxes paid on behalf of certain directors due to their non-U.S. tax residence. We believe this compensation helps us attract and retain qualified international directors.</w:t>
      </w:r>
    </w:p>
    <w:p>
      <w:pPr>
        <w:spacing w:after="0" w:line="32" w:lineRule="exact"/>
        <w:rPr>
          <w:rFonts w:ascii="Arial" w:cs="Arial" w:eastAsia="Arial" w:hAnsi="Arial"/>
          <w:sz w:val="14"/>
          <w:szCs w:val="14"/>
          <w:color w:val="auto"/>
        </w:rPr>
      </w:pPr>
    </w:p>
    <w:p>
      <w:pPr>
        <w:jc w:val="both"/>
        <w:ind w:left="280" w:right="100" w:hanging="272"/>
        <w:spacing w:after="0" w:line="250" w:lineRule="auto"/>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Each non-employee director was awarded 12,000 restricted share units on September 24, 2014 at a grant date fair value of $258,120 with the exception of Mr. Awad who did not join the Board until November 2014. Mr. Awad was awarded 14,162 restricted share units on November 24, 2014 at a grant date fair value of $229,849, in connection with joining our Board.</w:t>
      </w:r>
    </w:p>
    <w:p>
      <w:pPr>
        <w:spacing w:after="0" w:line="37" w:lineRule="exact"/>
        <w:rPr>
          <w:rFonts w:ascii="Arial" w:cs="Arial" w:eastAsia="Arial" w:hAnsi="Arial"/>
          <w:sz w:val="14"/>
          <w:szCs w:val="14"/>
          <w:color w:val="auto"/>
        </w:rPr>
      </w:pPr>
    </w:p>
    <w:p>
      <w:pPr>
        <w:ind w:left="280" w:hanging="272"/>
        <w:spacing w:after="0"/>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2014, aggregate outstanding restricted share unit and option awards for each non-employee director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5380" w:type="dxa"/>
            <w:vAlign w:val="bottom"/>
          </w:tcPr>
          <w:p>
            <w:pPr>
              <w:jc w:val="right"/>
              <w:ind w:right="399"/>
              <w:spacing w:after="0"/>
              <w:rPr>
                <w:sz w:val="20"/>
                <w:szCs w:val="20"/>
                <w:color w:val="auto"/>
              </w:rPr>
            </w:pPr>
            <w:r>
              <w:rPr>
                <w:rFonts w:ascii="Arial" w:cs="Arial" w:eastAsia="Arial" w:hAnsi="Arial"/>
                <w:sz w:val="16"/>
                <w:szCs w:val="16"/>
                <w:color w:val="auto"/>
              </w:rPr>
              <w:t>Aggregate Number of Restricted Shares/</w:t>
            </w:r>
          </w:p>
        </w:tc>
        <w:tc>
          <w:tcPr>
            <w:tcW w:w="2580" w:type="dxa"/>
            <w:vAlign w:val="bottom"/>
          </w:tcPr>
          <w:p>
            <w:pPr>
              <w:jc w:val="right"/>
              <w:spacing w:after="0"/>
              <w:rPr>
                <w:sz w:val="20"/>
                <w:szCs w:val="20"/>
                <w:color w:val="auto"/>
              </w:rPr>
            </w:pPr>
            <w:r>
              <w:rPr>
                <w:rFonts w:ascii="Arial" w:cs="Arial" w:eastAsia="Arial" w:hAnsi="Arial"/>
                <w:sz w:val="16"/>
                <w:szCs w:val="16"/>
                <w:color w:val="auto"/>
              </w:rPr>
              <w:t>Aggregate Number of Shares</w:t>
            </w:r>
          </w:p>
        </w:tc>
      </w:tr>
      <w:tr>
        <w:trPr>
          <w:trHeight w:val="194"/>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Restricted Share Units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Underlying Vested Options</w:t>
            </w:r>
          </w:p>
        </w:tc>
      </w:tr>
      <w:tr>
        <w:trPr>
          <w:trHeight w:val="189"/>
        </w:trPr>
        <w:tc>
          <w:tcPr>
            <w:tcW w:w="346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Mohamed A. Awad</w:t>
            </w:r>
          </w:p>
        </w:tc>
        <w:tc>
          <w:tcPr>
            <w:tcW w:w="5380" w:type="dxa"/>
            <w:vAlign w:val="bottom"/>
            <w:tcBorders>
              <w:bottom w:val="single" w:sz="8" w:color="818284"/>
            </w:tcBorders>
          </w:tcPr>
          <w:p>
            <w:pPr>
              <w:jc w:val="right"/>
              <w:ind w:right="399"/>
              <w:spacing w:after="0"/>
              <w:rPr>
                <w:sz w:val="20"/>
                <w:szCs w:val="20"/>
                <w:color w:val="auto"/>
              </w:rPr>
            </w:pPr>
            <w:r>
              <w:rPr>
                <w:rFonts w:ascii="Arial" w:cs="Arial" w:eastAsia="Arial" w:hAnsi="Arial"/>
                <w:sz w:val="16"/>
                <w:szCs w:val="16"/>
                <w:color w:val="auto"/>
              </w:rPr>
              <w:t>14,162</w:t>
            </w:r>
          </w:p>
        </w:tc>
        <w:tc>
          <w:tcPr>
            <w:tcW w:w="25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David J. Butters</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240,000</w:t>
            </w:r>
          </w:p>
        </w:tc>
      </w:tr>
      <w:tr>
        <w:trPr>
          <w:trHeight w:val="183"/>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John D. Gass</w:t>
            </w:r>
          </w:p>
        </w:tc>
        <w:tc>
          <w:tcPr>
            <w:tcW w:w="53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27,174</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Emyr Jones Parry</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Francis S. Kalman</w:t>
            </w:r>
          </w:p>
        </w:tc>
        <w:tc>
          <w:tcPr>
            <w:tcW w:w="53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27,174</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William E. Macaulay</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Robert K. Moses, Jr.</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Guillermo Ortiz</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90"/>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Robert A. Rayne</w:t>
            </w:r>
          </w:p>
        </w:tc>
        <w:tc>
          <w:tcPr>
            <w:tcW w:w="53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240,000</w:t>
            </w:r>
          </w:p>
        </w:tc>
      </w:tr>
      <w:tr>
        <w:trPr>
          <w:trHeight w:val="196"/>
        </w:trPr>
        <w:tc>
          <w:tcPr>
            <w:tcW w:w="3460" w:type="dxa"/>
            <w:vAlign w:val="bottom"/>
            <w:tcBorders>
              <w:bottom w:val="single" w:sz="8" w:color="818284"/>
            </w:tcBorders>
          </w:tcPr>
          <w:p>
            <w:pPr>
              <w:spacing w:after="0"/>
              <w:rPr>
                <w:sz w:val="17"/>
                <w:szCs w:val="17"/>
                <w:color w:val="auto"/>
              </w:rPr>
            </w:pPr>
          </w:p>
        </w:tc>
        <w:tc>
          <w:tcPr>
            <w:tcW w:w="5380" w:type="dxa"/>
            <w:vAlign w:val="bottom"/>
            <w:tcBorders>
              <w:bottom w:val="single" w:sz="8" w:color="818284"/>
            </w:tcBorders>
          </w:tcPr>
          <w:p>
            <w:pPr>
              <w:spacing w:after="0"/>
              <w:rPr>
                <w:sz w:val="17"/>
                <w:szCs w:val="17"/>
                <w:color w:val="auto"/>
              </w:rPr>
            </w:pPr>
          </w:p>
        </w:tc>
        <w:tc>
          <w:tcPr>
            <w:tcW w:w="2580" w:type="dxa"/>
            <w:vAlign w:val="bottom"/>
            <w:tcBorders>
              <w:bottom w:val="single" w:sz="8" w:color="818284"/>
            </w:tcBorders>
          </w:tcPr>
          <w:p>
            <w:pPr>
              <w:spacing w:after="0"/>
              <w:rPr>
                <w:sz w:val="17"/>
                <w:szCs w:val="17"/>
                <w:color w:val="auto"/>
              </w:rPr>
            </w:pPr>
          </w:p>
        </w:tc>
      </w:tr>
    </w:tbl>
    <w:p>
      <w:pPr>
        <w:spacing w:after="0" w:line="76" w:lineRule="exact"/>
        <w:rPr>
          <w:sz w:val="20"/>
          <w:szCs w:val="20"/>
          <w:color w:val="auto"/>
        </w:rPr>
      </w:pPr>
    </w:p>
    <w:p>
      <w:pPr>
        <w:ind w:left="70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7" w:name="page48"/>
    <w:bookmarkEnd w:id="47"/>
    <w:p>
      <w:pPr>
        <w:ind w:right="780"/>
        <w:spacing w:after="0" w:line="256" w:lineRule="auto"/>
        <w:rPr>
          <w:sz w:val="20"/>
          <w:szCs w:val="20"/>
          <w:color w:val="auto"/>
        </w:rPr>
      </w:pPr>
      <w:r>
        <w:rPr>
          <w:rFonts w:ascii="Arial" w:cs="Arial" w:eastAsia="Arial" w:hAnsi="Arial"/>
          <w:sz w:val="64"/>
          <w:szCs w:val="64"/>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2 – RATIFY APPOINTMENT OF INDEPENDENT AUDITORS AND AUTHORIZE AUDITOR’S REMUNERATION</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CE0E41"/>
        </w:rPr>
        <w:t>The Board of Directors recommends that you vote “FOR” this proposal.</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KPMG LLP and KPMG (collectively, “KPMG”) served as the independent auditors for Weatherford for the year ended December 31, 2014. The Board, upon the recommendation of the Audit Committee, is asking our shareholders to ratify the appointment of KPMG LLP as our independent registered public accounting firm and auditor for the year ending December 31, 2015 and to authorize the Board of Directors, acting through the Audit Committee, to determine the independent auditor’s remuneration. The selection of KPMG as the independent registered public accounting firm for 2015 was approved by the Audit Committee on March 18, 2015.</w:t>
      </w:r>
    </w:p>
    <w:p>
      <w:pPr>
        <w:spacing w:after="0" w:line="16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 simple majority of the votes cast “For” or “Against,” in person or by proxy, provided a quorum is present) is required to approve this proposal. If you properly give a proxy but do not indicate how you wish to vote, the persons named on the proxy card, or if you do not name your proxy or proxies, the Proxy Holders, will vote for the proposal. Abstentions and “broker non-votes” will not affect the voting results.</w:t>
      </w:r>
    </w:p>
    <w:p>
      <w:pPr>
        <w:spacing w:after="0" w:line="16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Representatives of KPMG will be present at the Annual General Meeting to respond to any appropriate shareholder questions and will be given an opportunity to make a statement if they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
        <w:spacing w:after="0" w:line="281" w:lineRule="auto"/>
        <w:rPr>
          <w:sz w:val="20"/>
          <w:szCs w:val="20"/>
          <w:color w:val="auto"/>
        </w:rPr>
      </w:pPr>
      <w:r>
        <w:rPr>
          <w:rFonts w:ascii="Arial" w:cs="Arial" w:eastAsia="Arial" w:hAnsi="Arial"/>
          <w:sz w:val="43"/>
          <w:szCs w:val="43"/>
          <w:b w:val="1"/>
          <w:bCs w:val="1"/>
          <w:color w:val="818284"/>
        </w:rPr>
        <w:t>2013 CHANGE IN INDEPENDENT REGISTERED PUBLIC ACCOUNTING FIRM</w:t>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March 7, 2013, the Audit Committee approved the appointment of KPMG LLP as our independent registered public accounting firm for the year ending December 31, 2013. During the years ended December 31, 2012 and 2011 and through March 7, 2013, we did not, nor did anyone on our behalf, consult with KPMG LLP with respect to either (i) the application of accounting principles to a specified transaction, either completed or proposed, or the type of audit opinion that might be rendered on our consolidated financial statements, and neither a written report nor oral advice was provided to us that was an important factor we considered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spacing w:after="0" w:line="182"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On March 7, 2013, the Audit Committee decided not to re-appoint Ernst &amp; Young LLP (“E&amp;Y”) as our independent registered public accounting firm for the year ending December 31, 2013. E&amp;Y completed the audit of our financial statements for the year ended December 31, 2012 on March 4, 2013, the date of its audit opinion.</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audit reports of E&amp;Y on our consolidated financial statements as of and for the years ended December 31, 2012 and 2011, did not contain an adverse opinion or a disclaimer of opinion, and were not qualified or modified as to uncertainty, audit scope or accounting principles. The audit reports of E&amp;Y on the effectiveness of our internal control over financial reporting as of December 31, 2012 and 2011, contained an adverse opinion on our internal control over financial reporting due to the effect of material weaknesses in our predecessor company’s internal controls over the accounting for income taxes. E&amp;Y also identified and communicated to our Audit Committee a material weakness in our internal controls during the quarters ended March 31, June 30, and September 30, 2012, related to a long-term construction contract in Iraq accounted for under the percentage-of-completion method. The material weakness related to percentage-of-completion accounting was reported as remediated as of December 31, 2012, in the Annual Report on Form 10-K filed on March 4, 2013. Our disclosures on the effectiveness of our internal controls in Item 9A of our Annual Reports on Form 10-K and Item 4 of our quarterly reports on Form 10-Q for these periods address the material weaknesses.</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During the years ended December 31, 2012, and December 31, 2011, and through March 7, 2013, there were (i) no disagreements (as defined in Item 304(a) (1)(iv) of Regulation S-K and the related instructions to Item 304 of Regulation S-K) with E&amp;Y on any matter of accounting principles or practices, financial statement disclosure, or auditing scope or procedure, which disagreements, if not resolved to the satisfaction of E&amp;Y, would have caused E&amp;Y to make reference to the subject matter of the disagreements in its reports on our consolidated financial statements for such years and (ii) no “reportable events” as that term is defined in Item 304(a)(1)(v) of Regulation S-K, except for the material weaknesses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FEES PAID TO KPMG</w:t>
      </w:r>
    </w:p>
    <w:p>
      <w:pPr>
        <w:spacing w:after="0" w:line="37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following table presents fees for professional audit services rendered by KPMG for the audit of the annual consolidated financial statements and statutory financial statements of Weatherford (including its predecessor) for the years ended December 31, 2014 and December 31, 2013 and fees billed for other services rendered by KPMG during those periods. All fees were approved by the Audit Committee pursuant to its pre-approval policy.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r>
      <w:tr>
        <w:trPr>
          <w:trHeight w:val="189"/>
        </w:trPr>
        <w:tc>
          <w:tcPr>
            <w:tcW w:w="514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Audit fees(1)</w:t>
            </w:r>
          </w:p>
        </w:tc>
        <w:tc>
          <w:tcPr>
            <w:tcW w:w="4980" w:type="dxa"/>
            <w:vAlign w:val="bottom"/>
            <w:tcBorders>
              <w:bottom w:val="single" w:sz="8" w:color="818284"/>
            </w:tcBorders>
          </w:tcPr>
          <w:p>
            <w:pPr>
              <w:jc w:val="right"/>
              <w:ind w:right="319"/>
              <w:spacing w:after="0"/>
              <w:rPr>
                <w:sz w:val="20"/>
                <w:szCs w:val="20"/>
                <w:color w:val="auto"/>
              </w:rPr>
            </w:pPr>
            <w:r>
              <w:rPr>
                <w:rFonts w:ascii="Arial" w:cs="Arial" w:eastAsia="Arial" w:hAnsi="Arial"/>
                <w:sz w:val="16"/>
                <w:szCs w:val="16"/>
                <w:color w:val="auto"/>
              </w:rPr>
              <w:t>$19,477,000</w:t>
            </w:r>
          </w:p>
        </w:tc>
        <w:tc>
          <w:tcPr>
            <w:tcW w:w="13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$16,789,000</w:t>
            </w:r>
          </w:p>
        </w:tc>
      </w:tr>
      <w:tr>
        <w:trPr>
          <w:trHeight w:val="183"/>
        </w:trPr>
        <w:tc>
          <w:tcPr>
            <w:tcW w:w="514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Audit-related fees(2)</w:t>
            </w:r>
          </w:p>
        </w:tc>
        <w:tc>
          <w:tcPr>
            <w:tcW w:w="4980" w:type="dxa"/>
            <w:vAlign w:val="bottom"/>
            <w:tcBorders>
              <w:bottom w:val="single" w:sz="8" w:color="818284"/>
            </w:tcBorders>
          </w:tcPr>
          <w:p>
            <w:pPr>
              <w:jc w:val="right"/>
              <w:ind w:right="319"/>
              <w:spacing w:after="0" w:line="183" w:lineRule="exact"/>
              <w:rPr>
                <w:sz w:val="20"/>
                <w:szCs w:val="20"/>
                <w:color w:val="auto"/>
              </w:rPr>
            </w:pPr>
            <w:r>
              <w:rPr>
                <w:rFonts w:ascii="Arial" w:cs="Arial" w:eastAsia="Arial" w:hAnsi="Arial"/>
                <w:sz w:val="16"/>
                <w:szCs w:val="16"/>
                <w:color w:val="auto"/>
              </w:rPr>
              <w:t>42,000</w:t>
            </w:r>
          </w:p>
        </w:tc>
        <w:tc>
          <w:tcPr>
            <w:tcW w:w="13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90,000</w:t>
            </w:r>
          </w:p>
        </w:tc>
      </w:tr>
      <w:tr>
        <w:trPr>
          <w:trHeight w:val="183"/>
        </w:trPr>
        <w:tc>
          <w:tcPr>
            <w:tcW w:w="514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Tax fees(3)</w:t>
            </w:r>
          </w:p>
        </w:tc>
        <w:tc>
          <w:tcPr>
            <w:tcW w:w="4980" w:type="dxa"/>
            <w:vAlign w:val="bottom"/>
            <w:tcBorders>
              <w:bottom w:val="single" w:sz="8" w:color="818284"/>
            </w:tcBorders>
          </w:tcPr>
          <w:p>
            <w:pPr>
              <w:jc w:val="right"/>
              <w:ind w:right="319"/>
              <w:spacing w:after="0" w:line="183" w:lineRule="exact"/>
              <w:rPr>
                <w:sz w:val="20"/>
                <w:szCs w:val="20"/>
                <w:color w:val="auto"/>
              </w:rPr>
            </w:pPr>
            <w:r>
              <w:rPr>
                <w:rFonts w:ascii="Arial" w:cs="Arial" w:eastAsia="Arial" w:hAnsi="Arial"/>
                <w:sz w:val="16"/>
                <w:szCs w:val="16"/>
                <w:color w:val="auto"/>
              </w:rPr>
              <w:t>1,059,000</w:t>
            </w:r>
          </w:p>
        </w:tc>
        <w:tc>
          <w:tcPr>
            <w:tcW w:w="13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813,000</w:t>
            </w:r>
          </w:p>
        </w:tc>
      </w:tr>
      <w:tr>
        <w:trPr>
          <w:trHeight w:val="183"/>
        </w:trPr>
        <w:tc>
          <w:tcPr>
            <w:tcW w:w="514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All other fees(4)</w:t>
            </w:r>
          </w:p>
        </w:tc>
        <w:tc>
          <w:tcPr>
            <w:tcW w:w="4980" w:type="dxa"/>
            <w:vAlign w:val="bottom"/>
            <w:tcBorders>
              <w:bottom w:val="single" w:sz="8" w:color="818284"/>
            </w:tcBorders>
          </w:tcPr>
          <w:p>
            <w:pPr>
              <w:jc w:val="right"/>
              <w:ind w:right="319"/>
              <w:spacing w:after="0" w:line="183" w:lineRule="exact"/>
              <w:rPr>
                <w:sz w:val="20"/>
                <w:szCs w:val="20"/>
                <w:color w:val="auto"/>
              </w:rPr>
            </w:pPr>
            <w:r>
              <w:rPr>
                <w:rFonts w:ascii="Arial" w:cs="Arial" w:eastAsia="Arial" w:hAnsi="Arial"/>
                <w:sz w:val="16"/>
                <w:szCs w:val="16"/>
                <w:color w:val="auto"/>
              </w:rPr>
              <w:t>234,000</w:t>
            </w:r>
          </w:p>
        </w:tc>
        <w:tc>
          <w:tcPr>
            <w:tcW w:w="13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350,000</w:t>
            </w:r>
          </w:p>
        </w:tc>
      </w:tr>
      <w:tr>
        <w:trPr>
          <w:trHeight w:val="190"/>
        </w:trPr>
        <w:tc>
          <w:tcPr>
            <w:tcW w:w="5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49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$20,812,000</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$18,042,000</w:t>
            </w:r>
          </w:p>
        </w:tc>
      </w:tr>
    </w:tbl>
    <w:p>
      <w:pPr>
        <w:spacing w:after="0" w:line="72" w:lineRule="exact"/>
        <w:rPr>
          <w:sz w:val="20"/>
          <w:szCs w:val="20"/>
          <w:color w:val="auto"/>
        </w:rPr>
      </w:pPr>
    </w:p>
    <w:p>
      <w:pPr>
        <w:ind w:left="280" w:right="40" w:hanging="272"/>
        <w:spacing w:after="0" w:line="245" w:lineRule="auto"/>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42" w:lineRule="exact"/>
        <w:rPr>
          <w:rFonts w:ascii="Arial" w:cs="Arial" w:eastAsia="Arial" w:hAnsi="Arial"/>
          <w:sz w:val="14"/>
          <w:szCs w:val="14"/>
          <w:color w:val="auto"/>
        </w:rPr>
      </w:pPr>
    </w:p>
    <w:p>
      <w:pPr>
        <w:ind w:left="280" w:hanging="272"/>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fnancial information systems design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AUDIT COMMITTEE PRE-APPROVAL POLICY</w:t>
      </w:r>
    </w:p>
    <w:p>
      <w:pPr>
        <w:spacing w:after="0" w:line="37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2014, all audit and non-audit services performed by the independent auditor were subject to the pre-approval policy.</w:t>
      </w:r>
    </w:p>
    <w:p>
      <w:pPr>
        <w:spacing w:after="0" w:line="178"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The Vice President, Audit Services, periodically reports to the Audit Committee regarding the results of her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AUDIT COMMITTEE REPORT</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March 18, 2015</w:t>
      </w:r>
    </w:p>
    <w:p>
      <w:pPr>
        <w:spacing w:after="0" w:line="194"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We have reviewed and discussed with management the audited financial statements of Weatherford International plc as of and for the year ended December 31, 2014.</w:t>
      </w:r>
    </w:p>
    <w:p>
      <w:pPr>
        <w:spacing w:after="0" w:line="153"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 xml:space="preserve">We have discussed with the independent auditor the matters required to be discussed by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amended, as adopted by the Public Company Accounting Oversight Board in Rule 3200T.</w:t>
      </w:r>
    </w:p>
    <w:p>
      <w:pPr>
        <w:spacing w:after="0" w:line="15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received the written disclosures and the letter from the independent auditor required by applicable requirements of the Public Company Accounting Oversight Board regarding the independent auditor’s communications with the Audit Committee concerning independence, and have discussed with the independent auditor the independent auditor’s independence.</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Based on the reviews and discussions referred to above, we recommended to the Board of Directors that the audited financial statements referred to above be included in the Annual Report on Form 10-K of Weatherford International plc for the year ended December 31, 2014.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David J. Butters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Francis S. Kalman, </w:t>
      </w:r>
      <w:r>
        <w:rPr>
          <w:rFonts w:ascii="Arial" w:cs="Arial" w:eastAsia="Arial" w:hAnsi="Arial"/>
          <w:sz w:val="16"/>
          <w:szCs w:val="16"/>
          <w:i w:val="1"/>
          <w:iCs w:val="1"/>
          <w:color w:val="auto"/>
        </w:rPr>
        <w:t>Chairman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K. Moses, Jr.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Guillermo Ortiz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9" w:name="page50"/>
    <w:bookmarkEnd w:id="49"/>
    <w:p>
      <w:pPr>
        <w:ind w:right="2260"/>
        <w:spacing w:after="0" w:line="262" w:lineRule="auto"/>
        <w:rPr>
          <w:sz w:val="20"/>
          <w:szCs w:val="20"/>
          <w:color w:val="auto"/>
        </w:rPr>
      </w:pPr>
      <w:r>
        <w:rPr>
          <w:rFonts w:ascii="Arial" w:cs="Arial" w:eastAsia="Arial" w:hAnsi="Arial"/>
          <w:sz w:val="64"/>
          <w:szCs w:val="64"/>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3 – ADVISORY APPROVAL OF 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CE0E41"/>
        </w:rPr>
        <w:t>The Board of Directors recommends that you vote “FOR” this proposal.</w:t>
      </w:r>
    </w:p>
    <w:p>
      <w:pPr>
        <w:spacing w:after="0" w:line="21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urge you to carefully review the Compensation Discussion and Analysis, or “CD&amp;A”, section in this Proxy Statement, as well as the Summary Compensation Table, other compensation tables and related narrative discussion, for more information regarding the compensation of our NEOs. As described in those sections, our compensation program is designed and administered to:</w:t>
      </w:r>
    </w:p>
    <w:p>
      <w:pPr>
        <w:spacing w:after="0" w:line="174"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drive and reward strong business performance to create superior value for our shareholders;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pay for performance that supports key financial and strategic objectives;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attract, retain and motivate individuals in key executive positions, while limiting non-performance based entitlements;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ensure that performance-based compensation supports growth, while managing compensation risk;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encourage our executives to focus on both the short-term and long-term performance goals of the Company.</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i w:val="1"/>
          <w:iCs w:val="1"/>
          <w:color w:val="auto"/>
        </w:rPr>
        <w:t xml:space="preserve">2014 Achievements. </w:t>
      </w:r>
      <w:r>
        <w:rPr>
          <w:rFonts w:ascii="Arial" w:cs="Arial" w:eastAsia="Arial" w:hAnsi="Arial"/>
          <w:sz w:val="16"/>
          <w:szCs w:val="16"/>
          <w:color w:val="auto"/>
        </w:rPr>
        <w:t>2014 was a year of significant accomplishments and strong performance for the Company. We successfully concluded our negotiations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U.S. government and settled our FCPA and sanctioned-countries investigations. We exceeded our 2014 objective to achieve annualized cost savings of $500 million, achieving $602 million in total savings. We reached this goal by eliminating over 6,000 positions and shutting down 64 underperforming operating locations as well as realizing savings from supply chain initiatives and reductions in foreign exchange hedging costs and corporate professional fees. Annualized cost savings do not include any reductions in our cost base as a result of divesting any businesses from our previously announced divestiture program. In connection with that program, we sold the Company’s non-core businesses and received cash proceeds of over $1.7 billion for 2014, significantly exceeding our target. With these proceeds, we also decreased our year-end debt in excess of our goals and substantially de-levered the Company ahead of a cyclically challenging year in the industry. We made significant strides in growing our (non-GAAP) earnings per share, which increased by over 60% versus 2013, and our free cash flow from operations improved. In addition, we were pleased to have achieved our best-ever safety record.</w:t>
      </w:r>
    </w:p>
    <w:p>
      <w:pPr>
        <w:spacing w:after="0" w:line="17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These outstanding results reflected positively on our stock price, which gained 55% during the first half of the year through late July of 2014, thereby outperforming our peer group and the industry. Later during 2014, oil prices (WTI) drastically declined from over $100 per barrel to under $55 a barrel. During this timeframe, Weatherford’s stock price was 96% correlated to the price of oil declining in tandem and falling from almost $25 per share to around $10 per share. In facing these cyclical industry headwinds, Weatherford enters 2015 with a strong core business, a significantly improved risk position and an organization focused on intensifying our client engagement.</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Shareholder Outreach. </w:t>
      </w:r>
      <w:r>
        <w:rPr>
          <w:rFonts w:ascii="Arial" w:cs="Arial" w:eastAsia="Arial" w:hAnsi="Arial"/>
          <w:sz w:val="16"/>
          <w:szCs w:val="16"/>
          <w:color w:val="auto"/>
        </w:rPr>
        <w:t>As discussed in greater detail in the CD&amp;A section, since our 2014 annual general meeting, our conversations with our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indicate that a majority were generally supportive of our governance and compensation practices and some provided additional suggestions for improvements in our practices and/or disclosures. In those conversations, we received a number of constructive suggestions, many of which we implemented, including the following:</w:t>
      </w:r>
    </w:p>
    <w:p>
      <w:pPr>
        <w:spacing w:after="0" w:line="171" w:lineRule="exact"/>
        <w:rPr>
          <w:sz w:val="20"/>
          <w:szCs w:val="20"/>
          <w:color w:val="auto"/>
        </w:rPr>
      </w:pPr>
    </w:p>
    <w:p>
      <w:pPr>
        <w:ind w:left="180" w:right="20" w:hanging="172"/>
        <w:spacing w:after="0" w:line="260" w:lineRule="auto"/>
        <w:tabs>
          <w:tab w:leader="none" w:pos="180" w:val="left"/>
        </w:tabs>
        <w:numPr>
          <w:ilvl w:val="0"/>
          <w:numId w:val="49"/>
        </w:numPr>
        <w:rPr>
          <w:rFonts w:ascii="Arial" w:cs="Arial" w:eastAsia="Arial" w:hAnsi="Arial"/>
          <w:sz w:val="16"/>
          <w:szCs w:val="16"/>
          <w:color w:val="CE0D41"/>
        </w:rPr>
      </w:pPr>
      <w:r>
        <w:rPr>
          <w:rFonts w:ascii="Arial" w:cs="Arial" w:eastAsia="Arial" w:hAnsi="Arial"/>
          <w:sz w:val="16"/>
          <w:szCs w:val="16"/>
          <w:color w:val="auto"/>
        </w:rPr>
        <w:t>In March 2015, the Board of Directors, upon the recommendation of the Compensation Committee, determined that the Company will not enter into new employment agreements with future executive officers.</w:t>
      </w:r>
    </w:p>
    <w:p>
      <w:pPr>
        <w:spacing w:after="0" w:line="168" w:lineRule="exact"/>
        <w:rPr>
          <w:rFonts w:ascii="Arial" w:cs="Arial" w:eastAsia="Arial" w:hAnsi="Arial"/>
          <w:sz w:val="16"/>
          <w:szCs w:val="16"/>
          <w:color w:val="CE0D41"/>
        </w:rPr>
      </w:pPr>
    </w:p>
    <w:p>
      <w:pPr>
        <w:ind w:left="180" w:right="20" w:hanging="172"/>
        <w:spacing w:after="0" w:line="260" w:lineRule="auto"/>
        <w:tabs>
          <w:tab w:leader="none" w:pos="180" w:val="left"/>
        </w:tabs>
        <w:numPr>
          <w:ilvl w:val="0"/>
          <w:numId w:val="49"/>
        </w:numPr>
        <w:rPr>
          <w:rFonts w:ascii="Arial" w:cs="Arial" w:eastAsia="Arial" w:hAnsi="Arial"/>
          <w:sz w:val="16"/>
          <w:szCs w:val="16"/>
          <w:color w:val="CE0D41"/>
        </w:rPr>
      </w:pPr>
      <w:r>
        <w:rPr>
          <w:rFonts w:ascii="Arial" w:cs="Arial" w:eastAsia="Arial" w:hAnsi="Arial"/>
          <w:sz w:val="16"/>
          <w:szCs w:val="16"/>
          <w:color w:val="auto"/>
        </w:rPr>
        <w:t>Performance unit awards granted in 2015 were amended to reduce the potential for volatility in measurement of share price, using an average monthly share price for the month of December of the applicable year compared to a one-day December 31st share price.</w:t>
      </w:r>
    </w:p>
    <w:p>
      <w:pPr>
        <w:spacing w:after="0" w:line="169"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believe that the information above and elsewhere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shareholders of the Company approve, on an advisory basis, the compensation of the Company’s named executive officers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Item 402 of Regulation S-K, including the Executive Compensation section of the Proxy Statement for the Company’s 2015 Annual General Meeting of Shareholders, which includes the Compensation Discussion and Analysis, the Summary Compensation Table and other executive compensation tables and accompanying narrative.”</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At the 2011 annual general meeting, the Board recommended, and the shareholders voted, to conduct advisory, </w:t>
      </w:r>
      <w:r>
        <w:rPr>
          <w:rFonts w:ascii="Arial" w:cs="Arial" w:eastAsia="Arial" w:hAnsi="Arial"/>
          <w:sz w:val="16"/>
          <w:szCs w:val="16"/>
          <w:i w:val="1"/>
          <w:iCs w:val="1"/>
          <w:color w:val="auto"/>
        </w:rPr>
        <w:t>i.e.,</w:t>
      </w:r>
      <w:r>
        <w:rPr>
          <w:rFonts w:ascii="Arial" w:cs="Arial" w:eastAsia="Arial" w:hAnsi="Arial"/>
          <w:sz w:val="16"/>
          <w:szCs w:val="16"/>
          <w:color w:val="auto"/>
        </w:rPr>
        <w:t xml:space="preserve"> say-on-pay, votes on an annual basis. The next advisory say-on-pay vote will occur at our 2016 Annual General Meeting.</w:t>
      </w:r>
    </w:p>
    <w:p>
      <w:pPr>
        <w:spacing w:after="0" w:line="136"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 simple majority of the votes cast “For” or “Against,” in person or by proxy, provided a quorum is present) is required to approve this proposal. If you properly give a proxy but do not indicate how you wish to vote, the persons named on the proxy card, or if you do not name your proxy or proxies, the Proxy Holders, will vote for the proposal.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809" w:gutter="0" w:footer="0" w:header="0"/>
        </w:sectPr>
      </w:pPr>
    </w:p>
    <w:bookmarkStart w:id="50" w:name="page51"/>
    <w:bookmarkEnd w:id="50"/>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NEOS AND OTHER EXECUTIVE OFFICERS</w:t>
      </w:r>
    </w:p>
    <w:p>
      <w:pPr>
        <w:spacing w:after="0" w:line="37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following persons are our executive officers as of April 15, 2015. (Dr. Duroc-Danner’s biography is on page 10). None of the executive officers or directors has any family relationships with each other. The CD&amp;A that follows covers the compensation of our NEOs currently serving the Company (“current NEOs”), who are Messrs. Duroc-Danner, Shivram, Mehta and Mills.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Age</w:t>
            </w:r>
          </w:p>
        </w:tc>
        <w:tc>
          <w:tcPr>
            <w:tcW w:w="63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Position</w:t>
            </w:r>
          </w:p>
        </w:tc>
      </w:tr>
      <w:tr>
        <w:trPr>
          <w:trHeight w:val="189"/>
        </w:trPr>
        <w:tc>
          <w:tcPr>
            <w:tcW w:w="32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1820" w:type="dxa"/>
            <w:vAlign w:val="bottom"/>
            <w:tcBorders>
              <w:bottom w:val="single" w:sz="8" w:color="818284"/>
            </w:tcBorders>
          </w:tcPr>
          <w:p>
            <w:pPr>
              <w:jc w:val="right"/>
              <w:ind w:right="39"/>
              <w:spacing w:after="0"/>
              <w:rPr>
                <w:sz w:val="20"/>
                <w:szCs w:val="20"/>
                <w:color w:val="auto"/>
              </w:rPr>
            </w:pPr>
            <w:r>
              <w:rPr>
                <w:rFonts w:ascii="Arial" w:cs="Arial" w:eastAsia="Arial" w:hAnsi="Arial"/>
                <w:sz w:val="16"/>
                <w:szCs w:val="16"/>
                <w:color w:val="auto"/>
              </w:rPr>
              <w:t>61</w:t>
            </w:r>
          </w:p>
        </w:tc>
        <w:tc>
          <w:tcPr>
            <w:tcW w:w="6380" w:type="dxa"/>
            <w:vAlign w:val="bottom"/>
            <w:tcBorders>
              <w:bottom w:val="single" w:sz="8" w:color="818284"/>
            </w:tcBorders>
          </w:tcPr>
          <w:p>
            <w:pPr>
              <w:ind w:left="12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Krishna Shivram</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52</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Executive Vice President and Chief Financial Officer</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Dharmesh Mehta</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49</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Executive Vice President, Corporate Strategy</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Douglas M. Mills</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40</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Vice President and Chief Accounting Officer</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Antony J. Branch</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46</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President—Global Product Lines</w:t>
            </w:r>
          </w:p>
        </w:tc>
      </w:tr>
      <w:tr>
        <w:trPr>
          <w:trHeight w:val="190"/>
        </w:trPr>
        <w:tc>
          <w:tcPr>
            <w:tcW w:w="3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Lance R. Marklinger</w:t>
            </w:r>
          </w:p>
        </w:tc>
        <w:tc>
          <w:tcPr>
            <w:tcW w:w="1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w:t>
            </w:r>
          </w:p>
        </w:tc>
        <w:tc>
          <w:tcPr>
            <w:tcW w:w="63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President—Eastern Hemisphere</w:t>
            </w:r>
          </w:p>
        </w:tc>
      </w:tr>
    </w:tbl>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Krishna Shivram </w:t>
      </w:r>
      <w:r>
        <w:rPr>
          <w:rFonts w:ascii="Arial" w:cs="Arial" w:eastAsia="Arial" w:hAnsi="Arial"/>
          <w:sz w:val="16"/>
          <w:szCs w:val="16"/>
          <w:color w:val="auto"/>
        </w:rPr>
        <w:t>was appointed Executive Vice President and Chief Financial Officer in November 2013. Mr. Shivram has over 25 years of financial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management experience in the oilfield service industry and previously worked for Schlumberger Ltd. in a variety of roles across the globe. Immediately prior to joining Weatherford, Mr. Shivram served as Vice President and Treasurer of Schlumberger Ltd. since January 2011. Prior to his serving as Vice President and Treasurer, Mr. Shivram held a number of senior management positions at Schlumberger, including Controller - Drilling Group from May 2010 to January 2011, Manager - Mergers and Acquisitions from May 2009 to April 2010 and Controller - Oilfield Services from August 2006 to April 2009. Mr. Shivram is a Chartered Accountant and has experience in financial accounting, income taxes and treasury operations, along with a strong background in corporate finance and mergers and acquisitions.</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Dharmesh Mehta </w:t>
      </w:r>
      <w:r>
        <w:rPr>
          <w:rFonts w:ascii="Arial" w:cs="Arial" w:eastAsia="Arial" w:hAnsi="Arial"/>
          <w:sz w:val="16"/>
          <w:szCs w:val="16"/>
          <w:color w:val="auto"/>
        </w:rPr>
        <w:t>was appointed Executive Vice President, Corporate Strategy in January 2015. Mr. Mehta joined the Company in 2001 and served in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capacities, including Senior Vice President – Completion and Production Systems, Chief Administrative Officer and Chief Operating Officer. Prior to joining the Company, Mr. Mehta had 10 years of experience in the software and oil and gas industries. Mr. Mehta holds a bachelor’s degree from the University of Houston and a master’s degree from the University of Wisconsin.</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Douglas M. Mills </w:t>
      </w:r>
      <w:r>
        <w:rPr>
          <w:rFonts w:ascii="Arial" w:cs="Arial" w:eastAsia="Arial" w:hAnsi="Arial"/>
          <w:sz w:val="16"/>
          <w:szCs w:val="16"/>
          <w:color w:val="auto"/>
        </w:rPr>
        <w:t>was appointed Vice President and Chief Accounting Officer in June 2013 and serves as the Company’s principal accounting officer. Mr. Mills</w:t>
      </w:r>
      <w:r>
        <w:rPr>
          <w:rFonts w:ascii="Arial" w:cs="Arial" w:eastAsia="Arial" w:hAnsi="Arial"/>
          <w:sz w:val="16"/>
          <w:szCs w:val="16"/>
          <w:b w:val="1"/>
          <w:bCs w:val="1"/>
          <w:color w:val="auto"/>
        </w:rPr>
        <w:t xml:space="preserve"> </w:t>
      </w:r>
      <w:r>
        <w:rPr>
          <w:rFonts w:ascii="Arial" w:cs="Arial" w:eastAsia="Arial" w:hAnsi="Arial"/>
          <w:sz w:val="16"/>
          <w:szCs w:val="16"/>
          <w:color w:val="auto"/>
        </w:rPr>
        <w:t>joined Weatherford in 2003 and served in various financial reporting capacities, including Vice President of Corporate Accounting since 2011, and filled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b w:val="1"/>
          <w:bCs w:val="1"/>
          <w:color w:val="auto"/>
        </w:rPr>
        <w:t xml:space="preserve">Antony J. Branch </w:t>
      </w:r>
      <w:r>
        <w:rPr>
          <w:rFonts w:ascii="Arial" w:cs="Arial" w:eastAsia="Arial" w:hAnsi="Arial"/>
          <w:sz w:val="16"/>
          <w:szCs w:val="16"/>
          <w:color w:val="auto"/>
        </w:rPr>
        <w:t>was appointed President—Global Product Lines in January 2015. Prior to his appointment, he served as Vice President – Europe, Africa</w:t>
      </w:r>
      <w:r>
        <w:rPr>
          <w:rFonts w:ascii="Arial" w:cs="Arial" w:eastAsia="Arial" w:hAnsi="Arial"/>
          <w:sz w:val="16"/>
          <w:szCs w:val="16"/>
          <w:b w:val="1"/>
          <w:bCs w:val="1"/>
          <w:color w:val="auto"/>
        </w:rPr>
        <w:t xml:space="preserve"> </w:t>
      </w:r>
      <w:r>
        <w:rPr>
          <w:rFonts w:ascii="Arial" w:cs="Arial" w:eastAsia="Arial" w:hAnsi="Arial"/>
          <w:sz w:val="16"/>
          <w:szCs w:val="16"/>
          <w:color w:val="auto"/>
        </w:rPr>
        <w:t>and Middle East. Mr. Branch joined the Company in 2005, when Precision Drilling Corporation was acquired by Weatherford and where he held numerous management positions. Prior to joining the Company, Mr. Branch held management positions with Precision Drilling and Sperry — Sun Drilling Services. Mr. Branch holds a degree in Petroleum Geology from the University of Aberdeen.</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color w:val="auto"/>
        </w:rPr>
        <w:t xml:space="preserve">Lance R. Marklinger </w:t>
      </w:r>
      <w:r>
        <w:rPr>
          <w:rFonts w:ascii="Arial" w:cs="Arial" w:eastAsia="Arial" w:hAnsi="Arial"/>
          <w:sz w:val="16"/>
          <w:szCs w:val="16"/>
          <w:color w:val="auto"/>
        </w:rPr>
        <w:t>was appointed President—Eastern Hemisphere in January 2015. Prior to his appointment, he served as Vice President –Well</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and Completion. Mr. Marklinger joined the Company in January 2010 and was appointed Vice President - Russia Region in November 2010, following a role as Well Services Group Manager. Prior to joining Weatherford, Mr. Marklinger was employed by Dowell and Schlumberger Ltd. from July 1993 to January 2010 in various management positions, including General Director and Vice President of Marketing of PetroAlliance, Vice President of Sales and Marketing US Land, and Operations Manager Russia. He is a graduate of the Southern Alberta Institute of Technology with an associate’s degree in Petroleum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1" w:name="page52"/>
    <w:bookmarkEnd w:id="51"/>
    <w:p>
      <w:pPr>
        <w:ind w:right="340"/>
        <w:spacing w:after="0" w:line="275" w:lineRule="auto"/>
        <w:rPr>
          <w:sz w:val="20"/>
          <w:szCs w:val="20"/>
          <w:color w:val="auto"/>
        </w:rPr>
      </w:pPr>
      <w:r>
        <w:rPr>
          <w:rFonts w:ascii="Arial" w:cs="Arial" w:eastAsia="Arial" w:hAnsi="Arial"/>
          <w:sz w:val="65"/>
          <w:szCs w:val="65"/>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68"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Summary Compensation Table. Details regarding the compensation we paid to the NEOs for 2014 are found in the tables and narrative which follows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2160"/>
        <w:spacing w:after="0" w:line="281" w:lineRule="auto"/>
        <w:rPr>
          <w:sz w:val="20"/>
          <w:szCs w:val="20"/>
          <w:color w:val="auto"/>
        </w:rPr>
      </w:pPr>
      <w:r>
        <w:rPr>
          <w:rFonts w:ascii="Arial" w:cs="Arial" w:eastAsia="Arial" w:hAnsi="Arial"/>
          <w:sz w:val="43"/>
          <w:szCs w:val="43"/>
          <w:b w:val="1"/>
          <w:bCs w:val="1"/>
          <w:color w:val="818284"/>
        </w:rPr>
        <w:t>OUR RESPONSIVENESS TO SHAREHOLDER OUTREACH</w:t>
      </w:r>
    </w:p>
    <w:p>
      <w:pPr>
        <w:spacing w:after="0" w:line="20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outreach efforts create an ongoing dialogue through which we gain valuable insights. On occasion, members of our Board have met with shareholders either telephonically or in person to discuss Weatherford’s compensation and governance practices. The Chief Financial Officer and Vice President of Investor Relations are also in frequent communication with shareholders on these matters. To ensure that we address our investors’ concerns and considerations, the shareholder feedback is summarized and presented to the Board and our Compensation Committee. As a result of our shareholder outreach, the Compensation Committee has implemented changes to our policies to further align pay with performance and incorporate evolving best practices.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the months leading up to, and since our 2014 Annual General Meeting in September, we reached out to the holders of approximately 73% of our outstanding shares, resulting in discussions with the holders of approximately 64% of our shares. Those shareholders had differing points of view on the topics discussed. The following summarizes our discussions:</w:t>
      </w:r>
    </w:p>
    <w:p>
      <w:pPr>
        <w:spacing w:after="0" w:line="174" w:lineRule="exact"/>
        <w:rPr>
          <w:sz w:val="20"/>
          <w:szCs w:val="20"/>
          <w:color w:val="auto"/>
        </w:rPr>
      </w:pPr>
    </w:p>
    <w:p>
      <w:pPr>
        <w:ind w:left="180" w:right="80" w:hanging="172"/>
        <w:spacing w:after="0" w:line="278" w:lineRule="auto"/>
        <w:tabs>
          <w:tab w:leader="none" w:pos="180" w:val="left"/>
        </w:tabs>
        <w:numPr>
          <w:ilvl w:val="0"/>
          <w:numId w:val="51"/>
        </w:numPr>
        <w:rPr>
          <w:rFonts w:ascii="Arial" w:cs="Arial" w:eastAsia="Arial" w:hAnsi="Arial"/>
          <w:sz w:val="16"/>
          <w:szCs w:val="16"/>
          <w:color w:val="CE0D41"/>
        </w:rPr>
      </w:pPr>
      <w:r>
        <w:rPr>
          <w:rFonts w:ascii="Arial" w:cs="Arial" w:eastAsia="Arial" w:hAnsi="Arial"/>
          <w:sz w:val="16"/>
          <w:szCs w:val="16"/>
          <w:color w:val="auto"/>
        </w:rPr>
        <w:t>A majority (93%) of the investors reached were supportive of our compensation and governance practices. While many investors were generally supportive, they took the opportunity to share their views on how our compensation and governance practices might be further enhanced.</w:t>
      </w:r>
    </w:p>
    <w:p>
      <w:pPr>
        <w:spacing w:after="0" w:line="167" w:lineRule="exact"/>
        <w:rPr>
          <w:rFonts w:ascii="Arial" w:cs="Arial" w:eastAsia="Arial" w:hAnsi="Arial"/>
          <w:sz w:val="16"/>
          <w:szCs w:val="16"/>
          <w:color w:val="CE0D41"/>
        </w:rPr>
      </w:pPr>
    </w:p>
    <w:p>
      <w:pPr>
        <w:ind w:left="180" w:hanging="172"/>
        <w:spacing w:after="0"/>
        <w:tabs>
          <w:tab w:leader="none" w:pos="180" w:val="left"/>
        </w:tabs>
        <w:numPr>
          <w:ilvl w:val="0"/>
          <w:numId w:val="51"/>
        </w:numPr>
        <w:rPr>
          <w:rFonts w:ascii="Arial" w:cs="Arial" w:eastAsia="Arial" w:hAnsi="Arial"/>
          <w:sz w:val="16"/>
          <w:szCs w:val="16"/>
          <w:color w:val="CE0D41"/>
        </w:rPr>
      </w:pPr>
      <w:r>
        <w:rPr>
          <w:rFonts w:ascii="Arial" w:cs="Arial" w:eastAsia="Arial" w:hAnsi="Arial"/>
          <w:sz w:val="16"/>
          <w:szCs w:val="16"/>
          <w:color w:val="auto"/>
        </w:rPr>
        <w:t>A minority (7%) of those reached were not supportive of our practices and explained their rationale.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1"/>
        </w:numPr>
        <w:rPr>
          <w:rFonts w:ascii="Arial" w:cs="Arial" w:eastAsia="Arial" w:hAnsi="Arial"/>
          <w:sz w:val="16"/>
          <w:szCs w:val="16"/>
          <w:color w:val="CE0D41"/>
        </w:rPr>
      </w:pPr>
      <w:r>
        <w:rPr>
          <w:rFonts w:ascii="Arial" w:cs="Arial" w:eastAsia="Arial" w:hAnsi="Arial"/>
          <w:sz w:val="16"/>
          <w:szCs w:val="16"/>
          <w:color w:val="auto"/>
        </w:rPr>
        <w:t>In all cases, comments and feedback were communicated to and considered by the Compensation Committee.</w:t>
      </w:r>
    </w:p>
    <w:p>
      <w:pPr>
        <w:spacing w:after="0" w:line="20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Board and our Compensation Committee strongly value the opinions of our shareholders and made modifications to our executive compensation program to specifically address concerns raised by our shareholders. As a result, the following changes have been approved by the Board:</w:t>
      </w:r>
    </w:p>
    <w:p>
      <w:pPr>
        <w:spacing w:after="0" w:line="182" w:lineRule="exact"/>
        <w:rPr>
          <w:sz w:val="20"/>
          <w:szCs w:val="20"/>
          <w:color w:val="auto"/>
        </w:rPr>
      </w:pPr>
    </w:p>
    <w:p>
      <w:pPr>
        <w:ind w:left="180" w:right="68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In March 2015, upon the recommendation of the Compensation Committee, the Board determined that the Company will not enter into employment agreements with future executive officers.</w:t>
      </w:r>
    </w:p>
    <w:p>
      <w:pPr>
        <w:spacing w:after="0" w:line="182" w:lineRule="exact"/>
        <w:rPr>
          <w:rFonts w:ascii="Arial" w:cs="Arial" w:eastAsia="Arial" w:hAnsi="Arial"/>
          <w:sz w:val="16"/>
          <w:szCs w:val="16"/>
          <w:color w:val="CE0D41"/>
        </w:rPr>
      </w:pPr>
    </w:p>
    <w:p>
      <w:pPr>
        <w:ind w:left="180" w:right="30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Performance unit awards granted in 2015 were amended to reduce the potential for volatility in measurement of our share price by moving to an average share price for all trading days in December from a one-day December 31st share price.</w:t>
      </w:r>
    </w:p>
    <w:p>
      <w:pPr>
        <w:spacing w:after="0" w:line="182" w:lineRule="exact"/>
        <w:rPr>
          <w:rFonts w:ascii="Arial" w:cs="Arial" w:eastAsia="Arial" w:hAnsi="Arial"/>
          <w:sz w:val="16"/>
          <w:szCs w:val="16"/>
          <w:color w:val="CE0D41"/>
        </w:rPr>
      </w:pPr>
    </w:p>
    <w:p>
      <w:pPr>
        <w:ind w:left="180" w:right="40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The Company will not buy out underwater options held by executives. The Board has approved amendments to our 2010 Omnibus Plan that, subject to shareholder approval as described in this Proxy Statement, will prohibit such buyouts in the future.</w:t>
      </w:r>
    </w:p>
    <w:p>
      <w:pPr>
        <w:spacing w:after="0" w:line="182" w:lineRule="exact"/>
        <w:rPr>
          <w:rFonts w:ascii="Arial" w:cs="Arial" w:eastAsia="Arial" w:hAnsi="Arial"/>
          <w:sz w:val="16"/>
          <w:szCs w:val="16"/>
          <w:color w:val="CE0D41"/>
        </w:rPr>
      </w:pPr>
    </w:p>
    <w:p>
      <w:pPr>
        <w:ind w:left="180" w:right="16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A peer performance metric has been added to the 2015 incentive objectives, as the Compensation Committee believes it is a strong metric of revenue and profitability performance relative to peers by which executives (and the Company) should be measured.</w:t>
      </w:r>
    </w:p>
    <w:p>
      <w:pPr>
        <w:spacing w:after="0" w:line="182" w:lineRule="exact"/>
        <w:rPr>
          <w:rFonts w:ascii="Arial" w:cs="Arial" w:eastAsia="Arial" w:hAnsi="Arial"/>
          <w:sz w:val="16"/>
          <w:szCs w:val="16"/>
          <w:color w:val="CE0D41"/>
        </w:rPr>
      </w:pPr>
    </w:p>
    <w:p>
      <w:pPr>
        <w:ind w:left="180" w:right="20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A free cash flow metric continued to be included in the compensation program in 2015, because it is a strong measure of profitability and the quality of the earnings stream and remains an extremely important focus for shareholders.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Furthermore, the Board continues to focus on limiting or eliminating severance payments made to executive officers upon departure. When the Company’s Executive Vice President and General Counsel departed the Company in January 2015, she received only the amounts due under her employment agreement, consisting of accrued vacation pay and a pro rata portion of her earned bonus. No additional cash payments were made and she did not benefit from accelerated vesting of her equity awards. With the Board’s new policy of not entering into employment agreements with future executive officers, the Board, the Compensation Committee and the Company intend to limit the opportunities for future executives to be paid a significant amount of compensation upon departure.</w:t>
      </w:r>
    </w:p>
    <w:p>
      <w:pPr>
        <w:spacing w:after="0" w:line="17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Although the Compensation Committee reviewed all feedback with care and due consideration, at this time the decision was made not to adopt certain suggestions described below:</w:t>
      </w:r>
    </w:p>
    <w:p>
      <w:pPr>
        <w:spacing w:after="0" w:line="169" w:lineRule="exact"/>
        <w:rPr>
          <w:sz w:val="20"/>
          <w:szCs w:val="20"/>
          <w:color w:val="auto"/>
        </w:rPr>
      </w:pPr>
    </w:p>
    <w:p>
      <w:pPr>
        <w:ind w:left="180" w:right="340" w:hanging="172"/>
        <w:spacing w:after="0" w:line="251" w:lineRule="auto"/>
        <w:tabs>
          <w:tab w:leader="none" w:pos="180" w:val="left"/>
        </w:tabs>
        <w:numPr>
          <w:ilvl w:val="0"/>
          <w:numId w:val="53"/>
        </w:numPr>
        <w:rPr>
          <w:rFonts w:ascii="Arial" w:cs="Arial" w:eastAsia="Arial" w:hAnsi="Arial"/>
          <w:sz w:val="16"/>
          <w:szCs w:val="16"/>
          <w:color w:val="CE0D41"/>
        </w:rPr>
      </w:pPr>
      <w:r>
        <w:rPr>
          <w:rFonts w:ascii="Arial" w:cs="Arial" w:eastAsia="Arial" w:hAnsi="Arial"/>
          <w:sz w:val="16"/>
          <w:szCs w:val="16"/>
          <w:color w:val="auto"/>
        </w:rPr>
        <w:t>Other changes to our performance unit awards were not adopted because the Compensation Committee continues to believe that a performance period measured annually, combined with a three-year vesting period, incentivizes management to have long-term alignment with shareholders, while ensuring compensation is tied to a quick Company turnaround, measured annually by the stock price. Additionally, given recent stock price volatility, the Compensation Committee views annual measurement as an appropriate metric.</w:t>
      </w:r>
    </w:p>
    <w:p>
      <w:pPr>
        <w:spacing w:after="0" w:line="175" w:lineRule="exact"/>
        <w:rPr>
          <w:rFonts w:ascii="Arial" w:cs="Arial" w:eastAsia="Arial" w:hAnsi="Arial"/>
          <w:sz w:val="16"/>
          <w:szCs w:val="16"/>
          <w:color w:val="CE0D41"/>
        </w:rPr>
      </w:pPr>
    </w:p>
    <w:p>
      <w:pPr>
        <w:ind w:left="180" w:right="60" w:hanging="172"/>
        <w:spacing w:after="0" w:line="251" w:lineRule="auto"/>
        <w:tabs>
          <w:tab w:leader="none" w:pos="180" w:val="left"/>
        </w:tabs>
        <w:numPr>
          <w:ilvl w:val="0"/>
          <w:numId w:val="53"/>
        </w:numPr>
        <w:rPr>
          <w:rFonts w:ascii="Arial" w:cs="Arial" w:eastAsia="Arial" w:hAnsi="Arial"/>
          <w:sz w:val="16"/>
          <w:szCs w:val="16"/>
          <w:color w:val="CE0D41"/>
        </w:rPr>
      </w:pPr>
      <w:r>
        <w:rPr>
          <w:rFonts w:ascii="Arial" w:cs="Arial" w:eastAsia="Arial" w:hAnsi="Arial"/>
          <w:sz w:val="16"/>
          <w:szCs w:val="16"/>
          <w:color w:val="auto"/>
        </w:rPr>
        <w:t>Return on Invested Capital was not adopted as a performance metric after a thorough and comprehensive review of the 2014 and 2015 metrics, including the non-equity incentive compensation component of NEO compensation. The Committee believes a focus on free cash flow generation, net debt reduction, profitability, cost reduction and safety improvements, as well as performance relative to peers, are all more relevant given the Company’s current position and industry fundamentals.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3314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331470"/>
                    </a:xfrm>
                    <a:prstGeom prst="rect">
                      <a:avLst/>
                    </a:prstGeom>
                    <a:noFill/>
                  </pic:spPr>
                </pic:pic>
              </a:graphicData>
            </a:graphic>
          </wp:anchor>
        </w:drawing>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Weatherford is strongly committed to shareholder outreach, which is supported and overseen by the Board.</w:t>
      </w:r>
    </w:p>
    <w:p>
      <w:pPr>
        <w:sectPr>
          <w:pgSz w:w="11900" w:h="16838" w:orient="portrait"/>
          <w:cols w:equalWidth="0" w:num="1">
            <w:col w:w="11400"/>
          </w:cols>
          <w:pgMar w:left="240" w:top="470" w:right="259" w:bottom="0" w:gutter="0" w:footer="0" w:header="0"/>
        </w:sectPr>
      </w:pPr>
    </w:p>
    <w:bookmarkStart w:id="52" w:name="page53"/>
    <w:bookmarkEnd w:id="52"/>
    <w:p>
      <w:pPr>
        <w:ind w:left="132"/>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179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2020" cy="1179195"/>
                    </a:xfrm>
                    <a:prstGeom prst="rect">
                      <a:avLst/>
                    </a:prstGeom>
                    <a:noFill/>
                  </pic:spPr>
                </pic:pic>
              </a:graphicData>
            </a:graphic>
          </wp:anchor>
        </w:drawing>
        <w:t>Over the past few years, we have implemented a number of significant changes to our compensation program, practices and policies. These responsive actions are highlighted in a timeline of our progress on page x.</w:t>
      </w:r>
    </w:p>
    <w:p>
      <w:pPr>
        <w:spacing w:after="0" w:line="129" w:lineRule="exact"/>
        <w:rPr>
          <w:sz w:val="20"/>
          <w:szCs w:val="20"/>
          <w:color w:val="auto"/>
        </w:rPr>
      </w:pPr>
    </w:p>
    <w:p>
      <w:pPr>
        <w:ind w:left="132" w:right="280"/>
        <w:spacing w:after="0" w:line="286" w:lineRule="auto"/>
        <w:rPr>
          <w:sz w:val="20"/>
          <w:szCs w:val="20"/>
          <w:color w:val="auto"/>
        </w:rPr>
      </w:pPr>
      <w:r>
        <w:rPr>
          <w:rFonts w:ascii="Arial" w:cs="Arial" w:eastAsia="Arial" w:hAnsi="Arial"/>
          <w:sz w:val="16"/>
          <w:szCs w:val="16"/>
          <w:b w:val="1"/>
          <w:bCs w:val="1"/>
          <w:color w:val="auto"/>
        </w:rPr>
        <w:t>During the course of our outreach to shareholders, a majority expressed support of our enhancements to our compensation policies and practices and approve of our new long-term changes to executive compensation.</w:t>
      </w:r>
    </w:p>
    <w:p>
      <w:pPr>
        <w:spacing w:after="0" w:line="129" w:lineRule="exact"/>
        <w:rPr>
          <w:sz w:val="20"/>
          <w:szCs w:val="20"/>
          <w:color w:val="auto"/>
        </w:rPr>
      </w:pPr>
    </w:p>
    <w:p>
      <w:pPr>
        <w:ind w:left="132" w:right="260"/>
        <w:spacing w:after="0" w:line="286" w:lineRule="auto"/>
        <w:rPr>
          <w:sz w:val="20"/>
          <w:szCs w:val="20"/>
          <w:color w:val="auto"/>
        </w:rPr>
      </w:pPr>
      <w:r>
        <w:rPr>
          <w:rFonts w:ascii="Arial" w:cs="Arial" w:eastAsia="Arial" w:hAnsi="Arial"/>
          <w:sz w:val="16"/>
          <w:szCs w:val="16"/>
          <w:b w:val="1"/>
          <w:bCs w:val="1"/>
          <w:color w:val="auto"/>
        </w:rPr>
        <w:t>We believe that our improved and evolving compensation program continues to serve the best interest of Weatherford shareholders, and therefore the Board recommends that you vote FOR the resolution approving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72466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5" w:lineRule="exact"/>
        <w:rPr>
          <w:sz w:val="20"/>
          <w:szCs w:val="20"/>
          <w:color w:val="auto"/>
        </w:rPr>
      </w:pPr>
    </w:p>
    <w:p>
      <w:pPr>
        <w:ind w:left="352" w:hanging="352"/>
        <w:spacing w:after="0"/>
        <w:tabs>
          <w:tab w:leader="none" w:pos="352" w:val="left"/>
        </w:tabs>
        <w:numPr>
          <w:ilvl w:val="0"/>
          <w:numId w:val="5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52"/>
          </w:cols>
          <w:pgMar w:left="248" w:top="311" w:right="699" w:bottom="1440" w:gutter="0" w:footer="0" w:header="0"/>
        </w:sectPr>
      </w:pPr>
    </w:p>
    <w:bookmarkStart w:id="53" w:name="page54"/>
    <w:bookmarkEnd w:id="53"/>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COMPENSATION PRINCIPLES AND BEST PRACTICES</w:t>
      </w:r>
    </w:p>
    <w:p>
      <w:pPr>
        <w:spacing w:after="0" w:line="3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compensation program is designed to reward our current NEOs for the achievement of strategic and operational goals and increases in shareholder value, while at the same time, avoiding the encouragement of unnecessary or excessive risk-taking. We believe our program supports these goals, while avoiding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WHAT WE DO</w:t>
      </w:r>
    </w:p>
    <w:p>
      <w:pPr>
        <w:spacing w:after="0" w:line="134" w:lineRule="exact"/>
        <w:rPr>
          <w:sz w:val="20"/>
          <w:szCs w:val="20"/>
          <w:color w:val="auto"/>
        </w:rPr>
      </w:pPr>
    </w:p>
    <w:p>
      <w:pPr>
        <w:ind w:left="340" w:right="420"/>
        <w:spacing w:after="0" w:line="304" w:lineRule="auto"/>
        <w:rPr>
          <w:sz w:val="20"/>
          <w:szCs w:val="20"/>
          <w:color w:val="auto"/>
        </w:rPr>
      </w:pPr>
      <w:r>
        <w:rPr>
          <w:rFonts w:ascii="Arial" w:cs="Arial" w:eastAsia="Arial" w:hAnsi="Arial"/>
          <w:sz w:val="16"/>
          <w:szCs w:val="16"/>
          <w:b w:val="1"/>
          <w:bCs w:val="1"/>
          <w:color w:val="auto"/>
        </w:rPr>
        <w:t xml:space="preserve">Pay for Performance. </w:t>
      </w:r>
      <w:r>
        <w:rPr>
          <w:rFonts w:ascii="Arial" w:cs="Arial" w:eastAsia="Arial" w:hAnsi="Arial"/>
          <w:sz w:val="16"/>
          <w:szCs w:val="16"/>
          <w:color w:val="auto"/>
        </w:rPr>
        <w:t>We pay annual cash bonuses to NEOs only on the achievement of pre-determined and measurable objectives that benefit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-283845</wp:posOffset>
            </wp:positionV>
            <wp:extent cx="102870" cy="1028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Share Ownership Guidelines. </w:t>
      </w:r>
      <w:r>
        <w:rPr>
          <w:rFonts w:ascii="Arial" w:cs="Arial" w:eastAsia="Arial" w:hAnsi="Arial"/>
          <w:sz w:val="16"/>
          <w:szCs w:val="16"/>
          <w:color w:val="auto"/>
        </w:rPr>
        <w:t>Our NEOs must hold the equity equivalent in value of three times (or six times in the case of the CEO) their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-104775</wp:posOffset>
            </wp:positionV>
            <wp:extent cx="102870" cy="1028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0" w:lineRule="exact"/>
        <w:rPr>
          <w:sz w:val="20"/>
          <w:szCs w:val="20"/>
          <w:color w:val="auto"/>
        </w:rPr>
      </w:pPr>
    </w:p>
    <w:p>
      <w:pPr>
        <w:ind w:left="340" w:right="200"/>
        <w:spacing w:after="0" w:line="284" w:lineRule="auto"/>
        <w:rPr>
          <w:sz w:val="20"/>
          <w:szCs w:val="20"/>
          <w:color w:val="auto"/>
        </w:rPr>
      </w:pPr>
      <w:r>
        <w:rPr>
          <w:rFonts w:ascii="Arial" w:cs="Arial" w:eastAsia="Arial" w:hAnsi="Arial"/>
          <w:sz w:val="16"/>
          <w:szCs w:val="16"/>
          <w:b w:val="1"/>
          <w:bCs w:val="1"/>
          <w:color w:val="auto"/>
        </w:rPr>
        <w:t xml:space="preserve">Clawbacks. </w:t>
      </w:r>
      <w:r>
        <w:rPr>
          <w:rFonts w:ascii="Arial" w:cs="Arial" w:eastAsia="Arial" w:hAnsi="Arial"/>
          <w:sz w:val="16"/>
          <w:szCs w:val="16"/>
          <w:color w:val="auto"/>
        </w:rPr>
        <w:t>We can recover performance-based compensation, both cash and equity, paid to executives but subsequently determined not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earned because financial results are restated, including if an officer has engaged in fraud, willful misconduct or gross negligence that has caused or contributed to a restatement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-402590</wp:posOffset>
            </wp:positionV>
            <wp:extent cx="102870" cy="1028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Double-Trigger Vesting. </w:t>
      </w:r>
      <w:r>
        <w:rPr>
          <w:rFonts w:ascii="Arial" w:cs="Arial" w:eastAsia="Arial" w:hAnsi="Arial"/>
          <w:sz w:val="16"/>
          <w:szCs w:val="16"/>
          <w:color w:val="auto"/>
        </w:rPr>
        <w:t>The change of control provisions under our executive employment agreements are “double-trigger”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-104775</wp:posOffset>
            </wp:positionV>
            <wp:extent cx="102870" cy="1028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Independent Compensation Committee and Compensation Consultant. </w:t>
      </w:r>
      <w:r>
        <w:rPr>
          <w:rFonts w:ascii="Arial" w:cs="Arial" w:eastAsia="Arial" w:hAnsi="Arial"/>
          <w:sz w:val="16"/>
          <w:szCs w:val="16"/>
          <w:color w:val="auto"/>
        </w:rPr>
        <w:t>Only independent directors serve on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-104775</wp:posOffset>
            </wp:positionV>
            <wp:extent cx="102870" cy="1028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Compensation Committee engages an independent compensation consultant and meets with the consultant in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340" w:right="860"/>
        <w:spacing w:after="0" w:line="284" w:lineRule="auto"/>
        <w:rPr>
          <w:sz w:val="20"/>
          <w:szCs w:val="20"/>
          <w:color w:val="auto"/>
        </w:rPr>
      </w:pPr>
      <w:r>
        <w:rPr>
          <w:rFonts w:ascii="Arial" w:cs="Arial" w:eastAsia="Arial" w:hAnsi="Arial"/>
          <w:sz w:val="16"/>
          <w:szCs w:val="16"/>
          <w:b w:val="1"/>
          <w:bCs w:val="1"/>
          <w:color w:val="auto"/>
        </w:rPr>
        <w:t xml:space="preserve">Annual Risk Assessment. </w:t>
      </w:r>
      <w:r>
        <w:rPr>
          <w:rFonts w:ascii="Arial" w:cs="Arial" w:eastAsia="Arial" w:hAnsi="Arial"/>
          <w:sz w:val="16"/>
          <w:szCs w:val="16"/>
          <w:color w:val="auto"/>
        </w:rPr>
        <w:t>We conduct an annual comprehensive risk analysis of our executive compensation program with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consultant to ensure that our program does not encourage inappropriate risk-taking. We also annually review a calculation of the shareholder value transfer and “burn rate” resulting from equity grants to ensure they are not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-402590</wp:posOffset>
            </wp:positionV>
            <wp:extent cx="102870"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6" w:lineRule="exact"/>
        <w:rPr>
          <w:sz w:val="20"/>
          <w:szCs w:val="20"/>
          <w:color w:val="auto"/>
        </w:rPr>
      </w:pPr>
    </w:p>
    <w:p>
      <w:pPr>
        <w:ind w:left="340" w:right="920"/>
        <w:spacing w:after="0" w:line="304" w:lineRule="auto"/>
        <w:rPr>
          <w:sz w:val="20"/>
          <w:szCs w:val="20"/>
          <w:color w:val="auto"/>
        </w:rPr>
      </w:pPr>
      <w:r>
        <w:rPr>
          <w:rFonts w:ascii="Arial" w:cs="Arial" w:eastAsia="Arial" w:hAnsi="Arial"/>
          <w:sz w:val="16"/>
          <w:szCs w:val="16"/>
          <w:b w:val="1"/>
          <w:bCs w:val="1"/>
          <w:color w:val="auto"/>
        </w:rPr>
        <w:t xml:space="preserve">Reward Future Performance. </w:t>
      </w:r>
      <w:r>
        <w:rPr>
          <w:rFonts w:ascii="Arial" w:cs="Arial" w:eastAsia="Arial" w:hAnsi="Arial"/>
          <w:sz w:val="16"/>
          <w:szCs w:val="16"/>
          <w:color w:val="auto"/>
        </w:rPr>
        <w:t>Annual restricted share and performance awards vest over a three-year period and reward for sustained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rather, than past behavior. Performance awards do not vest if our share price does not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-283845</wp:posOffset>
            </wp:positionV>
            <wp:extent cx="102870" cy="102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1" w:lineRule="exact"/>
        <w:rPr>
          <w:sz w:val="20"/>
          <w:szCs w:val="20"/>
          <w:color w:val="auto"/>
        </w:rPr>
      </w:pPr>
    </w:p>
    <w:p>
      <w:pPr>
        <w:ind w:left="340" w:right="100"/>
        <w:spacing w:after="0" w:line="304" w:lineRule="auto"/>
        <w:rPr>
          <w:sz w:val="20"/>
          <w:szCs w:val="20"/>
          <w:color w:val="auto"/>
        </w:rPr>
      </w:pPr>
      <w:r>
        <w:rPr>
          <w:rFonts w:ascii="Arial" w:cs="Arial" w:eastAsia="Arial" w:hAnsi="Arial"/>
          <w:sz w:val="16"/>
          <w:szCs w:val="16"/>
          <w:b w:val="1"/>
          <w:bCs w:val="1"/>
          <w:color w:val="auto"/>
        </w:rPr>
        <w:t xml:space="preserve">Peer Group Comparison. </w:t>
      </w:r>
      <w:r>
        <w:rPr>
          <w:rFonts w:ascii="Arial" w:cs="Arial" w:eastAsia="Arial" w:hAnsi="Arial"/>
          <w:sz w:val="16"/>
          <w:szCs w:val="16"/>
          <w:color w:val="auto"/>
        </w:rPr>
        <w:t>We compare our executives total compensation to a consistent peer group for market comparable data. We evaluate that peer</w:t>
      </w:r>
      <w:r>
        <w:rPr>
          <w:rFonts w:ascii="Arial" w:cs="Arial" w:eastAsia="Arial" w:hAnsi="Arial"/>
          <w:sz w:val="16"/>
          <w:szCs w:val="16"/>
          <w:b w:val="1"/>
          <w:bCs w:val="1"/>
          <w:color w:val="auto"/>
        </w:rPr>
        <w:t xml:space="preserve"> </w:t>
      </w:r>
      <w:r>
        <w:rPr>
          <w:rFonts w:ascii="Arial" w:cs="Arial" w:eastAsia="Arial" w:hAnsi="Arial"/>
          <w:sz w:val="16"/>
          <w:szCs w:val="16"/>
          <w:color w:val="auto"/>
        </w:rPr>
        <w:t>group annually to ensure that it remains appropriate, but we add or remove peers only where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-283845</wp:posOffset>
            </wp:positionV>
            <wp:extent cx="10287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Discretionary Bonuses. </w:t>
      </w:r>
      <w:r>
        <w:rPr>
          <w:rFonts w:ascii="Arial" w:cs="Arial" w:eastAsia="Arial" w:hAnsi="Arial"/>
          <w:sz w:val="16"/>
          <w:szCs w:val="16"/>
          <w:color w:val="auto"/>
        </w:rPr>
        <w:t>We do not pay discretionary bonuses except in the case of extraordinary achievement or sign-on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Multi-Year Bonuses. </w:t>
      </w:r>
      <w:r>
        <w:rPr>
          <w:rFonts w:ascii="Arial" w:cs="Arial" w:eastAsia="Arial" w:hAnsi="Arial"/>
          <w:sz w:val="16"/>
          <w:szCs w:val="16"/>
          <w:color w:val="auto"/>
        </w:rPr>
        <w:t>We do not pay multi-year guaranteed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right="380"/>
        <w:spacing w:after="0" w:line="304" w:lineRule="auto"/>
        <w:rPr>
          <w:sz w:val="20"/>
          <w:szCs w:val="20"/>
          <w:color w:val="auto"/>
        </w:rPr>
      </w:pPr>
      <w:r>
        <w:rPr>
          <w:rFonts w:ascii="Arial" w:cs="Arial" w:eastAsia="Arial" w:hAnsi="Arial"/>
          <w:sz w:val="16"/>
          <w:szCs w:val="16"/>
          <w:b w:val="1"/>
          <w:bCs w:val="1"/>
          <w:color w:val="auto"/>
        </w:rPr>
        <w:t xml:space="preserve">Automatic Base Salary Increases. </w:t>
      </w:r>
      <w:r>
        <w:rPr>
          <w:rFonts w:ascii="Arial" w:cs="Arial" w:eastAsia="Arial" w:hAnsi="Arial"/>
          <w:sz w:val="16"/>
          <w:szCs w:val="16"/>
          <w:color w:val="auto"/>
        </w:rPr>
        <w:t>Our NEOs base salaries are reviewed annually and our CEO’s and CFO’s salaries were not increased in 2014 or</w:t>
      </w:r>
      <w:r>
        <w:rPr>
          <w:rFonts w:ascii="Arial" w:cs="Arial" w:eastAsia="Arial" w:hAnsi="Arial"/>
          <w:sz w:val="16"/>
          <w:szCs w:val="16"/>
          <w:b w:val="1"/>
          <w:bCs w:val="1"/>
          <w:color w:val="auto"/>
        </w:rPr>
        <w:t xml:space="preserve"> </w:t>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-283845</wp:posOffset>
            </wp:positionV>
            <wp:extent cx="94615" cy="857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Tax Gross Ups. </w:t>
      </w:r>
      <w:r>
        <w:rPr>
          <w:rFonts w:ascii="Arial" w:cs="Arial" w:eastAsia="Arial" w:hAnsi="Arial"/>
          <w:sz w:val="16"/>
          <w:szCs w:val="16"/>
          <w:color w:val="auto"/>
        </w:rPr>
        <w:t>We do not provide Section 280G or Section 409A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Hedging Company Stock. </w:t>
      </w:r>
      <w:r>
        <w:rPr>
          <w:rFonts w:ascii="Arial" w:cs="Arial" w:eastAsia="Arial" w:hAnsi="Arial"/>
          <w:sz w:val="16"/>
          <w:szCs w:val="16"/>
          <w:color w:val="auto"/>
        </w:rPr>
        <w:t>We prohibit our executives, as well as directors, from engaging in hedging or derivative transactions involving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right="20"/>
        <w:spacing w:after="0" w:line="304"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Effective as of March 2015, our Board of Directors has determined that no new employment agreements will be given to future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-283845</wp:posOffset>
            </wp:positionV>
            <wp:extent cx="94615" cy="857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97"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KEY ELEMENTS OF EXECUTIVE COMPENSATION</w:t>
      </w:r>
    </w:p>
    <w:p>
      <w:pPr>
        <w:spacing w:after="0" w:line="37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Weatherford’s compensation program is designed to reward executives for financial and operational achievements that are aligned with shareholder interests.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units and restricted share units. We also provide our NEOs certain retirement and benefit plans, as well as limited perquisites, which are described in detail under “Elements of our Executive Compensation Program” beginning on page 33. The following tables summarize the primary elements of our NEOs’ compensation package.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Compensation Element</w:t>
            </w:r>
          </w:p>
        </w:tc>
        <w:tc>
          <w:tcPr>
            <w:tcW w:w="26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Objective</w:t>
            </w: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Key Features</w:t>
            </w:r>
          </w:p>
        </w:tc>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Performance-Based?</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2014 Results</w:t>
            </w:r>
          </w:p>
        </w:tc>
      </w:tr>
      <w:tr>
        <w:trPr>
          <w:trHeight w:val="191"/>
        </w:trPr>
        <w:tc>
          <w:tcPr>
            <w:tcW w:w="1880" w:type="dxa"/>
            <w:vAlign w:val="bottom"/>
          </w:tcPr>
          <w:p>
            <w:pPr>
              <w:spacing w:after="0"/>
              <w:rPr>
                <w:sz w:val="20"/>
                <w:szCs w:val="20"/>
                <w:color w:val="auto"/>
              </w:rPr>
            </w:pPr>
            <w:r>
              <w:rPr>
                <w:rFonts w:ascii="Arial" w:cs="Arial" w:eastAsia="Arial" w:hAnsi="Arial"/>
                <w:sz w:val="16"/>
                <w:szCs w:val="16"/>
                <w:b w:val="1"/>
                <w:bCs w:val="1"/>
                <w:color w:val="auto"/>
              </w:rPr>
              <w:t>Base Salary</w:t>
            </w:r>
          </w:p>
        </w:tc>
        <w:tc>
          <w:tcPr>
            <w:tcW w:w="2600" w:type="dxa"/>
            <w:vAlign w:val="bottom"/>
          </w:tcPr>
          <w:p>
            <w:pPr>
              <w:ind w:left="200"/>
              <w:spacing w:after="0"/>
              <w:rPr>
                <w:sz w:val="20"/>
                <w:szCs w:val="20"/>
                <w:color w:val="auto"/>
              </w:rPr>
            </w:pPr>
            <w:r>
              <w:rPr>
                <w:rFonts w:ascii="Arial" w:cs="Arial" w:eastAsia="Arial" w:hAnsi="Arial"/>
                <w:sz w:val="16"/>
                <w:szCs w:val="16"/>
                <w:color w:val="auto"/>
              </w:rPr>
              <w:t>Provides regular income at</w:t>
            </w:r>
          </w:p>
        </w:tc>
        <w:tc>
          <w:tcPr>
            <w:tcW w:w="2260" w:type="dxa"/>
            <w:vAlign w:val="bottom"/>
          </w:tcPr>
          <w:p>
            <w:pPr>
              <w:ind w:left="120"/>
              <w:spacing w:after="0"/>
              <w:rPr>
                <w:sz w:val="20"/>
                <w:szCs w:val="20"/>
                <w:color w:val="auto"/>
              </w:rPr>
            </w:pPr>
            <w:r>
              <w:rPr>
                <w:rFonts w:ascii="Arial" w:cs="Arial" w:eastAsia="Arial" w:hAnsi="Arial"/>
                <w:sz w:val="16"/>
                <w:szCs w:val="16"/>
                <w:color w:val="auto"/>
              </w:rPr>
              <w:t>Reviewed annually and</w:t>
            </w:r>
          </w:p>
        </w:tc>
        <w:tc>
          <w:tcPr>
            <w:tcW w:w="2240" w:type="dxa"/>
            <w:vAlign w:val="bottom"/>
          </w:tcPr>
          <w:p>
            <w:pPr>
              <w:ind w:left="140"/>
              <w:spacing w:after="0"/>
              <w:rPr>
                <w:sz w:val="20"/>
                <w:szCs w:val="20"/>
                <w:color w:val="auto"/>
              </w:rPr>
            </w:pPr>
            <w:r>
              <w:rPr>
                <w:rFonts w:ascii="Arial" w:cs="Arial" w:eastAsia="Arial" w:hAnsi="Arial"/>
                <w:sz w:val="16"/>
                <w:szCs w:val="16"/>
                <w:color w:val="auto"/>
              </w:rPr>
              <w:t>No, but increases are not</w:t>
            </w:r>
          </w:p>
        </w:tc>
        <w:tc>
          <w:tcPr>
            <w:tcW w:w="2440" w:type="dxa"/>
            <w:vAlign w:val="bottom"/>
          </w:tcPr>
          <w:p>
            <w:pPr>
              <w:ind w:left="280"/>
              <w:spacing w:after="0"/>
              <w:rPr>
                <w:sz w:val="20"/>
                <w:szCs w:val="20"/>
                <w:color w:val="auto"/>
              </w:rPr>
            </w:pPr>
            <w:r>
              <w:rPr>
                <w:rFonts w:ascii="Arial" w:cs="Arial" w:eastAsia="Arial" w:hAnsi="Arial"/>
                <w:sz w:val="16"/>
                <w:szCs w:val="16"/>
                <w:color w:val="auto"/>
              </w:rPr>
              <w:t>No increases for CEO or CFO</w:t>
            </w: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reasonable, competitive levels,</w:t>
            </w:r>
          </w:p>
        </w:tc>
        <w:tc>
          <w:tcPr>
            <w:tcW w:w="2260" w:type="dxa"/>
            <w:vAlign w:val="bottom"/>
          </w:tcPr>
          <w:p>
            <w:pPr>
              <w:ind w:left="120"/>
              <w:spacing w:after="0"/>
              <w:rPr>
                <w:sz w:val="20"/>
                <w:szCs w:val="20"/>
                <w:color w:val="auto"/>
              </w:rPr>
            </w:pPr>
            <w:r>
              <w:rPr>
                <w:rFonts w:ascii="Arial" w:cs="Arial" w:eastAsia="Arial" w:hAnsi="Arial"/>
                <w:sz w:val="16"/>
                <w:szCs w:val="16"/>
                <w:color w:val="auto"/>
              </w:rPr>
              <w:t>subject to adjustment based</w:t>
            </w:r>
          </w:p>
        </w:tc>
        <w:tc>
          <w:tcPr>
            <w:tcW w:w="2240" w:type="dxa"/>
            <w:vAlign w:val="bottom"/>
          </w:tcPr>
          <w:p>
            <w:pPr>
              <w:ind w:left="140"/>
              <w:spacing w:after="0"/>
              <w:rPr>
                <w:sz w:val="20"/>
                <w:szCs w:val="20"/>
                <w:color w:val="auto"/>
              </w:rPr>
            </w:pPr>
            <w:r>
              <w:rPr>
                <w:rFonts w:ascii="Arial" w:cs="Arial" w:eastAsia="Arial" w:hAnsi="Arial"/>
                <w:sz w:val="16"/>
                <w:szCs w:val="16"/>
                <w:color w:val="auto"/>
              </w:rPr>
              <w:t>guaranteed</w:t>
            </w:r>
          </w:p>
        </w:tc>
        <w:tc>
          <w:tcPr>
            <w:tcW w:w="2440" w:type="dxa"/>
            <w:vAlign w:val="bottom"/>
          </w:tcPr>
          <w:p>
            <w:pPr>
              <w:ind w:left="280"/>
              <w:spacing w:after="0"/>
              <w:rPr>
                <w:sz w:val="20"/>
                <w:szCs w:val="20"/>
                <w:color w:val="auto"/>
              </w:rPr>
            </w:pPr>
            <w:r>
              <w:rPr>
                <w:rFonts w:ascii="Arial" w:cs="Arial" w:eastAsia="Arial" w:hAnsi="Arial"/>
                <w:sz w:val="16"/>
                <w:szCs w:val="16"/>
                <w:color w:val="auto"/>
              </w:rPr>
              <w:t>from 2013 to 2015; other</w:t>
            </w: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reflecting scope of</w:t>
            </w:r>
          </w:p>
        </w:tc>
        <w:tc>
          <w:tcPr>
            <w:tcW w:w="2260" w:type="dxa"/>
            <w:vAlign w:val="bottom"/>
          </w:tcPr>
          <w:p>
            <w:pPr>
              <w:ind w:left="120"/>
              <w:spacing w:after="0"/>
              <w:rPr>
                <w:sz w:val="20"/>
                <w:szCs w:val="20"/>
                <w:color w:val="auto"/>
              </w:rPr>
            </w:pPr>
            <w:r>
              <w:rPr>
                <w:rFonts w:ascii="Arial" w:cs="Arial" w:eastAsia="Arial" w:hAnsi="Arial"/>
                <w:sz w:val="16"/>
                <w:szCs w:val="16"/>
                <w:color w:val="auto"/>
              </w:rPr>
              <w:t>on individual performance,</w:t>
            </w:r>
          </w:p>
        </w:tc>
        <w:tc>
          <w:tcPr>
            <w:tcW w:w="224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NEO increases on page 34</w:t>
            </w: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responsibilities, job</w:t>
            </w:r>
          </w:p>
        </w:tc>
        <w:tc>
          <w:tcPr>
            <w:tcW w:w="2260" w:type="dxa"/>
            <w:vAlign w:val="bottom"/>
          </w:tcPr>
          <w:p>
            <w:pPr>
              <w:ind w:left="120"/>
              <w:spacing w:after="0"/>
              <w:rPr>
                <w:sz w:val="20"/>
                <w:szCs w:val="20"/>
                <w:color w:val="auto"/>
              </w:rPr>
            </w:pPr>
            <w:r>
              <w:rPr>
                <w:rFonts w:ascii="Arial" w:cs="Arial" w:eastAsia="Arial" w:hAnsi="Arial"/>
                <w:sz w:val="16"/>
                <w:szCs w:val="16"/>
                <w:color w:val="auto"/>
              </w:rPr>
              <w:t>experience, leadership and</w:t>
            </w: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characteristics, leadership skills</w:t>
            </w:r>
          </w:p>
        </w:tc>
        <w:tc>
          <w:tcPr>
            <w:tcW w:w="2260" w:type="dxa"/>
            <w:vAlign w:val="bottom"/>
          </w:tcPr>
          <w:p>
            <w:pPr>
              <w:ind w:left="120"/>
              <w:spacing w:after="0"/>
              <w:rPr>
                <w:sz w:val="20"/>
                <w:szCs w:val="20"/>
                <w:color w:val="auto"/>
              </w:rPr>
            </w:pPr>
            <w:r>
              <w:rPr>
                <w:rFonts w:ascii="Arial" w:cs="Arial" w:eastAsia="Arial" w:hAnsi="Arial"/>
                <w:sz w:val="16"/>
                <w:szCs w:val="16"/>
                <w:color w:val="auto"/>
              </w:rPr>
              <w:t>market factors</w:t>
            </w: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95"/>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and experience</w:t>
            </w: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tbl>
      <w:tblPr>
        <w:tblLayout w:type="fixed"/>
        <w:tblInd w:w="0" w:type="dxa"/>
        <w:tblCellMar>
          <w:top w:w="0" w:type="dxa"/>
          <w:left w:w="0" w:type="dxa"/>
          <w:bottom w:w="0" w:type="dxa"/>
          <w:right w:w="0" w:type="dxa"/>
        </w:tblCellMar>
      </w:tblPr>
      <w:tr>
        <w:trPr>
          <w:trHeight w:val="197"/>
        </w:trPr>
        <w:tc>
          <w:tcPr>
            <w:tcW w:w="1920" w:type="dxa"/>
            <w:vAlign w:val="bottom"/>
          </w:tcPr>
          <w:p>
            <w:pPr>
              <w:spacing w:after="0"/>
              <w:rPr>
                <w:sz w:val="20"/>
                <w:szCs w:val="20"/>
                <w:color w:val="auto"/>
              </w:rPr>
            </w:pPr>
            <w:r>
              <w:rPr>
                <w:rFonts w:ascii="Arial" w:cs="Arial" w:eastAsia="Arial" w:hAnsi="Arial"/>
                <w:sz w:val="16"/>
                <w:szCs w:val="16"/>
                <w:b w:val="1"/>
                <w:bCs w:val="1"/>
                <w:color w:val="auto"/>
              </w:rPr>
              <w:t>Annual Cash Incentive</w:t>
            </w:r>
          </w:p>
        </w:tc>
        <w:tc>
          <w:tcPr>
            <w:tcW w:w="2500" w:type="dxa"/>
            <w:vAlign w:val="bottom"/>
          </w:tcPr>
          <w:p>
            <w:pPr>
              <w:ind w:left="160"/>
              <w:spacing w:after="0"/>
              <w:rPr>
                <w:sz w:val="20"/>
                <w:szCs w:val="20"/>
                <w:color w:val="auto"/>
              </w:rPr>
            </w:pPr>
            <w:r>
              <w:rPr>
                <w:rFonts w:ascii="Arial" w:cs="Arial" w:eastAsia="Arial" w:hAnsi="Arial"/>
                <w:sz w:val="16"/>
                <w:szCs w:val="16"/>
                <w:color w:val="auto"/>
              </w:rPr>
              <w:t>Rewards contributions to the</w:t>
            </w:r>
          </w:p>
        </w:tc>
        <w:tc>
          <w:tcPr>
            <w:tcW w:w="2260" w:type="dxa"/>
            <w:vAlign w:val="bottom"/>
          </w:tcPr>
          <w:p>
            <w:pPr>
              <w:ind w:left="180"/>
              <w:spacing w:after="0"/>
              <w:rPr>
                <w:sz w:val="20"/>
                <w:szCs w:val="20"/>
                <w:color w:val="auto"/>
              </w:rPr>
            </w:pPr>
            <w:r>
              <w:rPr>
                <w:rFonts w:ascii="Arial" w:cs="Arial" w:eastAsia="Arial" w:hAnsi="Arial"/>
                <w:sz w:val="16"/>
                <w:szCs w:val="16"/>
                <w:color w:val="auto"/>
              </w:rPr>
              <w:t>Compensation Committee</w:t>
            </w:r>
          </w:p>
        </w:tc>
        <w:tc>
          <w:tcPr>
            <w:tcW w:w="2320" w:type="dxa"/>
            <w:vAlign w:val="bottom"/>
          </w:tcPr>
          <w:p>
            <w:pPr>
              <w:ind w:left="200"/>
              <w:spacing w:after="0"/>
              <w:rPr>
                <w:sz w:val="20"/>
                <w:szCs w:val="20"/>
                <w:color w:val="auto"/>
              </w:rPr>
            </w:pPr>
            <w:r>
              <w:rPr>
                <w:rFonts w:ascii="Arial" w:cs="Arial" w:eastAsia="Arial" w:hAnsi="Arial"/>
                <w:sz w:val="16"/>
                <w:szCs w:val="16"/>
                <w:color w:val="auto"/>
              </w:rPr>
              <w:t>Yes, pays out based on</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achievement of annual targets</w:t>
            </w:r>
          </w:p>
        </w:tc>
        <w:tc>
          <w:tcPr>
            <w:tcW w:w="2260" w:type="dxa"/>
            <w:vAlign w:val="bottom"/>
          </w:tcPr>
          <w:p>
            <w:pPr>
              <w:ind w:left="180"/>
              <w:spacing w:after="0"/>
              <w:rPr>
                <w:sz w:val="20"/>
                <w:szCs w:val="20"/>
                <w:color w:val="auto"/>
              </w:rPr>
            </w:pPr>
            <w:r>
              <w:rPr>
                <w:rFonts w:ascii="Arial" w:cs="Arial" w:eastAsia="Arial" w:hAnsi="Arial"/>
                <w:sz w:val="16"/>
                <w:szCs w:val="16"/>
                <w:color w:val="auto"/>
              </w:rPr>
              <w:t>establishes performance</w:t>
            </w:r>
          </w:p>
        </w:tc>
        <w:tc>
          <w:tcPr>
            <w:tcW w:w="2320" w:type="dxa"/>
            <w:vAlign w:val="bottom"/>
          </w:tcPr>
          <w:p>
            <w:pPr>
              <w:ind w:left="200"/>
              <w:spacing w:after="0"/>
              <w:rPr>
                <w:sz w:val="20"/>
                <w:szCs w:val="20"/>
                <w:color w:val="auto"/>
              </w:rPr>
            </w:pPr>
            <w:r>
              <w:rPr>
                <w:rFonts w:ascii="Arial" w:cs="Arial" w:eastAsia="Arial" w:hAnsi="Arial"/>
                <w:sz w:val="16"/>
                <w:szCs w:val="16"/>
                <w:color w:val="auto"/>
              </w:rPr>
              <w:t>achievement of measurable</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and individual performance;</w:t>
            </w:r>
          </w:p>
        </w:tc>
        <w:tc>
          <w:tcPr>
            <w:tcW w:w="2260" w:type="dxa"/>
            <w:vAlign w:val="bottom"/>
          </w:tcPr>
          <w:p>
            <w:pPr>
              <w:ind w:left="180"/>
              <w:spacing w:after="0"/>
              <w:rPr>
                <w:sz w:val="20"/>
                <w:szCs w:val="20"/>
                <w:color w:val="auto"/>
              </w:rPr>
            </w:pPr>
            <w:r>
              <w:rPr>
                <w:rFonts w:ascii="Arial" w:cs="Arial" w:eastAsia="Arial" w:hAnsi="Arial"/>
                <w:sz w:val="16"/>
                <w:szCs w:val="16"/>
                <w:color w:val="auto"/>
              </w:rPr>
              <w:t>measures to align</w:t>
            </w:r>
          </w:p>
        </w:tc>
        <w:tc>
          <w:tcPr>
            <w:tcW w:w="2320" w:type="dxa"/>
            <w:vAlign w:val="bottom"/>
          </w:tcPr>
          <w:p>
            <w:pPr>
              <w:ind w:left="200"/>
              <w:spacing w:after="0"/>
              <w:rPr>
                <w:sz w:val="20"/>
                <w:szCs w:val="20"/>
                <w:color w:val="auto"/>
              </w:rPr>
            </w:pPr>
            <w:r>
              <w:rPr>
                <w:rFonts w:ascii="Arial" w:cs="Arial" w:eastAsia="Arial" w:hAnsi="Arial"/>
                <w:sz w:val="16"/>
                <w:szCs w:val="16"/>
                <w:color w:val="auto"/>
              </w:rPr>
              <w:t>pre-established goals; will not</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focuses attention on key</w:t>
            </w:r>
          </w:p>
        </w:tc>
        <w:tc>
          <w:tcPr>
            <w:tcW w:w="2260" w:type="dxa"/>
            <w:vAlign w:val="bottom"/>
          </w:tcPr>
          <w:p>
            <w:pPr>
              <w:ind w:left="180"/>
              <w:spacing w:after="0"/>
              <w:rPr>
                <w:sz w:val="20"/>
                <w:szCs w:val="20"/>
                <w:color w:val="auto"/>
              </w:rPr>
            </w:pPr>
            <w:r>
              <w:rPr>
                <w:rFonts w:ascii="Arial" w:cs="Arial" w:eastAsia="Arial" w:hAnsi="Arial"/>
                <w:sz w:val="16"/>
                <w:szCs w:val="16"/>
                <w:color w:val="auto"/>
              </w:rPr>
              <w:t>performance relative to</w:t>
            </w:r>
          </w:p>
        </w:tc>
        <w:tc>
          <w:tcPr>
            <w:tcW w:w="2320" w:type="dxa"/>
            <w:vAlign w:val="bottom"/>
          </w:tcPr>
          <w:p>
            <w:pPr>
              <w:ind w:left="200"/>
              <w:spacing w:after="0"/>
              <w:rPr>
                <w:sz w:val="20"/>
                <w:szCs w:val="20"/>
                <w:color w:val="auto"/>
              </w:rPr>
            </w:pPr>
            <w:r>
              <w:rPr>
                <w:rFonts w:ascii="Arial" w:cs="Arial" w:eastAsia="Arial" w:hAnsi="Arial"/>
                <w:sz w:val="16"/>
                <w:szCs w:val="16"/>
                <w:color w:val="auto"/>
              </w:rPr>
              <w:t>pay out if goals are not met</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operational and financial</w:t>
            </w:r>
          </w:p>
        </w:tc>
        <w:tc>
          <w:tcPr>
            <w:tcW w:w="2260" w:type="dxa"/>
            <w:vAlign w:val="bottom"/>
          </w:tcPr>
          <w:p>
            <w:pPr>
              <w:ind w:left="180"/>
              <w:spacing w:after="0"/>
              <w:rPr>
                <w:sz w:val="20"/>
                <w:szCs w:val="20"/>
                <w:color w:val="auto"/>
              </w:rPr>
            </w:pPr>
            <w:r>
              <w:rPr>
                <w:rFonts w:ascii="Arial" w:cs="Arial" w:eastAsia="Arial" w:hAnsi="Arial"/>
                <w:sz w:val="16"/>
                <w:szCs w:val="16"/>
                <w:color w:val="auto"/>
              </w:rPr>
              <w:t>goals, ultimately driving</w:t>
            </w:r>
          </w:p>
        </w:tc>
        <w:tc>
          <w:tcPr>
            <w:tcW w:w="2320" w:type="dxa"/>
            <w:vAlign w:val="bottom"/>
          </w:tcPr>
          <w:p>
            <w:pPr>
              <w:spacing w:after="0"/>
              <w:rPr>
                <w:sz w:val="16"/>
                <w:szCs w:val="16"/>
                <w:color w:val="auto"/>
              </w:rPr>
            </w:pPr>
          </w:p>
        </w:tc>
      </w:tr>
      <w:tr>
        <w:trPr>
          <w:trHeight w:val="195"/>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measures</w:t>
            </w:r>
          </w:p>
        </w:tc>
        <w:tc>
          <w:tcPr>
            <w:tcW w:w="2260" w:type="dxa"/>
            <w:vAlign w:val="bottom"/>
          </w:tcPr>
          <w:p>
            <w:pPr>
              <w:ind w:left="180"/>
              <w:spacing w:after="0"/>
              <w:rPr>
                <w:sz w:val="20"/>
                <w:szCs w:val="20"/>
                <w:color w:val="auto"/>
              </w:rPr>
            </w:pPr>
            <w:r>
              <w:rPr>
                <w:rFonts w:ascii="Arial" w:cs="Arial" w:eastAsia="Arial" w:hAnsi="Arial"/>
                <w:sz w:val="16"/>
                <w:szCs w:val="16"/>
                <w:color w:val="auto"/>
              </w:rPr>
              <w:t>shareholder value</w:t>
            </w:r>
          </w:p>
        </w:tc>
        <w:tc>
          <w:tcPr>
            <w:tcW w:w="2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50" w:lineRule="auto"/>
        <w:rPr>
          <w:sz w:val="20"/>
          <w:szCs w:val="20"/>
          <w:color w:val="auto"/>
        </w:rPr>
      </w:pPr>
      <w:r>
        <w:rPr>
          <w:rFonts w:ascii="Arial" w:cs="Arial" w:eastAsia="Arial" w:hAnsi="Arial"/>
          <w:sz w:val="16"/>
          <w:szCs w:val="16"/>
          <w:color w:val="auto"/>
        </w:rPr>
        <w:t>Company achieved majority of objectives, some at superior levels; see “Pay for Performance Alignment” below</w:t>
      </w:r>
    </w:p>
    <w:p>
      <w:pPr>
        <w:spacing w:after="0" w:line="182" w:lineRule="exact"/>
        <w:rPr>
          <w:sz w:val="20"/>
          <w:szCs w:val="20"/>
          <w:color w:val="auto"/>
        </w:rPr>
      </w:pPr>
    </w:p>
    <w:p>
      <w:pPr>
        <w:sectPr>
          <w:pgSz w:w="11900" w:h="16838" w:orient="portrait"/>
          <w:cols w:equalWidth="0" w:num="2">
            <w:col w:w="9000" w:space="260"/>
            <w:col w:w="2160"/>
          </w:cols>
          <w:pgMar w:left="240" w:top="514" w:right="239" w:bottom="1440" w:gutter="0" w:footer="0" w:header="0"/>
          <w:type w:val="continuous"/>
        </w:sectPr>
      </w:pPr>
    </w:p>
    <w:p>
      <w:pPr>
        <w:spacing w:after="0"/>
        <w:tabs>
          <w:tab w:leader="none" w:pos="2060" w:val="left"/>
        </w:tabs>
        <w:rPr>
          <w:sz w:val="20"/>
          <w:szCs w:val="20"/>
          <w:color w:val="auto"/>
        </w:rPr>
      </w:pPr>
      <w:r>
        <w:rPr>
          <w:rFonts w:ascii="Arial" w:cs="Arial" w:eastAsia="Arial" w:hAnsi="Arial"/>
          <w:sz w:val="16"/>
          <w:szCs w:val="16"/>
          <w:b w:val="1"/>
          <w:bCs w:val="1"/>
          <w:color w:val="auto"/>
        </w:rPr>
        <w:t>Performance Units</w:t>
      </w:r>
      <w:r>
        <w:rPr>
          <w:sz w:val="20"/>
          <w:szCs w:val="20"/>
          <w:color w:val="auto"/>
        </w:rPr>
        <w:tab/>
      </w:r>
      <w:r>
        <w:rPr>
          <w:rFonts w:ascii="Arial" w:cs="Arial" w:eastAsia="Arial" w:hAnsi="Arial"/>
          <w:sz w:val="16"/>
          <w:szCs w:val="16"/>
          <w:color w:val="auto"/>
        </w:rPr>
        <w:t>Correlates realized pay with</w:t>
      </w:r>
    </w:p>
    <w:p>
      <w:pPr>
        <w:spacing w:after="0" w:line="13"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(Long-Term Equity</w:t>
      </w:r>
      <w:r>
        <w:rPr>
          <w:sz w:val="20"/>
          <w:szCs w:val="20"/>
          <w:color w:val="auto"/>
        </w:rPr>
        <w:tab/>
      </w:r>
      <w:r>
        <w:rPr>
          <w:rFonts w:ascii="Arial" w:cs="Arial" w:eastAsia="Arial" w:hAnsi="Arial"/>
          <w:sz w:val="16"/>
          <w:szCs w:val="16"/>
          <w:color w:val="auto"/>
        </w:rPr>
        <w:t>increases in shareholder value</w:t>
      </w:r>
    </w:p>
    <w:p>
      <w:pPr>
        <w:spacing w:after="0" w:line="5"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Awards)</w:t>
      </w:r>
      <w:r>
        <w:rPr>
          <w:sz w:val="20"/>
          <w:szCs w:val="20"/>
          <w:color w:val="auto"/>
        </w:rPr>
        <w:tab/>
      </w:r>
      <w:r>
        <w:rPr>
          <w:rFonts w:ascii="Arial" w:cs="Arial" w:eastAsia="Arial" w:hAnsi="Arial"/>
          <w:sz w:val="16"/>
          <w:szCs w:val="16"/>
          <w:color w:val="auto"/>
        </w:rPr>
        <w:t>in absolute terms over the long</w:t>
      </w:r>
    </w:p>
    <w:p>
      <w:pPr>
        <w:spacing w:after="0" w:line="5"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In periods of low shareholder return, executives realize little or no value; in periods of high shareholder return, executives may realize substantial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-1905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6"/>
          <w:szCs w:val="16"/>
          <w:color w:val="auto"/>
        </w:rPr>
        <w:t>Yes, pays out only based on increased shareholder value; may not vest depending upon shareholder return</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6"/>
          <w:szCs w:val="16"/>
          <w:color w:val="auto"/>
        </w:rPr>
        <w:t>See Summary Compensation Table on page 44 for grants and grant date fair value 2014 awards did not vest in 2015 based on stock price on December 31, 2014</w:t>
      </w:r>
    </w:p>
    <w:p>
      <w:pPr>
        <w:spacing w:after="0" w:line="170" w:lineRule="exact"/>
        <w:rPr>
          <w:sz w:val="20"/>
          <w:szCs w:val="20"/>
          <w:color w:val="auto"/>
        </w:rPr>
      </w:pPr>
    </w:p>
    <w:p>
      <w:pPr>
        <w:sectPr>
          <w:pgSz w:w="11900" w:h="16838" w:orient="portrait"/>
          <w:cols w:equalWidth="0" w:num="4">
            <w:col w:w="4300" w:space="300"/>
            <w:col w:w="2040" w:space="240"/>
            <w:col w:w="2120" w:space="260"/>
            <w:col w:w="2160"/>
          </w:cols>
          <w:pgMar w:left="240" w:top="514" w:right="239" w:bottom="1440" w:gutter="0" w:footer="0" w:header="0"/>
          <w:type w:val="continuous"/>
        </w:sectPr>
      </w:pPr>
    </w:p>
    <w:p>
      <w:pPr>
        <w:spacing w:after="0"/>
        <w:tabs>
          <w:tab w:leader="none" w:pos="2060" w:val="left"/>
        </w:tabs>
        <w:rPr>
          <w:sz w:val="20"/>
          <w:szCs w:val="20"/>
          <w:color w:val="auto"/>
        </w:rPr>
      </w:pPr>
      <w:r>
        <w:rPr>
          <w:rFonts w:ascii="Arial" w:cs="Arial" w:eastAsia="Arial" w:hAnsi="Arial"/>
          <w:sz w:val="16"/>
          <w:szCs w:val="16"/>
          <w:b w:val="1"/>
          <w:bCs w:val="1"/>
          <w:color w:val="auto"/>
        </w:rPr>
        <w:t>Restricted Share Units</w:t>
      </w:r>
      <w:r>
        <w:rPr>
          <w:sz w:val="20"/>
          <w:szCs w:val="20"/>
          <w:color w:val="auto"/>
        </w:rPr>
        <w:tab/>
      </w:r>
      <w:r>
        <w:rPr>
          <w:rFonts w:ascii="Arial" w:cs="Arial" w:eastAsia="Arial" w:hAnsi="Arial"/>
          <w:sz w:val="16"/>
          <w:szCs w:val="16"/>
          <w:color w:val="auto"/>
        </w:rPr>
        <w:t>Incentivizes management</w:t>
      </w:r>
    </w:p>
    <w:p>
      <w:pPr>
        <w:spacing w:after="0" w:line="13"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(Long-Term Equity</w:t>
      </w:r>
      <w:r>
        <w:rPr>
          <w:sz w:val="20"/>
          <w:szCs w:val="20"/>
          <w:color w:val="auto"/>
        </w:rPr>
        <w:tab/>
      </w:r>
      <w:r>
        <w:rPr>
          <w:rFonts w:ascii="Arial" w:cs="Arial" w:eastAsia="Arial" w:hAnsi="Arial"/>
          <w:sz w:val="16"/>
          <w:szCs w:val="16"/>
          <w:color w:val="auto"/>
        </w:rPr>
        <w:t>contributions to long-term</w:t>
      </w:r>
    </w:p>
    <w:p>
      <w:pPr>
        <w:spacing w:after="0" w:line="5"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Awards)</w:t>
      </w:r>
      <w:r>
        <w:rPr>
          <w:sz w:val="20"/>
          <w:szCs w:val="20"/>
          <w:color w:val="auto"/>
        </w:rPr>
        <w:tab/>
      </w:r>
      <w:r>
        <w:rPr>
          <w:rFonts w:ascii="Arial" w:cs="Arial" w:eastAsia="Arial" w:hAnsi="Arial"/>
          <w:sz w:val="16"/>
          <w:szCs w:val="16"/>
          <w:color w:val="auto"/>
        </w:rPr>
        <w:t>increases in shareholder value;</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helps to retain executives in the</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competitive energy market</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6"/>
          <w:szCs w:val="16"/>
          <w:color w:val="auto"/>
        </w:rPr>
        <w:t>A portion of executive compensation is paid in equity, and value is realized based on future share price; provides a direct correlation of realized pay to changes in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-5080</wp:posOffset>
            </wp:positionV>
            <wp:extent cx="72466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208280</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6"/>
          <w:szCs w:val="16"/>
          <w:color w:val="auto"/>
        </w:rPr>
        <w:t>Yes, value increases or decreases in correlation to share price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See Summary Compensation Table on page 44 for grants and grant date fair value</w:t>
      </w:r>
    </w:p>
    <w:p>
      <w:pPr>
        <w:spacing w:after="0" w:line="948" w:lineRule="exact"/>
        <w:rPr>
          <w:sz w:val="20"/>
          <w:szCs w:val="20"/>
          <w:color w:val="auto"/>
        </w:rPr>
      </w:pPr>
    </w:p>
    <w:p>
      <w:pPr>
        <w:sectPr>
          <w:pgSz w:w="11900" w:h="16838" w:orient="portrait"/>
          <w:cols w:equalWidth="0" w:num="4">
            <w:col w:w="4340" w:space="260"/>
            <w:col w:w="2060" w:space="220"/>
            <w:col w:w="1900" w:space="480"/>
            <w:col w:w="2160"/>
          </w:cols>
          <w:pgMar w:left="240" w:top="514"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PAY FOR PERFORMANCE ALIGNMENT</w:t>
      </w:r>
    </w:p>
    <w:p>
      <w:pPr>
        <w:spacing w:after="0" w:line="35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Non-Equity Cash Incentives</w:t>
      </w:r>
      <w:r>
        <w:rPr>
          <w:rFonts w:ascii="Arial" w:cs="Arial" w:eastAsia="Arial" w:hAnsi="Arial"/>
          <w:sz w:val="16"/>
          <w:szCs w:val="16"/>
          <w:color w:val="auto"/>
        </w:rPr>
        <w:t>. For 2014, the Committee evaluated the Company’s ongoing performance and adopted metrics that were designed to reflect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transformative goals and focus on the key strategies and objectives summarized below. These metrics were used in each NEOs non-equity incentive awards as further described on page 26. The year 2014 was a period of successful progression and Weatherford delivered as indicated below.</w:t>
      </w:r>
    </w:p>
    <w:p>
      <w:pPr>
        <w:sectPr>
          <w:pgSz w:w="11900" w:h="16838" w:orient="portrait"/>
          <w:cols w:equalWidth="0" w:num="1">
            <w:col w:w="11420"/>
          </w:cols>
          <w:pgMar w:left="240" w:top="514" w:right="239" w:bottom="1440" w:gutter="0" w:footer="0" w:header="0"/>
          <w:type w:val="continuous"/>
        </w:sectPr>
      </w:pPr>
    </w:p>
    <w:p>
      <w:pPr>
        <w:spacing w:after="0" w:line="159" w:lineRule="exact"/>
        <w:rPr>
          <w:sz w:val="20"/>
          <w:szCs w:val="20"/>
          <w:color w:val="auto"/>
        </w:rPr>
      </w:pPr>
    </w:p>
    <w:p>
      <w:pPr>
        <w:ind w:left="1240"/>
        <w:spacing w:after="0"/>
        <w:rPr>
          <w:sz w:val="20"/>
          <w:szCs w:val="20"/>
          <w:color w:val="auto"/>
        </w:rPr>
      </w:pPr>
      <w:r>
        <w:rPr>
          <w:rFonts w:ascii="Arial" w:cs="Arial" w:eastAsia="Arial" w:hAnsi="Arial"/>
          <w:sz w:val="25"/>
          <w:szCs w:val="25"/>
          <w:b w:val="1"/>
          <w:bCs w:val="1"/>
          <w:color w:val="CE0E41"/>
        </w:rPr>
        <w:t>STRATEGY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-179705</wp:posOffset>
            </wp:positionV>
            <wp:extent cx="579755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40" w:right="120"/>
        <w:spacing w:after="0" w:line="286" w:lineRule="auto"/>
        <w:rPr>
          <w:sz w:val="20"/>
          <w:szCs w:val="20"/>
          <w:color w:val="auto"/>
        </w:rPr>
      </w:pPr>
      <w:r>
        <w:rPr>
          <w:rFonts w:ascii="Arial" w:cs="Arial" w:eastAsia="Arial" w:hAnsi="Arial"/>
          <w:sz w:val="16"/>
          <w:szCs w:val="16"/>
          <w:b w:val="1"/>
          <w:bCs w:val="1"/>
          <w:color w:val="CE0C41"/>
        </w:rPr>
        <w:t>Focus on and grow the core of the Company’s business; measured by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-266065</wp:posOffset>
            </wp:positionV>
            <wp:extent cx="3833495" cy="2400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33495" cy="240030"/>
                    </a:xfrm>
                    <a:prstGeom prst="rect">
                      <a:avLst/>
                    </a:prstGeom>
                    <a:noFill/>
                  </pic:spPr>
                </pic:pic>
              </a:graphicData>
            </a:graphic>
          </wp:anchor>
        </w:drawing>
      </w:r>
    </w:p>
    <w:p>
      <w:pPr>
        <w:spacing w:after="0" w:line="109"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CE0C41"/>
        </w:rPr>
        <w:t>Reduce costs; measured by annualized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-104775</wp:posOffset>
            </wp:positionV>
            <wp:extent cx="3833495" cy="1200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33495" cy="120015"/>
                    </a:xfrm>
                    <a:prstGeom prst="rect">
                      <a:avLst/>
                    </a:prstGeom>
                    <a:noFill/>
                  </pic:spPr>
                </pic:pic>
              </a:graphicData>
            </a:graphic>
          </wp:anchor>
        </w:drawing>
      </w:r>
    </w:p>
    <w:p>
      <w:pPr>
        <w:spacing w:after="0" w:line="174" w:lineRule="exact"/>
        <w:rPr>
          <w:sz w:val="20"/>
          <w:szCs w:val="20"/>
          <w:color w:val="auto"/>
        </w:rPr>
      </w:pPr>
    </w:p>
    <w:p>
      <w:pPr>
        <w:ind w:left="1240"/>
        <w:spacing w:after="0" w:line="286" w:lineRule="auto"/>
        <w:rPr>
          <w:sz w:val="20"/>
          <w:szCs w:val="20"/>
          <w:color w:val="auto"/>
        </w:rPr>
      </w:pPr>
      <w:r>
        <w:rPr>
          <w:rFonts w:ascii="Arial" w:cs="Arial" w:eastAsia="Arial" w:hAnsi="Arial"/>
          <w:sz w:val="16"/>
          <w:szCs w:val="16"/>
          <w:b w:val="1"/>
          <w:bCs w:val="1"/>
          <w:color w:val="CE0C41"/>
        </w:rPr>
        <w:t>Divest non-core businesses and reduce net debt; measured by net debt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-266065</wp:posOffset>
            </wp:positionV>
            <wp:extent cx="3833495" cy="2400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33495" cy="240030"/>
                    </a:xfrm>
                    <a:prstGeom prst="rect">
                      <a:avLst/>
                    </a:prstGeom>
                    <a:noFill/>
                  </pic:spPr>
                </pic:pic>
              </a:graphicData>
            </a:graphic>
          </wp:anchor>
        </w:drawing>
      </w:r>
    </w:p>
    <w:p>
      <w:pPr>
        <w:spacing w:after="0" w:line="109"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CE0C41"/>
        </w:rPr>
        <w:t>Generate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-104775</wp:posOffset>
            </wp:positionV>
            <wp:extent cx="3833495" cy="1200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33495" cy="120015"/>
                    </a:xfrm>
                    <a:prstGeom prst="rect">
                      <a:avLst/>
                    </a:prstGeom>
                    <a:noFill/>
                  </pic:spPr>
                </pic:pic>
              </a:graphicData>
            </a:graphic>
          </wp:anchor>
        </w:drawing>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CE0C41"/>
        </w:rPr>
        <w:t>Improve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-104775</wp:posOffset>
            </wp:positionV>
            <wp:extent cx="3833495" cy="1200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334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left="-59"/>
        <w:spacing w:after="0" w:line="268" w:lineRule="auto"/>
        <w:rPr>
          <w:sz w:val="20"/>
          <w:szCs w:val="20"/>
          <w:color w:val="auto"/>
        </w:rPr>
      </w:pPr>
      <w:r>
        <w:rPr>
          <w:rFonts w:ascii="Arial" w:cs="Arial" w:eastAsia="Arial" w:hAnsi="Arial"/>
          <w:sz w:val="25"/>
          <w:szCs w:val="25"/>
          <w:b w:val="1"/>
          <w:bCs w:val="1"/>
          <w:color w:val="CE0C41"/>
        </w:rPr>
        <w:t>PERFORMANCE THRESHOLD MET OR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-25400</wp:posOffset>
            </wp:positionV>
            <wp:extent cx="1964055" cy="2400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964055" cy="24003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w:t>
      </w:r>
      <w:r>
        <w:rPr>
          <w:sz w:val="1"/>
          <w:szCs w:val="1"/>
          <w:color w:val="auto"/>
        </w:rPr>
        <w:drawing>
          <wp:inline distT="0" distB="0" distL="0" distR="0">
            <wp:extent cx="94615" cy="8572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(Superior) </w:t>
      </w:r>
      <w:r>
        <w:rPr>
          <w:sz w:val="1"/>
          <w:szCs w:val="1"/>
          <w:color w:val="auto"/>
        </w:rPr>
        <w:drawing>
          <wp:inline distT="0" distB="0" distL="0" distR="0">
            <wp:extent cx="94615" cy="8572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-104775</wp:posOffset>
            </wp:positionV>
            <wp:extent cx="1964055" cy="1200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964055" cy="12001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134620</wp:posOffset>
            </wp:positionV>
            <wp:extent cx="1964055" cy="2400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964055" cy="24003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(Superior) </w:t>
      </w:r>
      <w:r>
        <w:rPr>
          <w:sz w:val="1"/>
          <w:szCs w:val="1"/>
          <w:color w:val="auto"/>
        </w:rPr>
        <w:drawing>
          <wp:inline distT="0" distB="0" distL="0" distR="0">
            <wp:extent cx="94615" cy="8572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w:t>
      </w:r>
      <w:r>
        <w:rPr>
          <w:sz w:val="1"/>
          <w:szCs w:val="1"/>
          <w:color w:val="auto"/>
        </w:rPr>
        <w:drawing>
          <wp:inline distT="0" distB="0" distL="0" distR="0">
            <wp:extent cx="94615" cy="9461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-104775</wp:posOffset>
            </wp:positionV>
            <wp:extent cx="1964055" cy="1200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64055" cy="1200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(Superior) </w:t>
      </w:r>
      <w:r>
        <w:rPr>
          <w:sz w:val="1"/>
          <w:szCs w:val="1"/>
          <w:color w:val="auto"/>
        </w:rPr>
        <w:drawing>
          <wp:inline distT="0" distB="0" distL="0" distR="0">
            <wp:extent cx="94615" cy="85725"/>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-104775</wp:posOffset>
            </wp:positionV>
            <wp:extent cx="1964055" cy="1200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640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600"/>
            <w:col w:w="4060"/>
          </w:cols>
          <w:pgMar w:left="240" w:top="514" w:right="239" w:bottom="1440" w:gutter="0" w:footer="0" w:header="0"/>
          <w:type w:val="continuous"/>
        </w:sectPr>
      </w:pPr>
    </w:p>
    <w:p>
      <w:pPr>
        <w:spacing w:after="0" w:line="136"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55" w:name="page56"/>
    <w:bookmarkEnd w:id="55"/>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1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No Vesting of Performance Awards. </w:t>
      </w:r>
      <w:r>
        <w:rPr>
          <w:rFonts w:ascii="Arial" w:cs="Arial" w:eastAsia="Arial" w:hAnsi="Arial"/>
          <w:sz w:val="16"/>
          <w:szCs w:val="16"/>
          <w:color w:val="auto"/>
        </w:rPr>
        <w:t>We structure our executive compensation program to align pay with performance. For example, on December 31,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closing stock price was $11.45. As this price did not exceed the performance goals under the terms of our performance awards for our executive officers, no shares were issued in settlement of the first third of performance units awarded in 2014.</w:t>
      </w:r>
    </w:p>
    <w:p>
      <w:pPr>
        <w:spacing w:after="0" w:line="14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 xml:space="preserve">Reported and Realized Pay. </w:t>
      </w:r>
      <w:r>
        <w:rPr>
          <w:rFonts w:ascii="Arial" w:cs="Arial" w:eastAsia="Arial" w:hAnsi="Arial"/>
          <w:sz w:val="16"/>
          <w:szCs w:val="16"/>
          <w:color w:val="auto"/>
        </w:rPr>
        <w:t>To further illustrate our pay for performance, below is our CEO’s total compensation for the last three years,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Summary Compensation Table of this Proxy Statement and our past proxy statements, compared to the total amount of compensation realized by our CEO for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CE0D41"/>
        </w:rPr>
        <w:t>TOTAL CEO COMPENSATION VERSUS REALIZED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145415</wp:posOffset>
            </wp:positionV>
            <wp:extent cx="3310255" cy="18954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102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Compensation </w:t>
      </w:r>
      <w:r>
        <w:rPr>
          <w:rFonts w:ascii="Arial" w:cs="Arial" w:eastAsia="Arial" w:hAnsi="Arial"/>
          <w:sz w:val="16"/>
          <w:szCs w:val="16"/>
          <w:color w:val="auto"/>
        </w:rPr>
        <w:t>is as set forth in the Summary Compensation Table in this Proxy Statement.</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color w:val="auto"/>
        </w:rPr>
        <w:t xml:space="preserve">Total Realized Compensation </w:t>
      </w:r>
      <w:r>
        <w:rPr>
          <w:rFonts w:ascii="Arial" w:cs="Arial" w:eastAsia="Arial" w:hAnsi="Arial"/>
          <w:sz w:val="16"/>
          <w:szCs w:val="16"/>
          <w:color w:val="auto"/>
        </w:rPr>
        <w:t>excludes the actuarial value of pension benefit as it does not reflect actual compensation received, but rather reflects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the year-over-year present value of the actuarial future benefit, and includes long term incentive awards (e.g. RSUs and PUs), only to the extent they were “realized”, i.e. to the extent they vested (or restrictions lapsed) during the years described. Value of vested stock is included based on closing price on date of vest which, for our long term incentive awards, differs from value at the date of grant.</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 xml:space="preserve">Peer Comparison. </w:t>
      </w:r>
      <w:r>
        <w:rPr>
          <w:rFonts w:ascii="Arial" w:cs="Arial" w:eastAsia="Arial" w:hAnsi="Arial"/>
          <w:sz w:val="16"/>
          <w:szCs w:val="16"/>
          <w:color w:val="auto"/>
        </w:rPr>
        <w:t>Our CEO’s compensation for the years 2012-2014, relative to our peers, for the three-year period ended December 31, 2014, is set forth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-26035</wp:posOffset>
            </wp:positionV>
            <wp:extent cx="5008245" cy="15690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0824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color w:val="auto"/>
        </w:rPr>
        <w:t xml:space="preserve">3-Year Total Compensation </w:t>
      </w:r>
      <w:r>
        <w:rPr>
          <w:rFonts w:ascii="Arial" w:cs="Arial" w:eastAsia="Arial" w:hAnsi="Arial"/>
          <w:sz w:val="16"/>
          <w:szCs w:val="16"/>
          <w:color w:val="auto"/>
        </w:rPr>
        <w:t>is the sum of base salary, annual incentives, bonuses, long-term incentive awards and all other compensation paid (perquisites</w:t>
      </w:r>
      <w:r>
        <w:rPr>
          <w:rFonts w:ascii="Arial" w:cs="Arial" w:eastAsia="Arial" w:hAnsi="Arial"/>
          <w:sz w:val="16"/>
          <w:szCs w:val="16"/>
          <w:b w:val="1"/>
          <w:bCs w:val="1"/>
          <w:color w:val="auto"/>
        </w:rPr>
        <w:t xml:space="preserve"> </w:t>
      </w:r>
      <w:r>
        <w:rPr>
          <w:rFonts w:ascii="Arial" w:cs="Arial" w:eastAsia="Arial" w:hAnsi="Arial"/>
          <w:sz w:val="16"/>
          <w:szCs w:val="16"/>
          <w:color w:val="auto"/>
        </w:rPr>
        <w:t>and change in pension included) for the years 2012-2014 for our Chief Executive Officer and for the chief executive officer of each of our peers as reported in their respective publicly available proxy statements.</w:t>
      </w:r>
    </w:p>
    <w:p>
      <w:pPr>
        <w:spacing w:after="0" w:line="14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 xml:space="preserve">3-Year Total Shareholder Return </w:t>
      </w:r>
      <w:r>
        <w:rPr>
          <w:rFonts w:ascii="Arial" w:cs="Arial" w:eastAsia="Arial" w:hAnsi="Arial"/>
          <w:sz w:val="16"/>
          <w:szCs w:val="16"/>
          <w:color w:val="auto"/>
        </w:rPr>
        <w:t>is the percentage increase (or decrease) in stock price for the three years ended December 31, 2014, adjusted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paid.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Source: </w:t>
      </w:r>
      <w:r>
        <w:rPr>
          <w:rFonts w:ascii="Arial" w:cs="Arial" w:eastAsia="Arial" w:hAnsi="Arial"/>
          <w:sz w:val="16"/>
          <w:szCs w:val="16"/>
          <w:i w:val="1"/>
          <w:iCs w:val="1"/>
          <w:color w:val="auto"/>
        </w:rPr>
        <w:t>Longnecker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 xml:space="preserve">Best Historical Safety Record. </w:t>
      </w:r>
      <w:r>
        <w:rPr>
          <w:rFonts w:ascii="Arial" w:cs="Arial" w:eastAsia="Arial" w:hAnsi="Arial"/>
          <w:sz w:val="16"/>
          <w:szCs w:val="16"/>
          <w:color w:val="auto"/>
        </w:rPr>
        <w:t>Safety has always been an essential part of the Weatherford culture, and we included this intitiative as part of our Non-Equity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Incentive objectives, with an equal split for lost-time injury rate (“LTIR”) and preventable vehicle injury rate (“PVIR”) as described in this Proxy Statement. In the last five years, we have improved our performance culminating in our best ever safety record in 2014. The chart below highlights our recent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CE0D41"/>
        </w:rPr>
        <w:t>LOST-TIME INCIDENT RATE “LTIR”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8865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CE0D41"/>
        </w:rPr>
        <w:t>PREVENTABLE VEHICLE INCIDENT RATE “PVIR”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2160905</wp:posOffset>
            </wp:positionV>
            <wp:extent cx="72466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145415</wp:posOffset>
            </wp:positionV>
            <wp:extent cx="2573020" cy="17494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7302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COMMITTEE REPORT</w:t>
      </w:r>
    </w:p>
    <w:p>
      <w:pPr>
        <w:spacing w:after="0" w:line="3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following Compensation Discussion and Analysis describes the Committee’s decisions regarding our executives’ compensation for 2014 and how those decisions support and implement our philosophy.</w:t>
      </w:r>
    </w:p>
    <w:p>
      <w:pPr>
        <w:spacing w:after="0" w:line="17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857885"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885" cy="17145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106045</wp:posOffset>
            </wp:positionV>
            <wp:extent cx="1029335"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93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John D. Gass</w:t>
      </w:r>
      <w:r>
        <w:rPr>
          <w:sz w:val="20"/>
          <w:szCs w:val="20"/>
          <w:color w:val="auto"/>
        </w:rPr>
        <w:tab/>
      </w:r>
      <w:r>
        <w:rPr>
          <w:rFonts w:ascii="Arial" w:cs="Arial" w:eastAsia="Arial" w:hAnsi="Arial"/>
          <w:sz w:val="16"/>
          <w:szCs w:val="16"/>
          <w:color w:val="auto"/>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9335" cy="2571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9335" cy="2571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121920</wp:posOffset>
            </wp:positionV>
            <wp:extent cx="1029335" cy="514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293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William E. Macaulay </w:t>
      </w:r>
      <w:r>
        <w:rPr>
          <w:rFonts w:ascii="Arial" w:cs="Arial" w:eastAsia="Arial" w:hAnsi="Arial"/>
          <w:sz w:val="16"/>
          <w:szCs w:val="16"/>
          <w:i w:val="1"/>
          <w:iCs w:val="1"/>
          <w:color w:val="auto"/>
        </w:rPr>
        <w:t>(Chairman)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140"/>
        <w:spacing w:after="0" w:line="281" w:lineRule="auto"/>
        <w:rPr>
          <w:sz w:val="20"/>
          <w:szCs w:val="20"/>
          <w:color w:val="auto"/>
        </w:rPr>
      </w:pPr>
      <w:r>
        <w:rPr>
          <w:rFonts w:ascii="Arial" w:cs="Arial" w:eastAsia="Arial" w:hAnsi="Arial"/>
          <w:sz w:val="43"/>
          <w:szCs w:val="43"/>
          <w:b w:val="1"/>
          <w:bCs w:val="1"/>
          <w:color w:val="818284"/>
        </w:rPr>
        <w:t>COMPENSATION COMMITTEE INTERLOCKS AND INSIDER PARTICIPATION</w:t>
      </w:r>
    </w:p>
    <w:p>
      <w:pPr>
        <w:spacing w:after="0" w:line="20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Compensation Committee’s current members are Dr. Ortiz and Messrs. Gass, Macaulay (Chairman) and Moses, all of whom are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514" w:right="319" w:bottom="0" w:gutter="0" w:footer="0" w:header="0"/>
        </w:sectPr>
      </w:pPr>
    </w:p>
    <w:bookmarkStart w:id="57" w:name="page58"/>
    <w:bookmarkEnd w:id="57"/>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COMPENSATION PHILOSOPHY AND OBJECTIVES</w:t>
      </w:r>
    </w:p>
    <w:p>
      <w:pPr>
        <w:spacing w:after="0" w:line="200" w:lineRule="exact"/>
        <w:rPr>
          <w:sz w:val="20"/>
          <w:szCs w:val="20"/>
          <w:color w:val="auto"/>
        </w:rPr>
      </w:pPr>
    </w:p>
    <w:p>
      <w:pPr>
        <w:spacing w:after="0" w:line="36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Compensation Committee follows a pay for performance philosophy in our executive compensation structure. The Committee’s objective is to provide compensation to our executive officers at a level and in a manner that maximizes shareholder value and is intended to be market competitive. Additionally, the short-term and long-term interests of our executive officers should be aligned with those of our shareholders. Our programs are designed to:</w:t>
      </w:r>
    </w:p>
    <w:p>
      <w:pPr>
        <w:spacing w:after="0" w:line="174"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drive and reward strong business performance to create superior value for our shareholders;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support key financial and strategic objectives through pay for performance;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attract, retain and motivate individuals in key executive positions, while limiting non-performance based entitlements;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ensure performance-based compensation supports growth, while managing compensation risk;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require our executives to focus on both the short-term and long-term performance goals of the Company.</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For 2014, the Committee approved base salary, annual performance compensation and long-term incentive compensation for each NEO that was intended to be competitive with our peer group. However, in setting the compensation of our NEOs, the Committee also took into consideration historical and individual circumstances. These include tenure and experience, individual performance, anticipated future contributions, retention factors, including apparent career alternatives for each individual and the availability of comparable data for certain positions.</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 or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8" w:name="page59"/>
    <w:bookmarkEnd w:id="5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right="2000"/>
        <w:spacing w:after="0" w:line="281" w:lineRule="auto"/>
        <w:rPr>
          <w:sz w:val="20"/>
          <w:szCs w:val="20"/>
          <w:color w:val="auto"/>
        </w:rPr>
      </w:pPr>
      <w:r>
        <w:rPr>
          <w:rFonts w:ascii="Arial" w:cs="Arial" w:eastAsia="Arial" w:hAnsi="Arial"/>
          <w:sz w:val="43"/>
          <w:szCs w:val="43"/>
          <w:b w:val="1"/>
          <w:bCs w:val="1"/>
          <w:color w:val="818284"/>
        </w:rPr>
        <w:t>2014 PERFORMANCE HIGHLIGHTS AND OUR COMPANY’S FUTURE</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2014, we championed our critical focus on core, cost and cash. We focused on our core product lines: Formation Evaluation, Well Construction, Completion and Production. Having identified components of our Company that were no longer viewed as core to our future success, we successfully sold the majority of our non-core businesses. We also made improvements in workforce efficiency, operations, supply chain and contract management. We take a long-term view of these improvements and are focused on opportunities for future gains. We also continued to de-lever our organization to lay the foundation for future positive free cash flow. Specifically, in 2014, Weatherford achieved significant progress in the following key areas:</w:t>
      </w:r>
    </w:p>
    <w:p>
      <w:pPr>
        <w:spacing w:after="0" w:line="176"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completed the sale of non-core businesses for proceeds exceeding $1.7 billion;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reduced our net debt by more than $1.2 billion;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significantly reduced our annualized costs by $602 million;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settled our U.S governmental investigations,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improved our safety metrics (lost-time incident rate and preventable vehicle incident rate).</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believe these and other accomplishments provide a clear and measurable basis for our executive compensation decisions in 2014. As illustrated in the following graphs, our solid achievements reflected positively in our stock price, which gained 55% through late July of 2014, outperforming our peer group and the industry.</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Following our second quarter earnings release and through the second half of the year, oil prices (WTI) drastically declined from a high of $105.68 per barrel to a low of $53.45 per barrel in late December. During this later timeframe, Weatherford’s stock price was 96% correlated to the price of oil and decreased in tandem, from almost $25 per share to around $10 per share. Through 2011-2013 Weatherford’s stock price was not strongly correlated to the price of oil, which remained consistently high in 2014, despite industry headwinds, and in the face of unexpected and precipitous outlined declining oil prices, Weatherford continued to deliver strong performance measured against our focused goals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2014 WEATHERFORD VS. PEER PERFORMANCE AND OIL PRICE (WTI) Through July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1094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WEATHERFORD VS. PEER PERFORMANCE AND OIL PRICE (WTI) JULY 25, 2014 THROUGH DEC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0923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WEATHERFORD STRONGLY CORRELATED TO OIL PRICE (WTI) JULY 25, 2014 THROUGH DEC 31, 2014</w:t>
      </w:r>
    </w:p>
    <w:p>
      <w:pPr>
        <w:sectPr>
          <w:pgSz w:w="11900" w:h="16838" w:orient="portrait"/>
          <w:cols w:equalWidth="0" w:num="1">
            <w:col w:w="11400"/>
          </w:cols>
          <w:pgMar w:left="240" w:top="501" w:right="259" w:bottom="802"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0066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2011 - 2013: WEATHERFORD AND OIL PRICE (WTI) NOT STRONGLY CORRELATED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0154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2014 STRATEGY</w:t>
      </w:r>
    </w:p>
    <w:p>
      <w:pPr>
        <w:spacing w:after="0" w:line="371"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 xml:space="preserve">In 2014, Weatherford implemented measures to further develop our industrial might and place the Company on a long-term financially rewarding path with a steadfast focus on three simple actions: </w:t>
      </w:r>
      <w:r>
        <w:rPr>
          <w:rFonts w:ascii="Arial" w:cs="Arial" w:eastAsia="Arial" w:hAnsi="Arial"/>
          <w:sz w:val="16"/>
          <w:szCs w:val="16"/>
          <w:b w:val="1"/>
          <w:bCs w:val="1"/>
          <w:color w:val="auto"/>
        </w:rPr>
        <w:t>Core, Cost and Cash</w:t>
      </w:r>
      <w:r>
        <w:rPr>
          <w:rFonts w:ascii="Arial" w:cs="Arial" w:eastAsia="Arial" w:hAnsi="Arial"/>
          <w:sz w:val="16"/>
          <w:szCs w:val="16"/>
          <w:color w:val="auto"/>
        </w:rPr>
        <w:t>.</w:t>
      </w:r>
    </w:p>
    <w:p>
      <w:pPr>
        <w:spacing w:after="0" w:line="149"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b w:val="1"/>
          <w:bCs w:val="1"/>
          <w:color w:val="auto"/>
        </w:rPr>
        <w:t xml:space="preserve">Core. </w:t>
      </w:r>
      <w:r>
        <w:rPr>
          <w:rFonts w:ascii="Arial" w:cs="Arial" w:eastAsia="Arial" w:hAnsi="Arial"/>
          <w:sz w:val="16"/>
          <w:szCs w:val="16"/>
          <w:color w:val="auto"/>
        </w:rPr>
        <w:t>Our industrial core is built with exceptional competence around a distinctive group of four product segments: Formation Evaluation, Well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and Production, all of which we believe have an outstanding future and long-term capital attributes. During 2014, the Company grew non-GAAP earnings per share by more than 60% compared to 2013 results.</w:t>
      </w:r>
    </w:p>
    <w:p>
      <w:pPr>
        <w:spacing w:after="0" w:line="14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Cost. </w:t>
      </w:r>
      <w:r>
        <w:rPr>
          <w:rFonts w:ascii="Arial" w:cs="Arial" w:eastAsia="Arial" w:hAnsi="Arial"/>
          <w:sz w:val="16"/>
          <w:szCs w:val="16"/>
          <w:color w:val="auto"/>
        </w:rPr>
        <w:t>Running support functions and operations with a lower cost structure is an established key company metric. During 2014, the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aggressively lowering its cost structure.</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In 2014, we focused on generating free cash flow, efficiently managing working capital and lowering capital intensity, in a manner compatible with</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our core. During 2014, we were successful in reducing our net debt through our non-core divestiture proceeds. While we did not achieve our 2014 free cash flow target, our cash flow in 2014 improved over 2013. As a result, we enter 2015 with a greatly improved risk position and plan to build on our progress through additional de-levering. We will further focus on our capital efficiency program (commenced in 2013) and continue to significantly reduce our capital expenditures in 2015. We are committed to be free cash flow positive in 2015. All of these measures contributed substantially to our 2014 strategy and set the stage for our 2015 direction.</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Our direction in 2015. </w:t>
      </w:r>
      <w:r>
        <w:rPr>
          <w:rFonts w:ascii="Arial" w:cs="Arial" w:eastAsia="Arial" w:hAnsi="Arial"/>
          <w:sz w:val="16"/>
          <w:szCs w:val="16"/>
          <w:color w:val="auto"/>
        </w:rPr>
        <w:t>Building on our achievements, while concurrently addressing cyclical industry headwinds, Weatherford entered 2015 with a strong core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 de-levered financial position and a culture focused on cash generation. During 2015, our actions will center on further reducing both our cyclical and structural costs and improving our free cash flow. Weatherford is aligning its organizational structure to substantially reduce overhead in all forms: rationalizing support functions, eliminating staff duplications and de-layering the Company. These actions will change our cost structure permanently. We will also lower our direct costs to match market volume drops. Finally, our most strategic priority will be a determined shift towards an external focus, and clients will drive Weatherford’s time and attention. Guided by these strategic initiatives and objectives, we will emerge from the current down-cycle a much leaner and stronger Company. Weatherford as clearly shown drive, speed and fighting spirit and, by year-end, intends to be the most effective the Company has ever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1080"/>
        <w:spacing w:after="0" w:line="281" w:lineRule="auto"/>
        <w:rPr>
          <w:sz w:val="20"/>
          <w:szCs w:val="20"/>
          <w:color w:val="auto"/>
        </w:rPr>
      </w:pPr>
      <w:r>
        <w:rPr>
          <w:rFonts w:ascii="Arial" w:cs="Arial" w:eastAsia="Arial" w:hAnsi="Arial"/>
          <w:sz w:val="43"/>
          <w:szCs w:val="43"/>
          <w:b w:val="1"/>
          <w:bCs w:val="1"/>
          <w:color w:val="818284"/>
        </w:rPr>
        <w:t>ELEMENTS OF OUR EXECUTIVE COMPENSATION PROGRAM</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compensation program is designed to reward our NEOs for the achievement of strategic and operational goals as well as increased shareholder value, while avoiding unnecessary or excessive risk-taking. Below is a detailed discussion and analysis of each component of our executive compensation as applied to each of our NEOs for 2014 and 2015. Additionally, we have summarized our CEO’s 2014 compensation information. All information should be read in conjunction with our Summary Compensation Table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110490</wp:posOffset>
            </wp:positionV>
            <wp:extent cx="434784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E0D41"/>
        </w:rPr>
        <w:t>2014 CURRENT NEO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154305</wp:posOffset>
            </wp:positionV>
            <wp:extent cx="3550285" cy="18954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5028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Percentages are based on compensation information for our current NEOs as set forth in the Summary Compensation Table on page 44. Performance Units and Restricted Share Units are measured using the grant date fair value as set forth in the Grants of Plan-Based Awards table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BASE SALARY</w:t>
      </w:r>
    </w:p>
    <w:p>
      <w:pPr>
        <w:spacing w:after="0" w:line="24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Base salary provides a fixed level of compensation to the executive, representative of his or her skills, responsibilities and experience. Base salaries for our executive officers are reviewed annually. Proposed increases to base salaries are reviewed by the Compensation Committee following recommendations from Dr. Duroc-Danner (excluding his own base salary). The Committee does not rely on predetermined formulas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1" w:right="239" w:bottom="856" w:gutter="0" w:footer="0" w:header="0"/>
        </w:sectPr>
      </w:pPr>
    </w:p>
    <w:bookmarkStart w:id="61" w:name="page62"/>
    <w:bookmarkEnd w:id="6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818284"/>
        </w:rPr>
        <w:t>COMPENSATION DISCUSSION AND ANALYSIS</w:t>
      </w:r>
    </w:p>
    <w:p>
      <w:pPr>
        <w:spacing w:after="0" w:line="31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criteria when evaluating executive base salaries, but considers comparable market data provided by Longnecker &amp; Associates (“L&amp;A”). The Committee also considers individual contributions, retention and succession planning concerns in setting base salaries. Base salary information for our current NEOs is as follows:</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Dr. Duroc-Danner’s base salary has not increased in over five years. While his salary is higher than the average salary of CEOs of our peers, the Committee believes his salary is appropriate in light of his unique experience, execution of his 20-plus year vision to create (from scratch and through acquisition) a leading oilfield services Company and his resulting in-depth understanding of our industry—having led the Company for 28 years—and considering alternative career opportunities that could be available to him. None of the CEOs of our peers have this level of experience, tenure, or loyalty.</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Mr. Shivram’s salary was determined when he joined the Company in November of 2013 based on market factors, his cross-functional experience, his extraordinarily relevant background and its importance to Weatherford during the Company’s critical drive to core, cost and cash, and value he was giving up at his previous employer. His salary was not increased in 2014 or 2015.</w:t>
      </w:r>
    </w:p>
    <w:p>
      <w:pPr>
        <w:spacing w:after="0" w:line="174"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Mr. Mehta became a NEO in 2012. His salary was set based on market factors, his responsibility for commencing the culture change of core, cost and cash and the total personal contribution he has made to the Company. For 2014, he received a 5% increase in base salary as a market adjustment and his salary was not increased in 2015.</w:t>
      </w:r>
    </w:p>
    <w:p>
      <w:pPr>
        <w:spacing w:after="0" w:line="17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Mr. Mills became a NEO in 2014. His salary was set based on market factors, his promotion in 2013 to Chief Accounting Officer while retaining his financial reporting responsibility and his personal contributions to the Company. His salary was not increased in 2015.</w:t>
      </w:r>
    </w:p>
    <w:p>
      <w:pPr>
        <w:spacing w:after="0" w:line="169"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table below shows the annual base salaries of the current NEOs effective after adjustments for the applicable year. Where adjustments were made during the year, these annualized amounts may be higher than the actual amount paid for the entire year. See the Summary Compensation Table on page 44 for the actual amounts paid.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w:t>
            </w:r>
          </w:p>
        </w:tc>
        <w:tc>
          <w:tcPr>
            <w:tcW w:w="3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2013 Salary</w:t>
            </w:r>
          </w:p>
        </w:tc>
        <w:tc>
          <w:tcPr>
            <w:tcW w:w="26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2014 Salary</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 Salary</w:t>
            </w:r>
          </w:p>
        </w:tc>
      </w:tr>
      <w:tr>
        <w:trPr>
          <w:trHeight w:val="189"/>
        </w:trPr>
        <w:tc>
          <w:tcPr>
            <w:tcW w:w="32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3760" w:type="dxa"/>
            <w:vAlign w:val="bottom"/>
            <w:tcBorders>
              <w:bottom w:val="single" w:sz="8" w:color="818284"/>
            </w:tcBorders>
          </w:tcPr>
          <w:p>
            <w:pPr>
              <w:jc w:val="right"/>
              <w:ind w:right="699"/>
              <w:spacing w:after="0"/>
              <w:rPr>
                <w:sz w:val="20"/>
                <w:szCs w:val="20"/>
                <w:color w:val="auto"/>
              </w:rPr>
            </w:pPr>
            <w:r>
              <w:rPr>
                <w:rFonts w:ascii="Arial" w:cs="Arial" w:eastAsia="Arial" w:hAnsi="Arial"/>
                <w:sz w:val="16"/>
                <w:szCs w:val="16"/>
                <w:color w:val="auto"/>
              </w:rPr>
              <w:t>CHF1,760,000</w:t>
            </w:r>
          </w:p>
        </w:tc>
        <w:tc>
          <w:tcPr>
            <w:tcW w:w="2620" w:type="dxa"/>
            <w:vAlign w:val="bottom"/>
            <w:tcBorders>
              <w:bottom w:val="single" w:sz="8" w:color="818284"/>
            </w:tcBorders>
          </w:tcPr>
          <w:p>
            <w:pPr>
              <w:jc w:val="right"/>
              <w:ind w:right="699"/>
              <w:spacing w:after="0"/>
              <w:rPr>
                <w:sz w:val="20"/>
                <w:szCs w:val="20"/>
                <w:color w:val="auto"/>
              </w:rPr>
            </w:pPr>
            <w:r>
              <w:rPr>
                <w:rFonts w:ascii="Arial" w:cs="Arial" w:eastAsia="Arial" w:hAnsi="Arial"/>
                <w:sz w:val="16"/>
                <w:szCs w:val="16"/>
                <w:color w:val="auto"/>
              </w:rPr>
              <w:t>CHF1,760,000</w:t>
            </w:r>
          </w:p>
        </w:tc>
        <w:tc>
          <w:tcPr>
            <w:tcW w:w="18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CHF1,760,000</w:t>
            </w:r>
          </w:p>
        </w:tc>
      </w:tr>
      <w:tr>
        <w:trPr>
          <w:trHeight w:val="183"/>
        </w:trPr>
        <w:tc>
          <w:tcPr>
            <w:tcW w:w="32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Shivram</w:t>
            </w:r>
          </w:p>
        </w:tc>
        <w:tc>
          <w:tcPr>
            <w:tcW w:w="376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$750,000</w:t>
            </w:r>
          </w:p>
        </w:tc>
        <w:tc>
          <w:tcPr>
            <w:tcW w:w="262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$750,000</w:t>
            </w:r>
          </w:p>
        </w:tc>
        <w:tc>
          <w:tcPr>
            <w:tcW w:w="18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$750,000</w:t>
            </w:r>
          </w:p>
        </w:tc>
      </w:tr>
      <w:tr>
        <w:trPr>
          <w:trHeight w:val="183"/>
        </w:trPr>
        <w:tc>
          <w:tcPr>
            <w:tcW w:w="32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Mehta</w:t>
            </w:r>
          </w:p>
        </w:tc>
        <w:tc>
          <w:tcPr>
            <w:tcW w:w="376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$715,000</w:t>
            </w:r>
          </w:p>
        </w:tc>
        <w:tc>
          <w:tcPr>
            <w:tcW w:w="262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$750,000</w:t>
            </w:r>
          </w:p>
        </w:tc>
        <w:tc>
          <w:tcPr>
            <w:tcW w:w="18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$750,000</w:t>
            </w:r>
          </w:p>
        </w:tc>
      </w:tr>
      <w:tr>
        <w:trPr>
          <w:trHeight w:val="190"/>
        </w:trPr>
        <w:tc>
          <w:tcPr>
            <w:tcW w:w="3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Mills(a)</w:t>
            </w:r>
          </w:p>
        </w:tc>
        <w:tc>
          <w:tcPr>
            <w:tcW w:w="376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color w:val="auto"/>
              </w:rPr>
              <w:t>$350,000</w:t>
            </w: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$350,000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 Information for 2013 is not presented for Mr. Mills as he was not a NEO until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ANNUAL INCENTIVE COMPENSATION</w:t>
      </w:r>
    </w:p>
    <w:p>
      <w:pPr>
        <w:spacing w:after="0" w:line="24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annual incentive compensation is generally structured to deliver cash payouts in line with market multiples when performance targets are achieved or exceeded. The Committee annually establishes the terms of any awards under our Non-Equity Incentive Compensation Plan (the “ICP”), including the financial metrics and goals for each award, during the first quarter.</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each award under the ICP, the Committee establishes goals at three levels: threshold, target and superior. Target represents a strong, but achievable, level of performance that will increase shareholder value. Superior represents an extraordinary level of performance that will substantially increase shareholder value. Threshold is the entry-level of performance under the ICP, established so that smaller awards will be earned for satisfactory performance short of target.</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Committee establishes potential award payments as a percentage of the executive’s annual base salary in effect at the end of the plan year, with a percentage determined for achievement of threshold, target or superior level. If our financial results fall between the threshold and target goal levels or between the target and superior goal levels (other than for CPM awards (described on page 35)), the award payment will be determined by linear interpolation to derive the percentage of salary.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Award payments for our NEOs, expressed a percentage of salary, are as follows:</w:t>
      </w:r>
    </w:p>
    <w:p>
      <w:pPr>
        <w:spacing w:after="0" w:line="194"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color w:val="CE0D41"/>
        </w:rPr>
      </w:pPr>
      <w:r>
        <w:rPr>
          <w:rFonts w:ascii="Arial" w:cs="Arial" w:eastAsia="Arial" w:hAnsi="Arial"/>
          <w:sz w:val="16"/>
          <w:szCs w:val="16"/>
          <w:color w:val="auto"/>
        </w:rPr>
        <w:t>Dr. Duroc Danner: 60% (Threshold); 120% (Target); 240% (Superior);</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0"/>
        </w:numPr>
        <w:rPr>
          <w:rFonts w:ascii="Arial" w:cs="Arial" w:eastAsia="Arial" w:hAnsi="Arial"/>
          <w:sz w:val="16"/>
          <w:szCs w:val="16"/>
          <w:color w:val="CE0D41"/>
        </w:rPr>
      </w:pPr>
      <w:r>
        <w:rPr>
          <w:rFonts w:ascii="Arial" w:cs="Arial" w:eastAsia="Arial" w:hAnsi="Arial"/>
          <w:sz w:val="16"/>
          <w:szCs w:val="16"/>
          <w:color w:val="auto"/>
        </w:rPr>
        <w:t>Messrs. Shivram and Mehta: 50% (Threshold); 100% (Target); 200% (Superior);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0"/>
        </w:numPr>
        <w:rPr>
          <w:rFonts w:ascii="Arial" w:cs="Arial" w:eastAsia="Arial" w:hAnsi="Arial"/>
          <w:sz w:val="16"/>
          <w:szCs w:val="16"/>
          <w:color w:val="CE0D41"/>
        </w:rPr>
      </w:pPr>
      <w:r>
        <w:rPr>
          <w:rFonts w:ascii="Arial" w:cs="Arial" w:eastAsia="Arial" w:hAnsi="Arial"/>
          <w:sz w:val="16"/>
          <w:szCs w:val="16"/>
          <w:color w:val="auto"/>
        </w:rPr>
        <w:t>Mr. Mills: 37.5% (Threshold); 75% (Target); 150% (Superior).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Annual Incentive Results</w:t>
      </w:r>
    </w:p>
    <w:p>
      <w:pPr>
        <w:spacing w:after="0" w:line="22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2014, the Committee evaluated the Company’s ongoing performance in relation to its goals, and adopted metrics which were designed to reflect these transformative goals and focus on the following key strategies:</w:t>
      </w:r>
    </w:p>
    <w:p>
      <w:pPr>
        <w:spacing w:after="0" w:line="16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focus on and grow the core of the Company’s business;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reduce costs;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divest non-core businesses;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generate free cash flow;</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reduce net debt;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continue to improve our safety record.</w:t>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prior years, metrics were set based on profitability (operating income) and capital efficiency (reduction in days working capital), as well as safety. In setting 2014 metrics, the Board desired to improve the compensation program and to use the Company’s longer-term strategies described above to establish meaningful, specific and measurable metrics, as follows and illustrated below:</w:t>
      </w:r>
    </w:p>
    <w:p>
      <w:pPr>
        <w:spacing w:after="0" w:line="174"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CE0D41"/>
        </w:rPr>
      </w:pPr>
      <w:r>
        <w:rPr>
          <w:rFonts w:ascii="Arial" w:cs="Arial" w:eastAsia="Arial" w:hAnsi="Arial"/>
          <w:sz w:val="16"/>
          <w:szCs w:val="16"/>
          <w:color w:val="auto"/>
        </w:rPr>
        <w:t>earnings per share, a measure of core growth;</w:t>
      </w:r>
    </w:p>
    <w:p>
      <w:pPr>
        <w:spacing w:after="0" w:line="207" w:lineRule="exact"/>
        <w:rPr>
          <w:rFonts w:ascii="Arial" w:cs="Arial" w:eastAsia="Arial" w:hAnsi="Arial"/>
          <w:sz w:val="16"/>
          <w:szCs w:val="16"/>
          <w:color w:val="CE0D41"/>
        </w:rPr>
      </w:pPr>
    </w:p>
    <w:p>
      <w:pPr>
        <w:ind w:left="180" w:right="180" w:hanging="172"/>
        <w:spacing w:after="0" w:line="260" w:lineRule="auto"/>
        <w:tabs>
          <w:tab w:leader="none" w:pos="180" w:val="left"/>
        </w:tabs>
        <w:numPr>
          <w:ilvl w:val="0"/>
          <w:numId w:val="62"/>
        </w:numPr>
        <w:rPr>
          <w:rFonts w:ascii="Arial" w:cs="Arial" w:eastAsia="Arial" w:hAnsi="Arial"/>
          <w:sz w:val="16"/>
          <w:szCs w:val="16"/>
          <w:color w:val="CE0D41"/>
        </w:rPr>
      </w:pPr>
      <w:r>
        <w:rPr>
          <w:rFonts w:ascii="Arial" w:cs="Arial" w:eastAsia="Arial" w:hAnsi="Arial"/>
          <w:sz w:val="16"/>
          <w:szCs w:val="16"/>
          <w:color w:val="auto"/>
        </w:rPr>
        <w:t>annualized cost savings, a measure of the Company’s ability to reduce costs within its core businesses, exclusive of any divestitures (or savings therefrom which would naturally decrease year-over-year if successful);</w:t>
      </w:r>
    </w:p>
    <w:p>
      <w:pPr>
        <w:sectPr>
          <w:pgSz w:w="11900" w:h="16933" w:orient="portrait"/>
          <w:cols w:equalWidth="0" w:num="1">
            <w:col w:w="11420"/>
          </w:cols>
          <w:pgMar w:left="240" w:top="501" w:right="239" w:bottom="0" w:gutter="0" w:footer="0" w:header="0"/>
        </w:sectPr>
      </w:pPr>
    </w:p>
    <w:bookmarkStart w:id="62" w:name="page63"/>
    <w:bookmarkEnd w:id="62"/>
    <w:p>
      <w:pPr>
        <w:ind w:left="172" w:hanging="172"/>
        <w:spacing w:after="0"/>
        <w:tabs>
          <w:tab w:leader="none" w:pos="172" w:val="left"/>
        </w:tabs>
        <w:numPr>
          <w:ilvl w:val="0"/>
          <w:numId w:val="63"/>
        </w:numPr>
        <w:rPr>
          <w:rFonts w:ascii="Arial" w:cs="Arial" w:eastAsia="Arial" w:hAnsi="Arial"/>
          <w:sz w:val="16"/>
          <w:szCs w:val="16"/>
          <w:color w:val="CE0D41"/>
        </w:rPr>
      </w:pPr>
      <w:r>
        <w:rPr>
          <w:rFonts w:ascii="Arial" w:cs="Arial" w:eastAsia="Arial" w:hAnsi="Arial"/>
          <w:sz w:val="16"/>
          <w:szCs w:val="16"/>
          <w:color w:val="auto"/>
        </w:rPr>
        <w:t>free cash flow, a further measure of the Company’s ability to grow;</w:t>
      </w:r>
    </w:p>
    <w:p>
      <w:pPr>
        <w:spacing w:after="0" w:line="207" w:lineRule="exact"/>
        <w:rPr>
          <w:rFonts w:ascii="Arial" w:cs="Arial" w:eastAsia="Arial" w:hAnsi="Arial"/>
          <w:sz w:val="16"/>
          <w:szCs w:val="16"/>
          <w:color w:val="CE0D41"/>
        </w:rPr>
      </w:pPr>
    </w:p>
    <w:p>
      <w:pPr>
        <w:ind w:left="172" w:hanging="172"/>
        <w:spacing w:after="0"/>
        <w:tabs>
          <w:tab w:leader="none" w:pos="172" w:val="left"/>
        </w:tabs>
        <w:numPr>
          <w:ilvl w:val="0"/>
          <w:numId w:val="63"/>
        </w:numPr>
        <w:rPr>
          <w:rFonts w:ascii="Arial" w:cs="Arial" w:eastAsia="Arial" w:hAnsi="Arial"/>
          <w:sz w:val="16"/>
          <w:szCs w:val="16"/>
          <w:color w:val="CE0D41"/>
        </w:rPr>
      </w:pPr>
      <w:r>
        <w:rPr>
          <w:rFonts w:ascii="Arial" w:cs="Arial" w:eastAsia="Arial" w:hAnsi="Arial"/>
          <w:sz w:val="16"/>
          <w:szCs w:val="16"/>
          <w:color w:val="auto"/>
        </w:rPr>
        <w:t>net debt reduction, a measure of the Company’s ability to repay and reduce long-term debt; and</w:t>
      </w:r>
    </w:p>
    <w:p>
      <w:pPr>
        <w:spacing w:after="0" w:line="207" w:lineRule="exact"/>
        <w:rPr>
          <w:rFonts w:ascii="Arial" w:cs="Arial" w:eastAsia="Arial" w:hAnsi="Arial"/>
          <w:sz w:val="16"/>
          <w:szCs w:val="16"/>
          <w:color w:val="CE0D41"/>
        </w:rPr>
      </w:pPr>
    </w:p>
    <w:p>
      <w:pPr>
        <w:ind w:left="172" w:hanging="172"/>
        <w:spacing w:after="0"/>
        <w:tabs>
          <w:tab w:leader="none" w:pos="172" w:val="left"/>
        </w:tabs>
        <w:numPr>
          <w:ilvl w:val="0"/>
          <w:numId w:val="63"/>
        </w:numPr>
        <w:rPr>
          <w:rFonts w:ascii="Arial" w:cs="Arial" w:eastAsia="Arial" w:hAnsi="Arial"/>
          <w:sz w:val="16"/>
          <w:szCs w:val="16"/>
          <w:color w:val="CE0D41"/>
        </w:rPr>
      </w:pPr>
      <w:r>
        <w:rPr>
          <w:rFonts w:ascii="Arial" w:cs="Arial" w:eastAsia="Arial" w:hAnsi="Arial"/>
          <w:sz w:val="16"/>
          <w:szCs w:val="16"/>
          <w:color w:val="auto"/>
        </w:rPr>
        <w:t>safety, measured by reductions in lost-time and preventable vehicle incidents, a measure of our ability to improve our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466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ind w:left="312" w:hanging="312"/>
        <w:spacing w:after="0"/>
        <w:tabs>
          <w:tab w:leader="none" w:pos="312" w:val="left"/>
        </w:tabs>
        <w:numPr>
          <w:ilvl w:val="0"/>
          <w:numId w:val="6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344" w:right="1440" w:bottom="1440" w:gutter="0" w:footer="0" w:header="0"/>
        </w:sectPr>
      </w:pPr>
    </w:p>
    <w:bookmarkStart w:id="63" w:name="page64"/>
    <w:bookmarkEnd w:id="63"/>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As safety continues to be of paramount importance to the Company, the Committee determined that it should continue to remain a metric for non-equity incentives in 2014 and will also be included in 2015.</w:t>
      </w:r>
    </w:p>
    <w:p>
      <w:pPr>
        <w:spacing w:after="0" w:line="16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following charts show the actual results of these annual incentive metrics. Payouts are calculated by multiplying the NEOs potential payout (described above and using linear interpolation, if applicable) by the metric weight. Actual amounts paid are calculated by then multiplying the payout percentage (below) by the NEO’s salary, which resulted in the non-equity incentive payouts reflected in our Summary Compensation table on page 44. Our CEO’s target annual incentive potential for 2014 was CHF 2,112,000 and his maximum potential was CHF 4,224,000. His achieved and paid incentive was CHF 2,761,968 as a result of leading the organization in a steadfast manner focused on measured achievement of the 2014 goals and overall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2014 COMPENSATION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156845</wp:posOffset>
            </wp:positionV>
            <wp:extent cx="5625465" cy="24269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62546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right="140" w:hanging="272"/>
        <w:spacing w:after="0" w:line="250"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“Earnings per share” (“EPS”) means earnings per share from continuing operations before charges and credits and includes both core and non-core businesses and was adjusted as follows: (1) $349 million net gain on sale of businesses and investments; (2) $949 million of charges related to impairments of long-lived assets and goodwill, divestiture related charges and other items; (3) $403 million of charges related to restructuring, exited business and severance cost associated with our 2014 workforce and cost reduction initiatives, including the operating losses of the businesses exited; (4) $245 million of charges on the devaluation of the Venezuelan bolivar; (5) $90 million of charges associated with our legacy lump sum contracts in Iraq; and (6) $5 million of charges related to tax remediation and restatement expenses. EPS threshold, target and</w:t>
      </w:r>
    </w:p>
    <w:p>
      <w:pPr>
        <w:spacing w:after="0" w:line="12" w:lineRule="exact"/>
        <w:rPr>
          <w:rFonts w:ascii="Arial" w:cs="Arial" w:eastAsia="Arial" w:hAnsi="Arial"/>
          <w:sz w:val="14"/>
          <w:szCs w:val="14"/>
          <w:color w:val="auto"/>
        </w:rPr>
      </w:pPr>
    </w:p>
    <w:p>
      <w:pPr>
        <w:ind w:left="280" w:right="160"/>
        <w:spacing w:after="0" w:line="247" w:lineRule="auto"/>
        <w:rPr>
          <w:rFonts w:ascii="Arial" w:cs="Arial" w:eastAsia="Arial" w:hAnsi="Arial"/>
          <w:sz w:val="14"/>
          <w:szCs w:val="14"/>
          <w:color w:val="auto"/>
        </w:rPr>
      </w:pPr>
      <w:r>
        <w:rPr>
          <w:rFonts w:ascii="Arial" w:cs="Arial" w:eastAsia="Arial" w:hAnsi="Arial"/>
          <w:sz w:val="14"/>
          <w:szCs w:val="14"/>
          <w:color w:val="auto"/>
        </w:rPr>
        <w:t>superior metrics were originally set at $0.90, $1.10 and $1.30, respectively, and were reduced by $0.03 to reflect intra-year divestitures. For additional information regarding these adjustments please see Weatherford’s Annual Report on Form 10-K for the year ended December 31, 2014. The EPS metric of our compensation program is a non-GAAP measurement. For more information and a reconciliation of GAAP and non-GAAP financial measures such as EPS, please see the Company’s current report on Form 8-K filed with the SEC on February 5, 2015.</w:t>
      </w:r>
    </w:p>
    <w:p>
      <w:pPr>
        <w:spacing w:after="0" w:line="53" w:lineRule="exact"/>
        <w:rPr>
          <w:rFonts w:ascii="Arial" w:cs="Arial" w:eastAsia="Arial" w:hAnsi="Arial"/>
          <w:sz w:val="14"/>
          <w:szCs w:val="14"/>
          <w:color w:val="auto"/>
        </w:rPr>
      </w:pPr>
    </w:p>
    <w:p>
      <w:pPr>
        <w:ind w:left="280" w:right="160" w:hanging="272"/>
        <w:spacing w:after="0" w:line="242"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“Annualized cost savings” means reductions in costs during the year, including more than $500 million related to headcount reduction and closure of uneconomic or marginal locations, as well as approximately $100 million of additional savings due to supply chain initiatives and reductions in foreign-exchange hedging costs and corporate professional fees. Annualized savings do not include any reductions in our cost base as a result of divesting any businesses from our previously announced divestiture program.</w:t>
      </w:r>
    </w:p>
    <w:p>
      <w:pPr>
        <w:spacing w:after="0" w:line="161" w:lineRule="exact"/>
        <w:rPr>
          <w:rFonts w:ascii="Arial" w:cs="Arial" w:eastAsia="Arial" w:hAnsi="Arial"/>
          <w:sz w:val="14"/>
          <w:szCs w:val="14"/>
          <w:color w:val="auto"/>
        </w:rPr>
      </w:pPr>
    </w:p>
    <w:p>
      <w:pPr>
        <w:ind w:left="280" w:right="280"/>
        <w:spacing w:after="0" w:line="258" w:lineRule="auto"/>
        <w:rPr>
          <w:rFonts w:ascii="Arial" w:cs="Arial" w:eastAsia="Arial" w:hAnsi="Arial"/>
          <w:sz w:val="14"/>
          <w:szCs w:val="14"/>
          <w:color w:val="auto"/>
        </w:rPr>
      </w:pPr>
      <w:r>
        <w:rPr>
          <w:rFonts w:ascii="Arial" w:cs="Arial" w:eastAsia="Arial" w:hAnsi="Arial"/>
          <w:sz w:val="14"/>
          <w:szCs w:val="14"/>
          <w:color w:val="auto"/>
        </w:rPr>
        <w:t>Weatherford is aligning the organizational structure to substantially reduce overhead in all forms; rationalize support functions; eliminate duplicate staff; and de-layering the organization. These actions are structural in nature and will change the Company’s cost structure permanently.</w:t>
      </w:r>
    </w:p>
    <w:p>
      <w:pPr>
        <w:spacing w:after="0" w:line="45" w:lineRule="exact"/>
        <w:rPr>
          <w:rFonts w:ascii="Arial" w:cs="Arial" w:eastAsia="Arial" w:hAnsi="Arial"/>
          <w:sz w:val="14"/>
          <w:szCs w:val="14"/>
          <w:color w:val="auto"/>
        </w:rPr>
      </w:pPr>
    </w:p>
    <w:p>
      <w:pPr>
        <w:ind w:left="280" w:right="20" w:hanging="272"/>
        <w:spacing w:after="0" w:line="250"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“Free cash flow” (“FCF”) means net income from continuing operations before charges and credits and including both core and non-core businesses, plus depreciation and amortization, plus or minus movement in working capital accounts (accounts receivable, inventories and accounts payable), minus capital expenditures. In 2014, FCF excludes the $253 million cash payment related to our FCPA settlement.</w:t>
      </w:r>
    </w:p>
    <w:p>
      <w:pPr>
        <w:spacing w:after="0" w:line="50" w:lineRule="exact"/>
        <w:rPr>
          <w:rFonts w:ascii="Arial" w:cs="Arial" w:eastAsia="Arial" w:hAnsi="Arial"/>
          <w:sz w:val="14"/>
          <w:szCs w:val="14"/>
          <w:color w:val="auto"/>
        </w:rPr>
      </w:pPr>
    </w:p>
    <w:p>
      <w:pPr>
        <w:jc w:val="both"/>
        <w:ind w:left="280" w:right="280" w:hanging="272"/>
        <w:spacing w:after="0" w:line="211"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Mills metric weight for FCF was 25% (versus 20% for other NEOs) and he had a separate individual metric tied to reducing the number of days to complete the monthly and quarterly account closing process that had a 25% metric weight in lieu of net debt reduction and safety. Threshold for this metric was 9</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 target was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 and his superior was 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 He achieved target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safety objective includes lost-time injury rate (“LTIR”) and preventable vehicle injury rate (“PVIR”) and the safety incentive is split equally between these two measures.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Incentive Goals</w:t>
      </w:r>
    </w:p>
    <w:p>
      <w:pPr>
        <w:spacing w:after="0" w:line="22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For 2015, the Committee’s approach further evolved from the past two years. The Committee adopted a plan to ensure all of the Company’s key focus areas were included in the objectives for its executive officer group. Our 2015 performance goal to incentivize executive officers is as follows:</w:t>
      </w:r>
    </w:p>
    <w:p>
      <w:pPr>
        <w:spacing w:after="0" w:line="169" w:lineRule="exact"/>
        <w:rPr>
          <w:sz w:val="20"/>
          <w:szCs w:val="20"/>
          <w:color w:val="auto"/>
        </w:rPr>
      </w:pPr>
    </w:p>
    <w:p>
      <w:pPr>
        <w:ind w:left="180" w:right="780" w:hanging="172"/>
        <w:spacing w:after="0" w:line="260" w:lineRule="auto"/>
        <w:tabs>
          <w:tab w:leader="none" w:pos="180" w:val="left"/>
        </w:tabs>
        <w:numPr>
          <w:ilvl w:val="0"/>
          <w:numId w:val="66"/>
        </w:numPr>
        <w:rPr>
          <w:rFonts w:ascii="Arial" w:cs="Arial" w:eastAsia="Arial" w:hAnsi="Arial"/>
          <w:sz w:val="16"/>
          <w:szCs w:val="16"/>
          <w:color w:val="CE0D41"/>
        </w:rPr>
      </w:pPr>
      <w:r>
        <w:rPr>
          <w:rFonts w:ascii="Arial" w:cs="Arial" w:eastAsia="Arial" w:hAnsi="Arial"/>
          <w:sz w:val="16"/>
          <w:szCs w:val="16"/>
          <w:color w:val="auto"/>
        </w:rPr>
        <w:t>improve the Company’s performance as compared to our key oilfield service company peers: Schlumberger, Halliburton and Baker Hughes, or our “Significant Peers,” with a focus on both increased market share and profitability; and</w:t>
      </w:r>
    </w:p>
    <w:p>
      <w:pPr>
        <w:spacing w:after="0" w:line="182" w:lineRule="exact"/>
        <w:rPr>
          <w:rFonts w:ascii="Arial" w:cs="Arial" w:eastAsia="Arial" w:hAnsi="Arial"/>
          <w:sz w:val="16"/>
          <w:szCs w:val="16"/>
          <w:color w:val="CE0D41"/>
        </w:rPr>
      </w:pPr>
    </w:p>
    <w:p>
      <w:pPr>
        <w:ind w:left="180" w:hanging="172"/>
        <w:spacing w:after="0"/>
        <w:tabs>
          <w:tab w:leader="none" w:pos="180" w:val="left"/>
        </w:tabs>
        <w:numPr>
          <w:ilvl w:val="0"/>
          <w:numId w:val="66"/>
        </w:numPr>
        <w:rPr>
          <w:rFonts w:ascii="Arial" w:cs="Arial" w:eastAsia="Arial" w:hAnsi="Arial"/>
          <w:sz w:val="16"/>
          <w:szCs w:val="16"/>
          <w:color w:val="CE0D41"/>
        </w:rPr>
      </w:pPr>
      <w:r>
        <w:rPr>
          <w:rFonts w:ascii="Arial" w:cs="Arial" w:eastAsia="Arial" w:hAnsi="Arial"/>
          <w:sz w:val="16"/>
          <w:szCs w:val="16"/>
          <w:color w:val="auto"/>
        </w:rPr>
        <w:t>respond to the cyclical downturn in the oil and gas industry, with an unrelenting focus on cost reduction, free cash flow and safety.</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connection with improving performance compared to our Significant Peers, the Compensation Committee approved a new component of executive compensation incentives which comprises a significant portion of the NEO’s objectives. The new component is based on a comparative performance matrix, or “CPM” structure, which calculates the year-over-year change in revenue and operating income, in each case measured as a percentage change, for the Company and our Significant Peers. The percentage change is ranked from one (best achievement) to four (worst achievement), and the revenue and operating income rankings are summed to get a total CPM score, which ranges from two (best achievement) to eight (worst achievement). Proportional downward adjustments to the total CPM score will be made if Baker Hughes and Halliburton merge in 2015.</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While the Committee evaluates a larger group of peers when determining compensation for our NEOs (as described on page 43), the Committee believes the Significant Peers are most relevant and appropriate competitors for measuring the 50% (25% for Mr. Mills) component of non-equity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7220"/>
        <w:spacing w:after="0"/>
        <w:rPr>
          <w:sz w:val="20"/>
          <w:szCs w:val="20"/>
          <w:color w:val="auto"/>
        </w:rPr>
      </w:pPr>
      <w:r>
        <w:rPr>
          <w:rFonts w:ascii="Arial" w:cs="Arial" w:eastAsia="Arial" w:hAnsi="Arial"/>
          <w:sz w:val="16"/>
          <w:szCs w:val="16"/>
          <w:color w:val="818284"/>
        </w:rPr>
        <w:t xml:space="preserve">Weatherford International plc — 2015 Proxy Statement </w:t>
      </w:r>
      <w:r>
        <w:rPr>
          <w:rFonts w:ascii="Arial" w:cs="Arial" w:eastAsia="Arial" w:hAnsi="Arial"/>
          <w:sz w:val="16"/>
          <w:szCs w:val="16"/>
          <w:b w:val="1"/>
          <w:bCs w:val="1"/>
          <w:color w:val="8182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1" w:right="239" w:bottom="410" w:gutter="0" w:footer="0" w:header="0"/>
        </w:sectPr>
      </w:pPr>
    </w:p>
    <w:bookmarkStart w:id="64" w:name="page65"/>
    <w:bookmarkEnd w:id="6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compensation. Our customers (whether independent or national oil companies), the financial sector, and our investor community are most interested in our performance against these Significant Peers. It is with these companies that we share the greatest similarity in business purpose within the oilfield services sector, have the most similar client base, and, individually, are each integrated oilfield service companies with truly multi-international footprints. Industry analysts community measure Weatherford’s performance versus that of our Significant Peers. To include other companies outside of this Significant Peer group would include oil and gas operators and/or pure oil field manufacturers, against which our performance would be most difficult to measure accurately and with which we do not have the same symbiotic business purpose or strategic alignment. Measuring non-equity compensation against this Significant Peer group will be more rigorous than if we were to expand the population, especially given the Company’s current last-place standing in the CPM metric against the Significant Peers.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objectives for our current NEOs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Messrs. Duroc-Danner, Shivram and Mehta</w:t>
      </w:r>
    </w:p>
    <w:p>
      <w:pPr>
        <w:spacing w:after="0" w:line="194"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50% related to total CPM score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20% related to cost reduction (defined by annualized cost savings)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20% related to free cash flow generation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10% for achievement of safety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Mr. Mills</w:t>
      </w:r>
    </w:p>
    <w:p>
      <w:pPr>
        <w:spacing w:after="0" w:line="194"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25% related to total CPM score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20% related to cost reduction (defined by annualized cost savings)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20% related to free cash flow generation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20% related to successful preparation of financials for, and reporting related to, our land rigs business</w:t>
      </w:r>
    </w:p>
    <w:p>
      <w:pPr>
        <w:spacing w:after="0" w:line="207" w:lineRule="exact"/>
        <w:rPr>
          <w:rFonts w:ascii="Arial" w:cs="Arial" w:eastAsia="Arial" w:hAnsi="Arial"/>
          <w:sz w:val="16"/>
          <w:szCs w:val="16"/>
          <w:color w:val="CE0D41"/>
        </w:rPr>
      </w:pPr>
    </w:p>
    <w:p>
      <w:pPr>
        <w:ind w:left="180" w:right="220" w:hanging="172"/>
        <w:spacing w:after="0" w:line="260" w:lineRule="auto"/>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15% related to the transition of certain transactional accounting functions from our corporate group to regional financial hubs, which we believe will reduce costs, improve efficiency and enhance our internal controls.</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For each of our current NEOs, under the 2015 plan, “annualized cost savings” means reductions in costs during the year, including, but not limited to, headcount reduction, further closure of uneconomic or marginal locations, reduction of support structures, and other savings. “Free cash flow” means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 The safety objective again includes lost-time injury rate and preventable vehicle injury rate and the safety incentive is split equally (5% and 5%) between these two measures.</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threshold, target and superior levels for annualized cost savings and free cash flow were set at levels that the Committee believes will maintain the same level of rigor and are appropriate for the following reasons:</w:t>
      </w:r>
    </w:p>
    <w:p>
      <w:pPr>
        <w:spacing w:after="0" w:line="169" w:lineRule="exact"/>
        <w:rPr>
          <w:sz w:val="20"/>
          <w:szCs w:val="20"/>
          <w:color w:val="auto"/>
        </w:rPr>
      </w:pPr>
    </w:p>
    <w:p>
      <w:pPr>
        <w:ind w:left="180" w:right="40" w:hanging="172"/>
        <w:spacing w:after="0" w:line="250" w:lineRule="auto"/>
        <w:tabs>
          <w:tab w:leader="none" w:pos="180" w:val="left"/>
        </w:tabs>
        <w:numPr>
          <w:ilvl w:val="0"/>
          <w:numId w:val="69"/>
        </w:numPr>
        <w:rPr>
          <w:rFonts w:ascii="Arial" w:cs="Arial" w:eastAsia="Arial" w:hAnsi="Arial"/>
          <w:sz w:val="16"/>
          <w:szCs w:val="16"/>
          <w:color w:val="CE0D41"/>
        </w:rPr>
      </w:pPr>
      <w:r>
        <w:rPr>
          <w:rFonts w:ascii="Arial" w:cs="Arial" w:eastAsia="Arial" w:hAnsi="Arial"/>
          <w:sz w:val="16"/>
          <w:szCs w:val="16"/>
          <w:color w:val="auto"/>
        </w:rPr>
        <w:t>The Company continues to believe that cost reductions are important and need to be a focus for the management team. Our direction in 2015 focuses on continuing to improve our cost structure. Weatherford is aligning the organizational structure to substantially reduce overhead in all forms; rationalize support functions; eliminate duplicate staff; and de-layering the organization. These actions are structural in nature and will change the Company’s cost structure permanently. We will also lower our direct costs to match the market volume drops. The Committee evaluated historical costs, including savings in 2014, market information, peer metrics, and set levels that will be difficult to reach, but if achieved, will drive shareholder value.</w:t>
      </w:r>
    </w:p>
    <w:p>
      <w:pPr>
        <w:spacing w:after="0" w:line="189" w:lineRule="exact"/>
        <w:rPr>
          <w:rFonts w:ascii="Arial" w:cs="Arial" w:eastAsia="Arial" w:hAnsi="Arial"/>
          <w:sz w:val="16"/>
          <w:szCs w:val="16"/>
          <w:color w:val="CE0D41"/>
        </w:rPr>
      </w:pPr>
    </w:p>
    <w:p>
      <w:pPr>
        <w:ind w:left="180" w:hanging="172"/>
        <w:spacing w:after="0"/>
        <w:tabs>
          <w:tab w:leader="none" w:pos="180" w:val="left"/>
        </w:tabs>
        <w:numPr>
          <w:ilvl w:val="0"/>
          <w:numId w:val="69"/>
        </w:numPr>
        <w:rPr>
          <w:rFonts w:ascii="Arial" w:cs="Arial" w:eastAsia="Arial" w:hAnsi="Arial"/>
          <w:sz w:val="16"/>
          <w:szCs w:val="16"/>
          <w:color w:val="CE0D41"/>
        </w:rPr>
      </w:pPr>
      <w:r>
        <w:rPr>
          <w:rFonts w:ascii="Arial" w:cs="Arial" w:eastAsia="Arial" w:hAnsi="Arial"/>
          <w:sz w:val="16"/>
          <w:szCs w:val="16"/>
          <w:color w:val="auto"/>
        </w:rPr>
        <w:t>With respect to FCF, in 2014, the Company significantly missed the threshold metric for FCF, which was negative for the 2014 fiscal year.</w:t>
      </w:r>
    </w:p>
    <w:p>
      <w:pPr>
        <w:spacing w:after="0" w:line="5" w:lineRule="exact"/>
        <w:rPr>
          <w:rFonts w:ascii="Arial" w:cs="Arial" w:eastAsia="Arial" w:hAnsi="Arial"/>
          <w:sz w:val="16"/>
          <w:szCs w:val="16"/>
          <w:color w:val="CE0D41"/>
        </w:rPr>
      </w:pPr>
    </w:p>
    <w:p>
      <w:pPr>
        <w:jc w:val="both"/>
        <w:ind w:left="180" w:right="220"/>
        <w:spacing w:after="0" w:line="253" w:lineRule="auto"/>
        <w:rPr>
          <w:rFonts w:ascii="Arial" w:cs="Arial" w:eastAsia="Arial" w:hAnsi="Arial"/>
          <w:sz w:val="16"/>
          <w:szCs w:val="16"/>
          <w:color w:val="CE0D41"/>
        </w:rPr>
      </w:pPr>
      <w:r>
        <w:rPr>
          <w:rFonts w:ascii="Arial" w:cs="Arial" w:eastAsia="Arial" w:hAnsi="Arial"/>
          <w:sz w:val="16"/>
          <w:szCs w:val="16"/>
          <w:color w:val="auto"/>
        </w:rPr>
        <w:t>The Committee set threshold, target and superior levels after carefully reviewing past performance, the Company’s outlook, strategy and enterprise goals. Achieving even the threshold will require an over $400 million improvement, which the Company believes is an appropriate increase to include in the NEO objectives.</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Committee determined that, given these executives’ senior roles at the Company, and the fundamental importance of these objectives in creating value for our shareholders, all of our current NEOs and most of our other officers, should have certain common objectives including the CPM score and cost savings. In lieu of these objectives, certain non-NEO corporate officers and Mr. Mills were given other goals with particular focus on their business or corporate responsibilities.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threshold, target and superior objectives for our current NEOs for 2015: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in 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Comparative</w:t>
            </w:r>
          </w:p>
        </w:tc>
        <w:tc>
          <w:tcPr>
            <w:tcW w:w="1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195"/>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Market share and</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Free</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Objective</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Profitability</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Cost Reduction</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Cash Flow</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Safety</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Other</w:t>
            </w:r>
          </w:p>
        </w:tc>
      </w:tr>
      <w:tr>
        <w:trPr>
          <w:trHeight w:val="184"/>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Annualized</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4"/>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Performance Metric</w:t>
            </w:r>
          </w:p>
        </w:tc>
        <w:tc>
          <w:tcPr>
            <w:tcW w:w="1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CPM Score</w:t>
            </w:r>
          </w:p>
        </w:tc>
        <w:tc>
          <w:tcPr>
            <w:tcW w:w="1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Cost Savings</w:t>
            </w: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FCF</w:t>
            </w:r>
          </w:p>
        </w:tc>
        <w:tc>
          <w:tcPr>
            <w:tcW w:w="1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LTIR/PVIR</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Accounting</w:t>
            </w:r>
          </w:p>
        </w:tc>
      </w:tr>
      <w:tr>
        <w:trPr>
          <w:trHeight w:val="191"/>
        </w:trPr>
        <w:tc>
          <w:tcPr>
            <w:tcW w:w="3460" w:type="dxa"/>
            <w:vAlign w:val="bottom"/>
            <w:gridSpan w:val="3"/>
          </w:tcPr>
          <w:p>
            <w:pPr>
              <w:spacing w:after="0"/>
              <w:rPr>
                <w:sz w:val="20"/>
                <w:szCs w:val="20"/>
                <w:color w:val="auto"/>
              </w:rPr>
            </w:pPr>
            <w:r>
              <w:rPr>
                <w:rFonts w:ascii="Arial" w:cs="Arial" w:eastAsia="Arial" w:hAnsi="Arial"/>
                <w:sz w:val="16"/>
                <w:szCs w:val="16"/>
                <w:color w:val="auto"/>
              </w:rPr>
              <w:t>Metric Weight (NEOs excluding Mr. Mills)</w:t>
            </w:r>
          </w:p>
        </w:tc>
        <w:tc>
          <w:tcPr>
            <w:tcW w:w="160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187"/>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Metric Weight (Mr. Mills)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4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2015</w:t>
            </w:r>
          </w:p>
        </w:tc>
        <w:tc>
          <w:tcPr>
            <w:tcW w:w="3060" w:type="dxa"/>
            <w:vAlign w:val="bottom"/>
            <w:tcBorders>
              <w:bottom w:val="single" w:sz="8" w:color="818284"/>
            </w:tcBorders>
            <w:gridSpan w:val="2"/>
          </w:tcPr>
          <w:p>
            <w:pPr>
              <w:ind w:left="20"/>
              <w:spacing w:after="0" w:line="183" w:lineRule="exact"/>
              <w:rPr>
                <w:sz w:val="20"/>
                <w:szCs w:val="20"/>
                <w:color w:val="auto"/>
              </w:rPr>
            </w:pPr>
            <w:r>
              <w:rPr>
                <w:rFonts w:ascii="Arial" w:cs="Arial" w:eastAsia="Arial" w:hAnsi="Arial"/>
                <w:sz w:val="16"/>
                <w:szCs w:val="16"/>
                <w:color w:val="auto"/>
              </w:rPr>
              <w:t>Superior</w:t>
            </w: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2</w:t>
            </w:r>
          </w:p>
        </w:tc>
        <w:tc>
          <w:tcPr>
            <w:tcW w:w="220" w:type="dxa"/>
            <w:vAlign w:val="bottom"/>
            <w:tcBorders>
              <w:bottom w:val="single" w:sz="8" w:color="818284"/>
            </w:tcBorders>
          </w:tcPr>
          <w:p>
            <w:pPr>
              <w:spacing w:after="0"/>
              <w:rPr>
                <w:sz w:val="15"/>
                <w:szCs w:val="15"/>
                <w:color w:val="auto"/>
              </w:rPr>
            </w:pP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$550</w:t>
            </w:r>
          </w:p>
        </w:tc>
        <w:tc>
          <w:tcPr>
            <w:tcW w:w="22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$400</w:t>
            </w:r>
          </w:p>
        </w:tc>
        <w:tc>
          <w:tcPr>
            <w:tcW w:w="220" w:type="dxa"/>
            <w:vAlign w:val="bottom"/>
            <w:tcBorders>
              <w:bottom w:val="single" w:sz="8" w:color="818284"/>
            </w:tcBorders>
          </w:tcPr>
          <w:p>
            <w:pPr>
              <w:spacing w:after="0"/>
              <w:rPr>
                <w:sz w:val="15"/>
                <w:szCs w:val="15"/>
                <w:color w:val="auto"/>
              </w:rPr>
            </w:pPr>
          </w:p>
        </w:tc>
        <w:tc>
          <w:tcPr>
            <w:tcW w:w="128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0.11/0.50</w:t>
            </w:r>
          </w:p>
        </w:tc>
        <w:tc>
          <w:tcPr>
            <w:tcW w:w="220" w:type="dxa"/>
            <w:vAlign w:val="bottom"/>
            <w:tcBorders>
              <w:bottom w:val="single" w:sz="8" w:color="818284"/>
            </w:tcBorders>
          </w:tcPr>
          <w:p>
            <w:pPr>
              <w:spacing w:after="0"/>
              <w:rPr>
                <w:sz w:val="15"/>
                <w:szCs w:val="15"/>
                <w:color w:val="auto"/>
              </w:rPr>
            </w:pPr>
          </w:p>
        </w:tc>
        <w:tc>
          <w:tcPr>
            <w:tcW w:w="13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–(a)</w:t>
            </w:r>
          </w:p>
        </w:tc>
      </w:tr>
      <w:tr>
        <w:trPr>
          <w:trHeight w:val="183"/>
        </w:trPr>
        <w:tc>
          <w:tcPr>
            <w:tcW w:w="4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2015</w:t>
            </w:r>
          </w:p>
        </w:tc>
        <w:tc>
          <w:tcPr>
            <w:tcW w:w="3060" w:type="dxa"/>
            <w:vAlign w:val="bottom"/>
            <w:tcBorders>
              <w:bottom w:val="single" w:sz="8" w:color="818284"/>
            </w:tcBorders>
            <w:gridSpan w:val="2"/>
          </w:tcPr>
          <w:p>
            <w:pPr>
              <w:ind w:left="20"/>
              <w:spacing w:after="0" w:line="183" w:lineRule="exact"/>
              <w:rPr>
                <w:sz w:val="20"/>
                <w:szCs w:val="20"/>
                <w:color w:val="auto"/>
              </w:rPr>
            </w:pPr>
            <w:r>
              <w:rPr>
                <w:rFonts w:ascii="Arial" w:cs="Arial" w:eastAsia="Arial" w:hAnsi="Arial"/>
                <w:sz w:val="16"/>
                <w:szCs w:val="16"/>
                <w:color w:val="auto"/>
              </w:rPr>
              <w:t>Target</w:t>
            </w: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4</w:t>
            </w:r>
          </w:p>
        </w:tc>
        <w:tc>
          <w:tcPr>
            <w:tcW w:w="220" w:type="dxa"/>
            <w:vAlign w:val="bottom"/>
            <w:tcBorders>
              <w:bottom w:val="single" w:sz="8" w:color="818284"/>
            </w:tcBorders>
          </w:tcPr>
          <w:p>
            <w:pPr>
              <w:spacing w:after="0"/>
              <w:rPr>
                <w:sz w:val="15"/>
                <w:szCs w:val="15"/>
                <w:color w:val="auto"/>
              </w:rPr>
            </w:pP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$440</w:t>
            </w:r>
          </w:p>
        </w:tc>
        <w:tc>
          <w:tcPr>
            <w:tcW w:w="22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$300</w:t>
            </w:r>
          </w:p>
        </w:tc>
        <w:tc>
          <w:tcPr>
            <w:tcW w:w="220" w:type="dxa"/>
            <w:vAlign w:val="bottom"/>
            <w:tcBorders>
              <w:bottom w:val="single" w:sz="8" w:color="818284"/>
            </w:tcBorders>
          </w:tcPr>
          <w:p>
            <w:pPr>
              <w:spacing w:after="0"/>
              <w:rPr>
                <w:sz w:val="15"/>
                <w:szCs w:val="15"/>
                <w:color w:val="auto"/>
              </w:rPr>
            </w:pPr>
          </w:p>
        </w:tc>
        <w:tc>
          <w:tcPr>
            <w:tcW w:w="128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0.12/0.51</w:t>
            </w:r>
          </w:p>
        </w:tc>
        <w:tc>
          <w:tcPr>
            <w:tcW w:w="220" w:type="dxa"/>
            <w:vAlign w:val="bottom"/>
            <w:tcBorders>
              <w:bottom w:val="single" w:sz="8" w:color="818284"/>
            </w:tcBorders>
          </w:tcPr>
          <w:p>
            <w:pPr>
              <w:spacing w:after="0"/>
              <w:rPr>
                <w:sz w:val="15"/>
                <w:szCs w:val="15"/>
                <w:color w:val="auto"/>
              </w:rPr>
            </w:pPr>
          </w:p>
        </w:tc>
        <w:tc>
          <w:tcPr>
            <w:tcW w:w="13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–(a)</w:t>
            </w:r>
          </w:p>
        </w:tc>
      </w:tr>
      <w:tr>
        <w:trPr>
          <w:trHeight w:val="183"/>
        </w:trPr>
        <w:tc>
          <w:tcPr>
            <w:tcW w:w="4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2015</w:t>
            </w:r>
          </w:p>
        </w:tc>
        <w:tc>
          <w:tcPr>
            <w:tcW w:w="3060" w:type="dxa"/>
            <w:vAlign w:val="bottom"/>
            <w:tcBorders>
              <w:bottom w:val="single" w:sz="8" w:color="818284"/>
            </w:tcBorders>
            <w:gridSpan w:val="2"/>
          </w:tcPr>
          <w:p>
            <w:pPr>
              <w:ind w:left="20"/>
              <w:spacing w:after="0" w:line="183" w:lineRule="exact"/>
              <w:rPr>
                <w:sz w:val="20"/>
                <w:szCs w:val="20"/>
                <w:color w:val="auto"/>
              </w:rPr>
            </w:pPr>
            <w:r>
              <w:rPr>
                <w:rFonts w:ascii="Arial" w:cs="Arial" w:eastAsia="Arial" w:hAnsi="Arial"/>
                <w:sz w:val="16"/>
                <w:szCs w:val="16"/>
                <w:color w:val="auto"/>
              </w:rPr>
              <w:t>Threshold</w:t>
            </w: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220" w:type="dxa"/>
            <w:vAlign w:val="bottom"/>
            <w:tcBorders>
              <w:bottom w:val="single" w:sz="8" w:color="818284"/>
            </w:tcBorders>
          </w:tcPr>
          <w:p>
            <w:pPr>
              <w:spacing w:after="0"/>
              <w:rPr>
                <w:sz w:val="15"/>
                <w:szCs w:val="15"/>
                <w:color w:val="auto"/>
              </w:rPr>
            </w:pP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$330</w:t>
            </w:r>
          </w:p>
        </w:tc>
        <w:tc>
          <w:tcPr>
            <w:tcW w:w="22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$200</w:t>
            </w:r>
          </w:p>
        </w:tc>
        <w:tc>
          <w:tcPr>
            <w:tcW w:w="220" w:type="dxa"/>
            <w:vAlign w:val="bottom"/>
            <w:tcBorders>
              <w:bottom w:val="single" w:sz="8" w:color="818284"/>
            </w:tcBorders>
          </w:tcPr>
          <w:p>
            <w:pPr>
              <w:spacing w:after="0"/>
              <w:rPr>
                <w:sz w:val="15"/>
                <w:szCs w:val="15"/>
                <w:color w:val="auto"/>
              </w:rPr>
            </w:pPr>
          </w:p>
        </w:tc>
        <w:tc>
          <w:tcPr>
            <w:tcW w:w="128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0.13/0.52</w:t>
            </w:r>
          </w:p>
        </w:tc>
        <w:tc>
          <w:tcPr>
            <w:tcW w:w="220" w:type="dxa"/>
            <w:vAlign w:val="bottom"/>
            <w:tcBorders>
              <w:bottom w:val="single" w:sz="8" w:color="818284"/>
            </w:tcBorders>
          </w:tcPr>
          <w:p>
            <w:pPr>
              <w:spacing w:after="0"/>
              <w:rPr>
                <w:sz w:val="15"/>
                <w:szCs w:val="15"/>
                <w:color w:val="auto"/>
              </w:rPr>
            </w:pPr>
          </w:p>
        </w:tc>
        <w:tc>
          <w:tcPr>
            <w:tcW w:w="13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–(a)</w:t>
            </w:r>
          </w:p>
        </w:tc>
      </w:tr>
      <w:tr>
        <w:trPr>
          <w:trHeight w:val="190"/>
        </w:trPr>
        <w:tc>
          <w:tcPr>
            <w:tcW w:w="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2014</w:t>
            </w:r>
          </w:p>
        </w:tc>
        <w:tc>
          <w:tcPr>
            <w:tcW w:w="306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Actual</w:t>
            </w:r>
          </w:p>
        </w:tc>
        <w:tc>
          <w:tcPr>
            <w:tcW w:w="16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$602</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0.13/0.53</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–(a)</w:t>
            </w:r>
          </w:p>
        </w:tc>
      </w:tr>
    </w:tbl>
    <w:p>
      <w:pPr>
        <w:spacing w:after="0" w:line="56" w:lineRule="exact"/>
        <w:rPr>
          <w:sz w:val="20"/>
          <w:szCs w:val="20"/>
          <w:color w:val="auto"/>
        </w:rPr>
      </w:pPr>
    </w:p>
    <w:p>
      <w:pPr>
        <w:ind w:left="280" w:right="100" w:hanging="272"/>
        <w:spacing w:after="0" w:line="249" w:lineRule="auto"/>
        <w:tabs>
          <w:tab w:leader="none" w:pos="2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Mr. Mills accounting objectives are 20% related to successful preparation of financials for, and reporting related to, our land rigs business, with the threshold met when carveout financials for the rigs business are complete, the target met when the rigs business is successfully reported as a separate segment in our 2015 financial quarterly statements and superior met when an independent audit for the rigs business is complete; and 15% related to the transition of certain transactional accounting functions from our corporate group to regional financial hubs, with the threshold met when all transactions to be moved are identified, target met upon delivery of a detailed plan for transition; and superior met upon delivery of a complete plan and business analysis that includes location for the regional financial hubs, employees to run each region identified and mapping of the move.</w:t>
      </w:r>
    </w:p>
    <w:p>
      <w:pPr>
        <w:sectPr>
          <w:pgSz w:w="11900" w:h="16838" w:orient="portrait"/>
          <w:cols w:equalWidth="0" w:num="1">
            <w:col w:w="11420"/>
          </w:cols>
          <w:pgMar w:left="240" w:top="501" w:right="239" w:bottom="0" w:gutter="0" w:footer="0" w:header="0"/>
        </w:sectPr>
      </w:pPr>
    </w:p>
    <w:bookmarkStart w:id="65" w:name="page66"/>
    <w:bookmarkEnd w:id="65"/>
    <w:p>
      <w:pPr>
        <w:spacing w:after="0" w:line="260" w:lineRule="auto"/>
        <w:rPr>
          <w:sz w:val="20"/>
          <w:szCs w:val="20"/>
          <w:color w:val="auto"/>
        </w:rPr>
      </w:pPr>
      <w:r>
        <w:rPr>
          <w:rFonts w:ascii="Arial" w:cs="Arial" w:eastAsia="Arial" w:hAnsi="Arial"/>
          <w:sz w:val="16"/>
          <w:szCs w:val="16"/>
          <w:color w:val="auto"/>
        </w:rPr>
        <w:t>The Committee believes that these metrics are appropriate representations of and incentives towards the relevant objectives of improved year-over-year performance to peers, cost reduction, free cash flow generation and safety, and that the weighting assigned to each is appropriate. The targets 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00"/>
          </w:cols>
          <w:pgMar w:left="240" w:top="141" w:right="759" w:bottom="1440" w:gutter="0" w:footer="0" w:header="0"/>
        </w:sectPr>
      </w:pPr>
    </w:p>
    <w:bookmarkStart w:id="66" w:name="page67"/>
    <w:bookmarkEnd w:id="66"/>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tied to internal budgets and expectations and require significant improvement over the performance in 2014 compared to peers and incremental improvement and continued savings with respect to the non-CPM score objectives. The Committee believes these targets are rigorous, appropriate for our market, the shifting industry landscape, and are at or above market expectations.</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potential payouts under the 2015 annual bonus structure for our NEOs, expressed as a percentage of salary based on achievement of various levels, as shown in the table below, are percentages we determined to be within market ranges based on market data from the Company’s peer group and industry. These are the same percentages that were set for 2014 for individuals with similar titles. For each metric, the percentage of salary determined by performance would be multiplied by the weighting percentage for the metric shown above to determine the payout on that metric.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Objectives (non-CPM)</w:t>
            </w:r>
          </w:p>
        </w:tc>
        <w:tc>
          <w:tcPr>
            <w:tcW w:w="30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Threshold</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Target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Superior</w:t>
            </w:r>
          </w:p>
        </w:tc>
      </w:tr>
      <w:tr>
        <w:trPr>
          <w:trHeight w:val="189"/>
        </w:trPr>
        <w:tc>
          <w:tcPr>
            <w:tcW w:w="41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3020" w:type="dxa"/>
            <w:vAlign w:val="bottom"/>
            <w:tcBorders>
              <w:bottom w:val="single" w:sz="8" w:color="818284"/>
            </w:tcBorders>
          </w:tcPr>
          <w:p>
            <w:pPr>
              <w:jc w:val="center"/>
              <w:ind w:left="939"/>
              <w:spacing w:after="0"/>
              <w:rPr>
                <w:sz w:val="20"/>
                <w:szCs w:val="20"/>
                <w:color w:val="auto"/>
              </w:rPr>
            </w:pPr>
            <w:r>
              <w:rPr>
                <w:rFonts w:ascii="Arial" w:cs="Arial" w:eastAsia="Arial" w:hAnsi="Arial"/>
                <w:sz w:val="16"/>
                <w:szCs w:val="16"/>
                <w:color w:val="auto"/>
                <w:w w:val="99"/>
              </w:rPr>
              <w:t>60%</w:t>
            </w:r>
          </w:p>
        </w:tc>
        <w:tc>
          <w:tcPr>
            <w:tcW w:w="2140" w:type="dxa"/>
            <w:vAlign w:val="bottom"/>
            <w:tcBorders>
              <w:bottom w:val="single" w:sz="8" w:color="818284"/>
            </w:tcBorders>
          </w:tcPr>
          <w:p>
            <w:pPr>
              <w:jc w:val="center"/>
              <w:spacing w:after="0"/>
              <w:rPr>
                <w:sz w:val="20"/>
                <w:szCs w:val="20"/>
                <w:color w:val="auto"/>
              </w:rPr>
            </w:pPr>
            <w:r>
              <w:rPr>
                <w:rFonts w:ascii="Arial" w:cs="Arial" w:eastAsia="Arial" w:hAnsi="Arial"/>
                <w:sz w:val="16"/>
                <w:szCs w:val="16"/>
                <w:color w:val="auto"/>
                <w:w w:val="97"/>
              </w:rPr>
              <w:t>120%</w:t>
            </w:r>
          </w:p>
        </w:tc>
        <w:tc>
          <w:tcPr>
            <w:tcW w:w="2160" w:type="dxa"/>
            <w:vAlign w:val="bottom"/>
            <w:tcBorders>
              <w:bottom w:val="single" w:sz="8" w:color="818284"/>
            </w:tcBorders>
          </w:tcPr>
          <w:p>
            <w:pPr>
              <w:jc w:val="center"/>
              <w:spacing w:after="0"/>
              <w:rPr>
                <w:sz w:val="20"/>
                <w:szCs w:val="20"/>
                <w:color w:val="auto"/>
              </w:rPr>
            </w:pPr>
            <w:r>
              <w:rPr>
                <w:rFonts w:ascii="Arial" w:cs="Arial" w:eastAsia="Arial" w:hAnsi="Arial"/>
                <w:sz w:val="16"/>
                <w:szCs w:val="16"/>
                <w:color w:val="auto"/>
                <w:w w:val="97"/>
              </w:rPr>
              <w:t>240%</w:t>
            </w:r>
          </w:p>
        </w:tc>
      </w:tr>
      <w:tr>
        <w:trPr>
          <w:trHeight w:val="183"/>
        </w:trPr>
        <w:tc>
          <w:tcPr>
            <w:tcW w:w="41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Messrs. Shivram and Mehta</w:t>
            </w:r>
          </w:p>
        </w:tc>
        <w:tc>
          <w:tcPr>
            <w:tcW w:w="3020" w:type="dxa"/>
            <w:vAlign w:val="bottom"/>
            <w:tcBorders>
              <w:bottom w:val="single" w:sz="8" w:color="818284"/>
            </w:tcBorders>
          </w:tcPr>
          <w:p>
            <w:pPr>
              <w:jc w:val="center"/>
              <w:ind w:left="939"/>
              <w:spacing w:after="0" w:line="183" w:lineRule="exact"/>
              <w:rPr>
                <w:sz w:val="20"/>
                <w:szCs w:val="20"/>
                <w:color w:val="auto"/>
              </w:rPr>
            </w:pPr>
            <w:r>
              <w:rPr>
                <w:rFonts w:ascii="Arial" w:cs="Arial" w:eastAsia="Arial" w:hAnsi="Arial"/>
                <w:sz w:val="16"/>
                <w:szCs w:val="16"/>
                <w:color w:val="auto"/>
                <w:w w:val="99"/>
              </w:rPr>
              <w:t>50%</w:t>
            </w:r>
          </w:p>
        </w:tc>
        <w:tc>
          <w:tcPr>
            <w:tcW w:w="2140" w:type="dxa"/>
            <w:vAlign w:val="bottom"/>
            <w:tcBorders>
              <w:bottom w:val="single" w:sz="8" w:color="818284"/>
            </w:tcBorders>
          </w:tcPr>
          <w:p>
            <w:pPr>
              <w:jc w:val="center"/>
              <w:spacing w:after="0" w:line="183" w:lineRule="exact"/>
              <w:rPr>
                <w:sz w:val="20"/>
                <w:szCs w:val="20"/>
                <w:color w:val="auto"/>
              </w:rPr>
            </w:pPr>
            <w:r>
              <w:rPr>
                <w:rFonts w:ascii="Arial" w:cs="Arial" w:eastAsia="Arial" w:hAnsi="Arial"/>
                <w:sz w:val="16"/>
                <w:szCs w:val="16"/>
                <w:color w:val="auto"/>
                <w:w w:val="97"/>
              </w:rPr>
              <w:t>100%</w:t>
            </w:r>
          </w:p>
        </w:tc>
        <w:tc>
          <w:tcPr>
            <w:tcW w:w="2160" w:type="dxa"/>
            <w:vAlign w:val="bottom"/>
            <w:tcBorders>
              <w:bottom w:val="single" w:sz="8" w:color="818284"/>
            </w:tcBorders>
          </w:tcPr>
          <w:p>
            <w:pPr>
              <w:jc w:val="center"/>
              <w:spacing w:after="0" w:line="183" w:lineRule="exact"/>
              <w:rPr>
                <w:sz w:val="20"/>
                <w:szCs w:val="20"/>
                <w:color w:val="auto"/>
              </w:rPr>
            </w:pPr>
            <w:r>
              <w:rPr>
                <w:rFonts w:ascii="Arial" w:cs="Arial" w:eastAsia="Arial" w:hAnsi="Arial"/>
                <w:sz w:val="16"/>
                <w:szCs w:val="16"/>
                <w:color w:val="auto"/>
                <w:w w:val="97"/>
              </w:rPr>
              <w:t>200%</w:t>
            </w:r>
          </w:p>
        </w:tc>
      </w:tr>
      <w:tr>
        <w:trPr>
          <w:trHeight w:val="190"/>
        </w:trPr>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Mills</w:t>
            </w:r>
          </w:p>
        </w:tc>
        <w:tc>
          <w:tcPr>
            <w:tcW w:w="3020" w:type="dxa"/>
            <w:vAlign w:val="bottom"/>
            <w:tcBorders>
              <w:bottom w:val="single" w:sz="8" w:color="auto"/>
            </w:tcBorders>
          </w:tcPr>
          <w:p>
            <w:pPr>
              <w:jc w:val="center"/>
              <w:ind w:left="959"/>
              <w:spacing w:after="0" w:line="183" w:lineRule="exact"/>
              <w:rPr>
                <w:sz w:val="20"/>
                <w:szCs w:val="20"/>
                <w:color w:val="auto"/>
              </w:rPr>
            </w:pPr>
            <w:r>
              <w:rPr>
                <w:rFonts w:ascii="Arial" w:cs="Arial" w:eastAsia="Arial" w:hAnsi="Arial"/>
                <w:sz w:val="16"/>
                <w:szCs w:val="16"/>
                <w:color w:val="auto"/>
              </w:rPr>
              <w:t>37.5%</w:t>
            </w:r>
          </w:p>
        </w:tc>
        <w:tc>
          <w:tcPr>
            <w:tcW w:w="21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75%</w:t>
            </w:r>
          </w:p>
        </w:tc>
        <w:tc>
          <w:tcPr>
            <w:tcW w:w="21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150%</w:t>
            </w:r>
          </w:p>
        </w:tc>
      </w:tr>
      <w:tr>
        <w:trPr>
          <w:trHeight w:val="399"/>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Objectives (CPM)</w:t>
            </w:r>
          </w:p>
        </w:tc>
        <w:tc>
          <w:tcPr>
            <w:tcW w:w="30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Threshold(1)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Target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Superior</w:t>
            </w:r>
          </w:p>
        </w:tc>
      </w:tr>
      <w:tr>
        <w:trPr>
          <w:trHeight w:val="210"/>
        </w:trPr>
        <w:tc>
          <w:tcPr>
            <w:tcW w:w="4100" w:type="dxa"/>
            <w:vAlign w:val="bottom"/>
          </w:tcPr>
          <w:p>
            <w:pPr>
              <w:spacing w:after="0"/>
              <w:rPr>
                <w:sz w:val="18"/>
                <w:szCs w:val="18"/>
                <w:color w:val="auto"/>
              </w:rPr>
            </w:pPr>
          </w:p>
        </w:tc>
        <w:tc>
          <w:tcPr>
            <w:tcW w:w="3020" w:type="dxa"/>
            <w:vAlign w:val="bottom"/>
          </w:tcPr>
          <w:p>
            <w:pPr>
              <w:jc w:val="center"/>
              <w:ind w:left="939"/>
              <w:spacing w:after="0"/>
              <w:rPr>
                <w:sz w:val="20"/>
                <w:szCs w:val="20"/>
                <w:color w:val="auto"/>
              </w:rPr>
            </w:pPr>
            <w:r>
              <w:rPr>
                <w:rFonts w:ascii="Arial" w:cs="Arial" w:eastAsia="Arial" w:hAnsi="Arial"/>
                <w:sz w:val="16"/>
                <w:szCs w:val="16"/>
                <w:color w:val="auto"/>
              </w:rPr>
              <w:t>50% (6 Score)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 (4 Score)</w:t>
            </w:r>
          </w:p>
        </w:tc>
        <w:tc>
          <w:tcPr>
            <w:tcW w:w="2160" w:type="dxa"/>
            <w:vAlign w:val="bottom"/>
          </w:tcPr>
          <w:p>
            <w:pPr>
              <w:jc w:val="center"/>
              <w:spacing w:after="0"/>
              <w:rPr>
                <w:sz w:val="20"/>
                <w:szCs w:val="20"/>
                <w:color w:val="auto"/>
              </w:rPr>
            </w:pPr>
            <w:r>
              <w:rPr>
                <w:rFonts w:ascii="Arial" w:cs="Arial" w:eastAsia="Arial" w:hAnsi="Arial"/>
                <w:sz w:val="16"/>
                <w:szCs w:val="16"/>
                <w:color w:val="auto"/>
              </w:rPr>
              <w:t>200% (2 Score)</w:t>
            </w:r>
          </w:p>
        </w:tc>
      </w:tr>
      <w:tr>
        <w:trPr>
          <w:trHeight w:val="202"/>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 NEOs</w:t>
            </w:r>
          </w:p>
        </w:tc>
        <w:tc>
          <w:tcPr>
            <w:tcW w:w="30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75% (5 Score)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150% (3 Score)</w:t>
            </w:r>
          </w:p>
        </w:tc>
        <w:tc>
          <w:tcPr>
            <w:tcW w:w="2160" w:type="dxa"/>
            <w:vAlign w:val="bottom"/>
            <w:tcBorders>
              <w:bottom w:val="single" w:sz="8" w:color="auto"/>
            </w:tcBorders>
          </w:tcPr>
          <w:p>
            <w:pPr>
              <w:spacing w:after="0"/>
              <w:rPr>
                <w:sz w:val="17"/>
                <w:szCs w:val="17"/>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If the merger of Baker Hughes and Halliburton is consummated in 2015, the threshold will be adjusted to 50% (5 score) and 0% (6 score).</w:t>
      </w:r>
    </w:p>
    <w:p>
      <w:pPr>
        <w:spacing w:after="0" w:line="18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Award payments under the ICP are made after the public release of our year-end financial results for the applicable year, and after determination of the award payments by the Committee. No award payment is made until the calculation of the payment award is approved by the Committee. Plan awards earned for a year generally are paid in February or March of the following year. Awards are paid in cash in the currency in which the recipient is ordinarily paid.</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the event of unforeseen developments, the Committee may determine that modifying the ICP, the goals or the potential award payments would provide more appropriate incentives for executives. The Committee does not intend to exercise this discretion except in extraordinary circumstances. The Committee reserves the right in its sole discretion to adjust the financial metrics under the ICP to reflect, (1) the impact of material acquisitions or dispositions, (2) changes in our industry, (3) changes in macro-economic factors or conditions impacting the Company, (4) changes in market compensation practices and other circumstances, (5) changes in applicable laws, regulations or accounting practices, or (6) other matters that were not anticipated when the financial goals for the plan year were determined. The Committee also retains the discretion to make alternative bonus calculations, or to make retention awards or other awards, based on alternative or non-financial performance criteria if unexpected circumstances make such changes appropriate. The Committee does not intend to increase the potential payment amounts, even if an adjustment to the metrics is warranted.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2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and amended in 2012 and 2014), under which the Company may issue awards of long-term equity compensation from time to time consistent with the objectives and philosophy of our compensation programs. We generally grant long-term equity awards annually in February or March to incentivize future performance. See agenda Item 4 in this Proxy Statement for a further description of the 2010 Omnibus Incentive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Aggregate Value of Awards</w:t>
      </w:r>
    </w:p>
    <w:p>
      <w:pPr>
        <w:spacing w:after="0" w:line="22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restricted or performance units to award, the Committee looks to the closing share price as of the date of grant.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of Long-term Incentives</w:t>
      </w:r>
    </w:p>
    <w:p>
      <w:pPr>
        <w:spacing w:after="0" w:line="22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units (“PUs”).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156" w:lineRule="exact"/>
        <w:rPr>
          <w:sz w:val="20"/>
          <w:szCs w:val="20"/>
          <w:color w:val="auto"/>
        </w:rPr>
      </w:pPr>
    </w:p>
    <w:p>
      <w:pPr>
        <w:ind w:left="180" w:right="40" w:hanging="172"/>
        <w:spacing w:after="0" w:line="259" w:lineRule="auto"/>
        <w:tabs>
          <w:tab w:leader="none" w:pos="180" w:val="left"/>
        </w:tabs>
        <w:numPr>
          <w:ilvl w:val="0"/>
          <w:numId w:val="72"/>
        </w:numPr>
        <w:rPr>
          <w:rFonts w:ascii="Arial" w:cs="Arial" w:eastAsia="Arial" w:hAnsi="Arial"/>
          <w:sz w:val="16"/>
          <w:szCs w:val="16"/>
          <w:color w:val="CE0D41"/>
        </w:rPr>
      </w:pPr>
      <w:r>
        <w:rPr>
          <w:rFonts w:ascii="Arial" w:cs="Arial" w:eastAsia="Arial" w:hAnsi="Arial"/>
          <w:sz w:val="16"/>
          <w:szCs w:val="16"/>
          <w:b w:val="1"/>
          <w:bCs w:val="1"/>
          <w:color w:val="auto"/>
        </w:rPr>
        <w:t xml:space="preserve">RSUs </w:t>
      </w:r>
      <w:r>
        <w:rPr>
          <w:rFonts w:ascii="Arial" w:cs="Arial" w:eastAsia="Arial" w:hAnsi="Arial"/>
          <w:sz w:val="16"/>
          <w:szCs w:val="16"/>
          <w:color w:val="auto"/>
        </w:rPr>
        <w:t>motivate our NEOs to strive for share price appreciation, as they are granted at the closing price on the date of grant, and the executive realizes value</w:t>
      </w:r>
      <w:r>
        <w:rPr>
          <w:rFonts w:ascii="Arial" w:cs="Arial" w:eastAsia="Arial" w:hAnsi="Arial"/>
          <w:sz w:val="16"/>
          <w:szCs w:val="16"/>
          <w:b w:val="1"/>
          <w:bCs w:val="1"/>
          <w:color w:val="auto"/>
        </w:rPr>
        <w:t xml:space="preserve"> </w:t>
      </w:r>
      <w:r>
        <w:rPr>
          <w:rFonts w:ascii="Arial" w:cs="Arial" w:eastAsia="Arial" w:hAnsi="Arial"/>
          <w:sz w:val="16"/>
          <w:szCs w:val="16"/>
          <w:color w:val="auto"/>
        </w:rPr>
        <w:t>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spacing w:after="0" w:line="164" w:lineRule="exact"/>
        <w:rPr>
          <w:rFonts w:ascii="Arial" w:cs="Arial" w:eastAsia="Arial" w:hAnsi="Arial"/>
          <w:sz w:val="16"/>
          <w:szCs w:val="16"/>
          <w:color w:val="CE0D41"/>
        </w:rPr>
      </w:pPr>
    </w:p>
    <w:p>
      <w:pPr>
        <w:ind w:left="180" w:right="40" w:hanging="172"/>
        <w:spacing w:after="0" w:line="252" w:lineRule="auto"/>
        <w:tabs>
          <w:tab w:leader="none" w:pos="180" w:val="left"/>
        </w:tabs>
        <w:numPr>
          <w:ilvl w:val="0"/>
          <w:numId w:val="72"/>
        </w:numPr>
        <w:rPr>
          <w:rFonts w:ascii="Arial" w:cs="Arial" w:eastAsia="Arial" w:hAnsi="Arial"/>
          <w:sz w:val="16"/>
          <w:szCs w:val="16"/>
          <w:color w:val="CE0D41"/>
        </w:rPr>
      </w:pPr>
      <w:r>
        <w:rPr>
          <w:rFonts w:ascii="Arial" w:cs="Arial" w:eastAsia="Arial" w:hAnsi="Arial"/>
          <w:sz w:val="16"/>
          <w:szCs w:val="16"/>
          <w:b w:val="1"/>
          <w:bCs w:val="1"/>
          <w:color w:val="auto"/>
        </w:rPr>
        <w:t xml:space="preserve">PUs </w:t>
      </w:r>
      <w:r>
        <w:rPr>
          <w:rFonts w:ascii="Arial" w:cs="Arial" w:eastAsia="Arial" w:hAnsi="Arial"/>
          <w:sz w:val="16"/>
          <w:szCs w:val="16"/>
          <w:color w:val="auto"/>
        </w:rPr>
        <w:t>have higher possible returns and also higher risk of the various forms of awards available to the Committee to grant. PUs also provide an even stronger</w:t>
      </w:r>
      <w:r>
        <w:rPr>
          <w:rFonts w:ascii="Arial" w:cs="Arial" w:eastAsia="Arial" w:hAnsi="Arial"/>
          <w:sz w:val="16"/>
          <w:szCs w:val="16"/>
          <w:b w:val="1"/>
          <w:bCs w:val="1"/>
          <w:color w:val="auto"/>
        </w:rPr>
        <w:t xml:space="preserve"> </w:t>
      </w:r>
      <w:r>
        <w:rPr>
          <w:rFonts w:ascii="Arial" w:cs="Arial" w:eastAsia="Arial" w:hAnsi="Arial"/>
          <w:sz w:val="16"/>
          <w:szCs w:val="16"/>
          <w:color w:val="auto"/>
        </w:rPr>
        <w:t>correlation to shareholder value, as they vest, if at all, into a number of shares depending on achievement of specified performance targets. Except as provided below, PUs vest over a specified period of time, as determined for each award. PUs awarded in 2014 and 2015 vest in three equal installments over a three-year period. This vesting schedule was adopted in 2014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PUs. The vesting schedule has a direct correlation between one-, two- and three-year stock price increases and executive compensation, which provides greater alignment with the long-term share growth. As a further improvement to stock price correlation, the 2015 PU awards include a month-long average share price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1"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 w:name="page68"/>
    <w:bookmarkEnd w:id="67"/>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With regard to vesting of RSUs and PUs, (i) if the holder’s employment with the Company is terminated prior to the last (or sole) vesting date due to the holder’s death or “disability,” by the holder for “good reason” or by the Company without “cause,” or (ii) upon a change of control, then any restrictions that have not previously lapsed will lapse upon the occurrence of such event. If the holder’s employment is terminated for any other reason, any units with respect to which the restrictions have not lapsed will be forfeited to the Company. See additional descriptions and definitions in “Executive Employment Agreements” on page 41. Mrs. Ralston did not receive any shares under her awards upon her departure.</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March 2015, the Board, on the recommendation of the Compensation Committee, approved amendments to our 2010 Omnibus Incentive Plan that, if approved by shareholders, will prohibit the Company from purchasing underwater stock options and SARs without shareholder approval, see agenda Item 4 on page 53, which is further evidence of the Board and Compensation Committee’s oversight of compensations practices and its rigorous review of the Company’s compensation practices combined with responding to shareholder feedback.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2014, the Committee awarded long-term equity incentives of the following values to our NEOs, based on market comparisons: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 Award</w:t>
            </w:r>
          </w:p>
        </w:tc>
      </w:tr>
      <w:tr>
        <w:trPr>
          <w:trHeight w:val="189"/>
        </w:trPr>
        <w:tc>
          <w:tcPr>
            <w:tcW w:w="59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5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$8,000,000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Shivram</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$3,000,000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Mehta</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$3,000,000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Mills</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$1,001,700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Mrs. Ralston(a)</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Gee(b)</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90"/>
        </w:trPr>
        <w:tc>
          <w:tcPr>
            <w:tcW w:w="5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Jacobson(c)</w:t>
            </w:r>
          </w:p>
        </w:tc>
        <w:tc>
          <w:tcPr>
            <w:tcW w:w="5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340" w:right="220" w:hanging="332"/>
        <w:spacing w:after="0" w:line="25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Mrs. Ralston did not join the Company until July 2014. At that time she was granted restricted share awards with a value of $1,385,519, based on the closing stock price on the date of grant. Mrs. Ralston did not recieve any shares under awards in January of 2015 when she left the Company.</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Gee left the Company effective February 28, 2014.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Jacobson left the Company effective July 3, 2014.</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These values were used to calculate a number of units awarded based on the closing share price on the date of grant and may not correlate to the value presented in our Summary Compensation Table on page 44. The values of PUs reflected in the table are based on a statistical option-value pricing model known as “Monte Carlo Valuation,” which is used for accounting purposes. We encourage you to review the Summary Compensation Table on page 44 and the subsequent tables.</w:t>
      </w:r>
    </w:p>
    <w:p>
      <w:pPr>
        <w:spacing w:after="0" w:line="17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Of the above awards, the Committee determined to grant 50% of awards in PUs and 50% in RSUs in order to align the NEO’s mix of long-term incentives and to more closely reflect the mix of performance and time-based awards to our peer group as opposed to 2013 where there was no mix in the awards for our CEO and COO. The Committee also found it appropriate to align the CEO’s and COO’s compensation mix and decision making with that of the rest of the Company’s executive officers and Shareholder interests. The RSUs vest over three years, with 1/3 of the awarded RSUs vesting each year. The PUs will vest over three years, with 1/3 of the awarded number of units vesting (or if the baseline performance goal is not met, being forfeited) each year. The Committee believes this allocation between RSUs and PUs is appropriate for the very competitive industry and is more appropriate compared to the Company’s peer group.</w:t>
      </w:r>
    </w:p>
    <w:p>
      <w:pPr>
        <w:spacing w:after="0" w:line="18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Each year’s vesting of PUs is calculated independently so that under-performance in any one year is not offset by over-performance in any other year. The PUs will be settled in ordinary shares issued under our 2010 Omnibus Incentive Plan, with the actual number of shares to be issued based on a multiple of each executive’s targeted number of PUs. At each vesting point, the number of shares to be issued will be based on the Company’s stock price at the end of the vesting period,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stock price as of the last trading day of each calendar year 2014, 2015 and 2016. The following table shows how the level of vesting will be calculated: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Company Stock Price ($ per share) on the last trading day of the calendar year ending(c):</w:t>
            </w:r>
          </w:p>
        </w:tc>
      </w:tr>
      <w:tr>
        <w:trPr>
          <w:trHeight w:val="160"/>
        </w:trPr>
        <w:tc>
          <w:tcPr>
            <w:tcW w:w="25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Conversion</w:t>
            </w:r>
          </w:p>
        </w:tc>
        <w:tc>
          <w:tcPr>
            <w:tcW w:w="26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r>
      <w:tr>
        <w:trPr>
          <w:trHeight w:val="164"/>
        </w:trPr>
        <w:tc>
          <w:tcPr>
            <w:tcW w:w="2560" w:type="dxa"/>
            <w:vAlign w:val="bottom"/>
            <w:tcBorders>
              <w:bottom w:val="single" w:sz="8" w:color="auto"/>
              <w:right w:val="single" w:sz="8" w:color="auto"/>
            </w:tcBorders>
          </w:tcPr>
          <w:p>
            <w:pPr>
              <w:spacing w:after="0" w:line="157" w:lineRule="exact"/>
              <w:rPr>
                <w:sz w:val="20"/>
                <w:szCs w:val="20"/>
                <w:color w:val="auto"/>
              </w:rPr>
            </w:pPr>
            <w:r>
              <w:rPr>
                <w:rFonts w:ascii="Arial" w:cs="Arial" w:eastAsia="Arial" w:hAnsi="Arial"/>
                <w:sz w:val="14"/>
                <w:szCs w:val="14"/>
                <w:color w:val="auto"/>
              </w:rPr>
              <w:t>Performance Goal(a)</w:t>
            </w:r>
          </w:p>
        </w:tc>
        <w:tc>
          <w:tcPr>
            <w:tcW w:w="1380" w:type="dxa"/>
            <w:vAlign w:val="bottom"/>
            <w:tcBorders>
              <w:bottom w:val="single" w:sz="8" w:color="auto"/>
              <w:right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Percentage(b)</w:t>
            </w:r>
          </w:p>
        </w:tc>
        <w:tc>
          <w:tcPr>
            <w:tcW w:w="2620" w:type="dxa"/>
            <w:vAlign w:val="bottom"/>
            <w:tcBorders>
              <w:bottom w:val="single" w:sz="8" w:color="auto"/>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December 31, 2014</w:t>
            </w:r>
          </w:p>
        </w:tc>
        <w:tc>
          <w:tcPr>
            <w:tcW w:w="248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December 31, 2015</w:t>
            </w:r>
          </w:p>
        </w:tc>
        <w:tc>
          <w:tcPr>
            <w:tcW w:w="240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December 31, 2016</w:t>
            </w:r>
          </w:p>
        </w:tc>
      </w:tr>
      <w:tr>
        <w:trPr>
          <w:trHeight w:val="162"/>
        </w:trPr>
        <w:tc>
          <w:tcPr>
            <w:tcW w:w="2560" w:type="dxa"/>
            <w:vAlign w:val="bottom"/>
            <w:tcBorders>
              <w:bottom w:val="single" w:sz="8" w:color="818284"/>
              <w:right w:val="single" w:sz="8" w:color="auto"/>
            </w:tcBorders>
          </w:tcPr>
          <w:p>
            <w:pPr>
              <w:spacing w:after="0"/>
              <w:rPr>
                <w:sz w:val="20"/>
                <w:szCs w:val="20"/>
                <w:color w:val="auto"/>
              </w:rPr>
            </w:pPr>
            <w:r>
              <w:rPr>
                <w:rFonts w:ascii="Arial" w:cs="Arial" w:eastAsia="Arial" w:hAnsi="Arial"/>
                <w:sz w:val="14"/>
                <w:szCs w:val="14"/>
                <w:color w:val="auto"/>
              </w:rPr>
              <w:t>Less than BSP</w:t>
            </w:r>
          </w:p>
        </w:tc>
        <w:tc>
          <w:tcPr>
            <w:tcW w:w="1380" w:type="dxa"/>
            <w:vAlign w:val="bottom"/>
            <w:tcBorders>
              <w:bottom w:val="single" w:sz="8" w:color="818284"/>
              <w:right w:val="single" w:sz="8" w:color="auto"/>
            </w:tcBorders>
          </w:tcPr>
          <w:p>
            <w:pPr>
              <w:jc w:val="right"/>
              <w:ind w:right="88"/>
              <w:spacing w:after="0"/>
              <w:rPr>
                <w:sz w:val="20"/>
                <w:szCs w:val="20"/>
                <w:color w:val="auto"/>
              </w:rPr>
            </w:pPr>
            <w:r>
              <w:rPr>
                <w:rFonts w:ascii="Arial" w:cs="Arial" w:eastAsia="Arial" w:hAnsi="Arial"/>
                <w:sz w:val="14"/>
                <w:szCs w:val="14"/>
                <w:color w:val="auto"/>
              </w:rPr>
              <w:t>0%</w:t>
            </w:r>
          </w:p>
        </w:tc>
        <w:tc>
          <w:tcPr>
            <w:tcW w:w="2620" w:type="dxa"/>
            <w:vAlign w:val="bottom"/>
            <w:tcBorders>
              <w:bottom w:val="single" w:sz="8" w:color="818284"/>
              <w:right w:val="single" w:sz="8" w:color="auto"/>
            </w:tcBorders>
          </w:tcPr>
          <w:p>
            <w:pPr>
              <w:jc w:val="right"/>
              <w:ind w:right="68"/>
              <w:spacing w:after="0"/>
              <w:rPr>
                <w:sz w:val="20"/>
                <w:szCs w:val="20"/>
                <w:color w:val="auto"/>
              </w:rPr>
            </w:pPr>
            <w:r>
              <w:rPr>
                <w:rFonts w:ascii="Arial" w:cs="Arial" w:eastAsia="Arial" w:hAnsi="Arial"/>
                <w:sz w:val="14"/>
                <w:szCs w:val="14"/>
                <w:color w:val="auto"/>
              </w:rPr>
              <w:t>&lt;BSP</w:t>
            </w:r>
          </w:p>
        </w:tc>
        <w:tc>
          <w:tcPr>
            <w:tcW w:w="2480" w:type="dxa"/>
            <w:vAlign w:val="bottom"/>
            <w:tcBorders>
              <w:bottom w:val="single" w:sz="8" w:color="818284"/>
              <w:right w:val="single" w:sz="8" w:color="auto"/>
            </w:tcBorders>
          </w:tcPr>
          <w:p>
            <w:pPr>
              <w:jc w:val="right"/>
              <w:ind w:right="48"/>
              <w:spacing w:after="0"/>
              <w:rPr>
                <w:sz w:val="20"/>
                <w:szCs w:val="20"/>
                <w:color w:val="auto"/>
              </w:rPr>
            </w:pPr>
            <w:r>
              <w:rPr>
                <w:rFonts w:ascii="Arial" w:cs="Arial" w:eastAsia="Arial" w:hAnsi="Arial"/>
                <w:sz w:val="14"/>
                <w:szCs w:val="14"/>
                <w:color w:val="auto"/>
              </w:rPr>
              <w:t>&lt;BSP</w:t>
            </w:r>
          </w:p>
        </w:tc>
        <w:tc>
          <w:tcPr>
            <w:tcW w:w="240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r>
      <w:tr>
        <w:trPr>
          <w:trHeight w:val="156"/>
        </w:trPr>
        <w:tc>
          <w:tcPr>
            <w:tcW w:w="256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10% increase in Stock Price</w:t>
            </w:r>
          </w:p>
        </w:tc>
        <w:tc>
          <w:tcPr>
            <w:tcW w:w="1380" w:type="dxa"/>
            <w:vAlign w:val="bottom"/>
            <w:tcBorders>
              <w:bottom w:val="single" w:sz="8" w:color="818284"/>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0% to 50%</w:t>
            </w:r>
          </w:p>
        </w:tc>
        <w:tc>
          <w:tcPr>
            <w:tcW w:w="2620" w:type="dxa"/>
            <w:vAlign w:val="bottom"/>
            <w:tcBorders>
              <w:bottom w:val="single" w:sz="8" w:color="818284"/>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≥BSP and &lt;1.10 * BSP</w:t>
            </w:r>
          </w:p>
        </w:tc>
        <w:tc>
          <w:tcPr>
            <w:tcW w:w="2480" w:type="dxa"/>
            <w:vAlign w:val="bottom"/>
            <w:tcBorders>
              <w:bottom w:val="single" w:sz="8" w:color="818284"/>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≥BSP and &lt;1.21 * BSP</w:t>
            </w:r>
          </w:p>
        </w:tc>
        <w:tc>
          <w:tcPr>
            <w:tcW w:w="24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&lt;1.33 * BSP</w:t>
            </w:r>
          </w:p>
        </w:tc>
      </w:tr>
      <w:tr>
        <w:trPr>
          <w:trHeight w:val="156"/>
        </w:trPr>
        <w:tc>
          <w:tcPr>
            <w:tcW w:w="256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15% increase in Stock Price</w:t>
            </w:r>
          </w:p>
        </w:tc>
        <w:tc>
          <w:tcPr>
            <w:tcW w:w="1380" w:type="dxa"/>
            <w:vAlign w:val="bottom"/>
            <w:tcBorders>
              <w:bottom w:val="single" w:sz="8" w:color="818284"/>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50% to 100%</w:t>
            </w:r>
          </w:p>
        </w:tc>
        <w:tc>
          <w:tcPr>
            <w:tcW w:w="2620" w:type="dxa"/>
            <w:vAlign w:val="bottom"/>
            <w:tcBorders>
              <w:bottom w:val="single" w:sz="8" w:color="818284"/>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≥1.10 * BSP and &lt;1.15 * BSP</w:t>
            </w:r>
          </w:p>
        </w:tc>
        <w:tc>
          <w:tcPr>
            <w:tcW w:w="2480" w:type="dxa"/>
            <w:vAlign w:val="bottom"/>
            <w:tcBorders>
              <w:bottom w:val="single" w:sz="8" w:color="818284"/>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≥1.21 * BSP and &lt;1.32 * BSP</w:t>
            </w:r>
          </w:p>
        </w:tc>
        <w:tc>
          <w:tcPr>
            <w:tcW w:w="24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≥1.33 * BSP and &lt;1.52 * BSP</w:t>
            </w:r>
          </w:p>
        </w:tc>
      </w:tr>
      <w:tr>
        <w:trPr>
          <w:trHeight w:val="163"/>
        </w:trPr>
        <w:tc>
          <w:tcPr>
            <w:tcW w:w="256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20% increase in Stock Price</w:t>
            </w:r>
          </w:p>
        </w:tc>
        <w:tc>
          <w:tcPr>
            <w:tcW w:w="13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100% to 200%</w:t>
            </w:r>
          </w:p>
        </w:tc>
        <w:tc>
          <w:tcPr>
            <w:tcW w:w="26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≥1.15 * BSP and &lt;1.20 * BSP</w:t>
            </w:r>
          </w:p>
        </w:tc>
        <w:tc>
          <w:tcPr>
            <w:tcW w:w="24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≥1.32 * BSP and &lt;1.44 * BSP</w:t>
            </w:r>
          </w:p>
        </w:tc>
        <w:tc>
          <w:tcPr>
            <w:tcW w:w="240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≥1.52 * BSP and &lt;1.73 * BSP</w:t>
            </w:r>
          </w:p>
        </w:tc>
      </w:tr>
    </w:tbl>
    <w:p>
      <w:pPr>
        <w:spacing w:after="0" w:line="7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closing, or baseline share price (“BSP”), as of December 31, 2013, of $15.49.</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Will be interpolated for intermediate results within the stock price range shown, up to a maximum of 200%.</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Multiplier shown to the nearest hundredth, actual Company stock price set forth in the award agreements will govern.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Committee believes that linking the results of these long-term incentive awards to the Company’s stock price is appropriate as this approach aligns the financial interests of the NEOs with those of the Company’s shareholders. The Committee further believes that the stock price is a useful target, since it should reflect, in one readily determinable number, several of the Company stated objectives, including cost reduction, capital efficiency, net debt reduction, and, in 2014, the disposition of non-core business lines. The Committee believes that the three-year vesting schedule of the RSUs and PUs would require the NEOs to focus on short-term results as well as the Company’s achievements over a longer term. In fact, if the Company’s stock price does not rise and remain above $15.49, the closing price on December 31, 2013, then the PUs provide no value to the NEOs. When setting the applicable stock prices used in the performance goals set forth above,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3"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6"/>
          <w:szCs w:val="16"/>
          <w:b w:val="1"/>
          <w:bCs w:val="1"/>
          <w:color w:val="666666"/>
        </w:rPr>
      </w:pPr>
      <w:r>
        <w:rPr>
          <w:rFonts w:ascii="Arial" w:cs="Arial" w:eastAsia="Arial" w:hAnsi="Arial"/>
          <w:sz w:val="16"/>
          <w:szCs w:val="16"/>
          <w:color w:val="666666"/>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68" w:name="page69"/>
    <w:bookmarkEnd w:id="68"/>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considered the Company’s one-year price targets (as published by various third-party analysts), the cyclical nature of the oil and gas industry, the volatility of the Company’s stock price, and the expected timeline for turnaround of the Company’s financial and operational performance.</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December 31, 2014, the Company’s closing stock price was $11.45, a reflection of the significant decline in the price of oil. As this price did not exceed any of the performance goals set forth above, no ordinary shares were issued in settlement of the first third of PUs awarded in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2015</w:t>
      </w:r>
    </w:p>
    <w:p>
      <w:pPr>
        <w:spacing w:after="0" w:line="209"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In January 2015, the Committee awarded long-term equity incentives of the following values to our current NEOs, based on market comparisons peer information and the desire to retain qualified executives: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w:t>
            </w:r>
          </w:p>
        </w:tc>
        <w:tc>
          <w:tcPr>
            <w:tcW w:w="5500" w:type="dxa"/>
            <w:vAlign w:val="bottom"/>
            <w:tcBorders>
              <w:bottom w:val="single" w:sz="8" w:color="auto"/>
            </w:tcBorders>
          </w:tcPr>
          <w:p>
            <w:pPr>
              <w:ind w:left="4640"/>
              <w:spacing w:after="0"/>
              <w:rPr>
                <w:sz w:val="20"/>
                <w:szCs w:val="20"/>
                <w:color w:val="auto"/>
              </w:rPr>
            </w:pPr>
            <w:r>
              <w:rPr>
                <w:rFonts w:ascii="Arial" w:cs="Arial" w:eastAsia="Arial" w:hAnsi="Arial"/>
                <w:sz w:val="16"/>
                <w:szCs w:val="16"/>
                <w:color w:val="auto"/>
                <w:w w:val="98"/>
              </w:rPr>
              <w:t>2015 Award</w:t>
            </w:r>
          </w:p>
        </w:tc>
      </w:tr>
      <w:tr>
        <w:trPr>
          <w:trHeight w:val="189"/>
        </w:trPr>
        <w:tc>
          <w:tcPr>
            <w:tcW w:w="59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5500" w:type="dxa"/>
            <w:vAlign w:val="bottom"/>
            <w:tcBorders>
              <w:bottom w:val="single" w:sz="8" w:color="818284"/>
            </w:tcBorders>
          </w:tcPr>
          <w:p>
            <w:pPr>
              <w:ind w:left="4640"/>
              <w:spacing w:after="0"/>
              <w:rPr>
                <w:sz w:val="20"/>
                <w:szCs w:val="20"/>
                <w:color w:val="auto"/>
              </w:rPr>
            </w:pPr>
            <w:r>
              <w:rPr>
                <w:rFonts w:ascii="Arial" w:cs="Arial" w:eastAsia="Arial" w:hAnsi="Arial"/>
                <w:sz w:val="16"/>
                <w:szCs w:val="16"/>
                <w:color w:val="auto"/>
                <w:w w:val="99"/>
              </w:rPr>
              <w:t>$ 9,700,000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Shivram</w:t>
            </w:r>
          </w:p>
        </w:tc>
        <w:tc>
          <w:tcPr>
            <w:tcW w:w="5500" w:type="dxa"/>
            <w:vAlign w:val="bottom"/>
            <w:tcBorders>
              <w:bottom w:val="single" w:sz="8" w:color="818284"/>
            </w:tcBorders>
          </w:tcPr>
          <w:p>
            <w:pPr>
              <w:ind w:left="4640"/>
              <w:spacing w:after="0" w:line="183" w:lineRule="exact"/>
              <w:rPr>
                <w:sz w:val="20"/>
                <w:szCs w:val="20"/>
                <w:color w:val="auto"/>
              </w:rPr>
            </w:pPr>
            <w:r>
              <w:rPr>
                <w:rFonts w:ascii="Arial" w:cs="Arial" w:eastAsia="Arial" w:hAnsi="Arial"/>
                <w:sz w:val="16"/>
                <w:szCs w:val="16"/>
                <w:color w:val="auto"/>
                <w:w w:val="99"/>
              </w:rPr>
              <w:t>$ 3,650,000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Mehta</w:t>
            </w:r>
          </w:p>
        </w:tc>
        <w:tc>
          <w:tcPr>
            <w:tcW w:w="5500" w:type="dxa"/>
            <w:vAlign w:val="bottom"/>
            <w:tcBorders>
              <w:bottom w:val="single" w:sz="8" w:color="818284"/>
            </w:tcBorders>
          </w:tcPr>
          <w:p>
            <w:pPr>
              <w:ind w:left="4640"/>
              <w:spacing w:after="0" w:line="183" w:lineRule="exact"/>
              <w:rPr>
                <w:sz w:val="20"/>
                <w:szCs w:val="20"/>
                <w:color w:val="auto"/>
              </w:rPr>
            </w:pPr>
            <w:r>
              <w:rPr>
                <w:rFonts w:ascii="Arial" w:cs="Arial" w:eastAsia="Arial" w:hAnsi="Arial"/>
                <w:sz w:val="16"/>
                <w:szCs w:val="16"/>
                <w:color w:val="auto"/>
                <w:w w:val="99"/>
              </w:rPr>
              <w:t>$ 2,000,000</w:t>
            </w:r>
          </w:p>
        </w:tc>
      </w:tr>
      <w:tr>
        <w:trPr>
          <w:trHeight w:val="190"/>
        </w:trPr>
        <w:tc>
          <w:tcPr>
            <w:tcW w:w="5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Mills</w:t>
            </w:r>
          </w:p>
        </w:tc>
        <w:tc>
          <w:tcPr>
            <w:tcW w:w="5500" w:type="dxa"/>
            <w:vAlign w:val="bottom"/>
            <w:tcBorders>
              <w:bottom w:val="single" w:sz="8" w:color="auto"/>
            </w:tcBorders>
          </w:tcPr>
          <w:p>
            <w:pPr>
              <w:ind w:left="4640"/>
              <w:spacing w:after="0" w:line="183" w:lineRule="exact"/>
              <w:rPr>
                <w:sz w:val="20"/>
                <w:szCs w:val="20"/>
                <w:color w:val="auto"/>
              </w:rPr>
            </w:pPr>
            <w:r>
              <w:rPr>
                <w:rFonts w:ascii="Arial" w:cs="Arial" w:eastAsia="Arial" w:hAnsi="Arial"/>
                <w:sz w:val="16"/>
                <w:szCs w:val="16"/>
                <w:color w:val="auto"/>
                <w:w w:val="99"/>
              </w:rPr>
              <w:t>$ 1,200,000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each of the officers who received awards, the Committee granted a mix of performance units and restricted share units as follows: Dr. Duroc-Danner,</w:t>
      </w:r>
    </w:p>
    <w:p>
      <w:pPr>
        <w:spacing w:after="0" w:line="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$5,700,000 PUs and $4,000,000 RSUs; Mr. Shivram, $2,150,000 PUs and $1,500,000 RSUs; Mr. Mehta, $1,000,000 PUs and $1,000,000 RSUs; and Mr. Mills, $700,000 PUs and $500,000 RSUs. This differs from the previous year, when the Committee granted 50% PUs and 50% RSUs by slightly increasing the percentage of awards that were PUs. The Committee believes this mix of awards better aligns the executive’s mix of long-term incentives with awards in our peer group and ties an additional portion of NEO performance to an increase in the Company’s share price, the metric used to determine whether PUs vest.</w:t>
      </w:r>
    </w:p>
    <w:p>
      <w:pPr>
        <w:spacing w:after="0" w:line="17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RSUs vest over three years, with 1/3 of the awarded RSUs vesting each year. The PUs will vest over three years, with 1/3 of the awarded number of units vesting (or if the baseline performance goal is not met, being forfeited) each year.</w:t>
      </w:r>
    </w:p>
    <w:p>
      <w:pPr>
        <w:spacing w:after="0" w:line="16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 xml:space="preserve">Each year’s vesting of PUs is calculated as described above for the 2014 PU grant other than the measurement period, which was changed to extend the measurement period from one day to a one month average, </w:t>
      </w:r>
      <w:r>
        <w:rPr>
          <w:rFonts w:ascii="Arial" w:cs="Arial" w:eastAsia="Arial" w:hAnsi="Arial"/>
          <w:sz w:val="16"/>
          <w:szCs w:val="16"/>
          <w:i w:val="1"/>
          <w:iCs w:val="1"/>
          <w:color w:val="auto"/>
        </w:rPr>
        <w:t>i.e.,</w:t>
      </w:r>
      <w:r>
        <w:rPr>
          <w:rFonts w:ascii="Arial" w:cs="Arial" w:eastAsia="Arial" w:hAnsi="Arial"/>
          <w:sz w:val="16"/>
          <w:szCs w:val="16"/>
          <w:color w:val="auto"/>
        </w:rPr>
        <w:t xml:space="preserve"> it is based on the average of the closing stock prices as of each trading day in December of each calendar year 2015, 2016 and 2017. This enhancement was made in response to shareholder outreach and after carefully evaluating recent share price volatility. The following table shows how the level of vesting will be calculated: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Average Company Stock Price ($ per share) each day of December in the calendar year ending(c):</w:t>
            </w:r>
          </w:p>
        </w:tc>
      </w:tr>
      <w:tr>
        <w:trPr>
          <w:trHeight w:val="160"/>
        </w:trPr>
        <w:tc>
          <w:tcPr>
            <w:tcW w:w="24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Conversion</w:t>
            </w:r>
          </w:p>
        </w:tc>
        <w:tc>
          <w:tcPr>
            <w:tcW w:w="264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r>
      <w:tr>
        <w:trPr>
          <w:trHeight w:val="164"/>
        </w:trPr>
        <w:tc>
          <w:tcPr>
            <w:tcW w:w="2440" w:type="dxa"/>
            <w:vAlign w:val="bottom"/>
            <w:tcBorders>
              <w:bottom w:val="single" w:sz="8" w:color="auto"/>
              <w:right w:val="single" w:sz="8" w:color="auto"/>
            </w:tcBorders>
          </w:tcPr>
          <w:p>
            <w:pPr>
              <w:spacing w:after="0" w:line="157" w:lineRule="exact"/>
              <w:rPr>
                <w:sz w:val="20"/>
                <w:szCs w:val="20"/>
                <w:color w:val="auto"/>
              </w:rPr>
            </w:pPr>
            <w:r>
              <w:rPr>
                <w:rFonts w:ascii="Arial" w:cs="Arial" w:eastAsia="Arial" w:hAnsi="Arial"/>
                <w:sz w:val="14"/>
                <w:szCs w:val="14"/>
                <w:color w:val="auto"/>
              </w:rPr>
              <w:t>Performance Goal(a)</w:t>
            </w:r>
          </w:p>
        </w:tc>
        <w:tc>
          <w:tcPr>
            <w:tcW w:w="1360" w:type="dxa"/>
            <w:vAlign w:val="bottom"/>
            <w:tcBorders>
              <w:bottom w:val="single" w:sz="8" w:color="auto"/>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Percentage(b)</w:t>
            </w:r>
          </w:p>
        </w:tc>
        <w:tc>
          <w:tcPr>
            <w:tcW w:w="264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2015</w:t>
            </w:r>
          </w:p>
        </w:tc>
        <w:tc>
          <w:tcPr>
            <w:tcW w:w="250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2016</w:t>
            </w:r>
          </w:p>
        </w:tc>
        <w:tc>
          <w:tcPr>
            <w:tcW w:w="250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2017</w:t>
            </w:r>
          </w:p>
        </w:tc>
      </w:tr>
      <w:tr>
        <w:trPr>
          <w:trHeight w:val="162"/>
        </w:trPr>
        <w:tc>
          <w:tcPr>
            <w:tcW w:w="2440" w:type="dxa"/>
            <w:vAlign w:val="bottom"/>
            <w:tcBorders>
              <w:bottom w:val="single" w:sz="8" w:color="818284"/>
              <w:right w:val="single" w:sz="8" w:color="auto"/>
            </w:tcBorders>
          </w:tcPr>
          <w:p>
            <w:pPr>
              <w:spacing w:after="0"/>
              <w:rPr>
                <w:sz w:val="20"/>
                <w:szCs w:val="20"/>
                <w:color w:val="auto"/>
              </w:rPr>
            </w:pPr>
            <w:r>
              <w:rPr>
                <w:rFonts w:ascii="Arial" w:cs="Arial" w:eastAsia="Arial" w:hAnsi="Arial"/>
                <w:sz w:val="14"/>
                <w:szCs w:val="14"/>
                <w:color w:val="auto"/>
              </w:rPr>
              <w:t>Less than BSP</w:t>
            </w:r>
          </w:p>
        </w:tc>
        <w:tc>
          <w:tcPr>
            <w:tcW w:w="1360" w:type="dxa"/>
            <w:vAlign w:val="bottom"/>
            <w:tcBorders>
              <w:bottom w:val="single" w:sz="8" w:color="818284"/>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264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c>
          <w:tcPr>
            <w:tcW w:w="250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c>
          <w:tcPr>
            <w:tcW w:w="250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r>
      <w:tr>
        <w:trPr>
          <w:trHeight w:val="156"/>
        </w:trPr>
        <w:tc>
          <w:tcPr>
            <w:tcW w:w="244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10% increase in Stock Price</w:t>
            </w:r>
          </w:p>
        </w:tc>
        <w:tc>
          <w:tcPr>
            <w:tcW w:w="1360" w:type="dxa"/>
            <w:vAlign w:val="bottom"/>
            <w:tcBorders>
              <w:bottom w:val="single" w:sz="8" w:color="818284"/>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 to 50%</w:t>
            </w:r>
          </w:p>
        </w:tc>
        <w:tc>
          <w:tcPr>
            <w:tcW w:w="264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&lt;1.10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&lt;1.21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&lt;1.33 * BSP</w:t>
            </w:r>
          </w:p>
        </w:tc>
      </w:tr>
      <w:tr>
        <w:trPr>
          <w:trHeight w:val="156"/>
        </w:trPr>
        <w:tc>
          <w:tcPr>
            <w:tcW w:w="244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15% increase in Stock Price</w:t>
            </w:r>
          </w:p>
        </w:tc>
        <w:tc>
          <w:tcPr>
            <w:tcW w:w="1360" w:type="dxa"/>
            <w:vAlign w:val="bottom"/>
            <w:tcBorders>
              <w:bottom w:val="single" w:sz="8" w:color="818284"/>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50% to 100%</w:t>
            </w:r>
          </w:p>
        </w:tc>
        <w:tc>
          <w:tcPr>
            <w:tcW w:w="264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≥1.10 * BSP and &lt;1.15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≥1.21 * BSP and &lt;1.32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≥1.33 * BSP and &lt;1.52 * BSP</w:t>
            </w:r>
          </w:p>
        </w:tc>
      </w:tr>
      <w:tr>
        <w:trPr>
          <w:trHeight w:val="163"/>
        </w:trPr>
        <w:tc>
          <w:tcPr>
            <w:tcW w:w="24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20% increase in Stock Price</w:t>
            </w:r>
          </w:p>
        </w:tc>
        <w:tc>
          <w:tcPr>
            <w:tcW w:w="13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100% to 200%</w:t>
            </w:r>
          </w:p>
        </w:tc>
        <w:tc>
          <w:tcPr>
            <w:tcW w:w="264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≥1.15 * BSP and &lt;1.20 * BSP</w:t>
            </w:r>
          </w:p>
        </w:tc>
        <w:tc>
          <w:tcPr>
            <w:tcW w:w="250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≥1.32 * BSP and &lt;1.44 * BSP</w:t>
            </w:r>
          </w:p>
        </w:tc>
        <w:tc>
          <w:tcPr>
            <w:tcW w:w="250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≥1.52 * BSP and &lt;1.73 * BSP</w:t>
            </w:r>
          </w:p>
        </w:tc>
      </w:tr>
    </w:tbl>
    <w:p>
      <w:pPr>
        <w:spacing w:after="0" w:line="7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closing, or BSP of $11.78, which is the average closing stock price as of each trading day in December 2014.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Will be interpolated for intermediate results within the stock price range shown, up to a maximum of 200%.</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Multiplier shown to the nearest hundredth, actual Company stock price set forth in the award agreements will govern.</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Committee continues to believe that linking the results of these long-term incentive awards to the Company’s stock price is appropriate as this approach aligns the financial interests of the NEOs with those of the Company’s shareholders for the reasons described above under the “Grants in 2014.”</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For the 2015 grants, if the Company’s stock price does not rise and remain above $11.78, which is the average closing share price as of each trading day in December of 2014, then the PUs provide no value to the NEOs, a situation which occurred in 2014 when the Company’s stock price rose to $24.88 before the precipitous drop in oil price and before falling to $11.45 at the end of the year, thereby resulting in a zero conversion percentage. When setting the applicable stock prices used in the performance goals set forth above, the Committee considered the Company’s one year price targets (as published by various third-party analysts), the cyclical nature of the oil and gas industry and current depressed stock prices in the industry, the volatility of the Company’s stock price, and the expected timeline for improvement of the Company’s financial and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SHARE GRANTS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grant participants in this plan, including our current NEOs (other than Mr. Shivram and Mrs. Ralston as this benefit ceased prior to their employment) and approximately 17 other non-executive senior management and key employees, quarterly grants of shares in an amount to approximate the benefits participants would have received had we not suspended the plan. The table entitled “Grants of Plan-Based Awards in 2014” on page 46 reflects these grants to our current NEOs (other than Mr. Shivram and Mrs. Ralston), and these grants are included in the Summary Compensation Table on page 44. We intend to discontinue further grants effective as of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666666"/>
        </w:rPr>
        <w:t>Weatherford International plc — 2015 Proxy Statement</w:t>
      </w:r>
      <w:r>
        <w:rPr>
          <w:sz w:val="20"/>
          <w:szCs w:val="20"/>
          <w:color w:val="auto"/>
        </w:rPr>
        <w:tab/>
      </w:r>
      <w:r>
        <w:rPr>
          <w:rFonts w:ascii="Arial" w:cs="Arial" w:eastAsia="Arial" w:hAnsi="Arial"/>
          <w:sz w:val="16"/>
          <w:szCs w:val="16"/>
          <w:b w:val="1"/>
          <w:bCs w:val="1"/>
          <w:color w:val="66666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69" w:name="page70"/>
    <w:bookmarkEnd w:id="69"/>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PERQUISITES</w:t>
      </w:r>
    </w:p>
    <w:p>
      <w:pPr>
        <w:spacing w:after="0" w:line="37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Summary Compensation Table on page 44 and the related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EXPATRIATE BENEFITS</w:t>
      </w:r>
    </w:p>
    <w:p>
      <w:pPr>
        <w:spacing w:after="0" w:line="37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For our NEOs who are assigned to an international location outside their home country, we also provide reasonable and customary expatriate benefits, including relocation expenses, housing allowance and educational expenses for dependent children. The types and values of perquisites for each NEO are shown in the Summary Compensation Table and notes to that table on page 44. Dr. Duroc-Danner has declined to accept a housing allowance or educational expenses in connection with his assignment to Switzerland.</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also provide NEOs who are on international assignment a benefit designed to absorb part of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level of tax benefit we provide to NEOs assigned to our Geneva office is significantly less than the benefit we provide to non-executive employees on international assignment in other jurisdictions. We use a “hypothetical tax” model, in which we deduct a fixed amount from the executive’s cash and equity income (before any international assignment benefit) and then pay taxes on behalf of the executive in his home country and country of assignment. Many companies use a “tax equalization” method, in which the expatriate’s taxes are calculated based on what they would be in his or her home country if he or she were not on an international assignment, and the Company reimburses the expatriate for all taxes above that amount.</w:t>
      </w:r>
    </w:p>
    <w:p>
      <w:pPr>
        <w:spacing w:after="0" w:line="17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our officers assigned to Switzerland, we generally deduct a 35% hypothetical tax. The effective result is that these officers pay a 35% flat tax on every dollar of income with no deductions and no exemptions. Other than Dr. Duroc-Danner, none of our current NEOs receives any 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SECTION 162(M) OF THE INTERNAL REVENUE CODE</w:t>
      </w:r>
    </w:p>
    <w:p>
      <w:pPr>
        <w:spacing w:after="0" w:line="37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Committee considers the tax impact of our executive compensation programs. Section 162(m), as interpreted by U.S. Internal Revenue Service Notice 2007-49, imposes a $1 million limitation on the deductibility of certain compensation paid to certain officers. As a multi-national Irish company, the significant majority of our executive compensation is not a U.S. tax expense, so the section 162(m) deduction limitation may have a reduced impact on the Company. The Committee may take into account the potential application of section 162(m) on incentive compensation awards and other compensation decisions, and it may approve compensation that will not meet these requirements in order to ensure competitive levels of compensation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DISCONTINUED EXECUTIVE RETIREMENT PLAN (“SERP”)</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Historically, we maintained supplemental executive retirement plans. No new participants have been admitted to the plans since 2006. The original plan was frozen in 2008, and the successor plan was frozen in 2010, following which no additional benefits have accrued to the participants, other than de minimis interest accruals on cash balances which ceased after the conversion described below.</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only remaining participant in the plan is Dr. Duroc-Danner. In 2010, Dr. Duroc-Danner elected to convert his fully vested cash balance in the plan into approximately 4.4 million notional share units. He will receive these units upon leaving the Company or no later than January 1, 2017 and the value of these units will increase or decrease in direct correlation to the change in our share price. This provides a strong linkage to our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6"/>
          <w:szCs w:val="16"/>
          <w:b w:val="1"/>
          <w:bCs w:val="1"/>
          <w:color w:val="666666"/>
        </w:rPr>
      </w:pPr>
      <w:r>
        <w:rPr>
          <w:rFonts w:ascii="Arial" w:cs="Arial" w:eastAsia="Arial" w:hAnsi="Arial"/>
          <w:sz w:val="16"/>
          <w:szCs w:val="16"/>
          <w:color w:val="666666"/>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14" w:right="279" w:bottom="1440" w:gutter="0" w:footer="0" w:header="0"/>
        </w:sectPr>
      </w:pPr>
    </w:p>
    <w:bookmarkStart w:id="70" w:name="page71"/>
    <w:bookmarkEnd w:id="70"/>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SUSPENDED DEFERRED COMPENSATION PLAN (“EDC”)</w:t>
      </w:r>
    </w:p>
    <w:p>
      <w:pPr>
        <w:spacing w:after="0" w:line="23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on behalf of participants. 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 All participants in the plan are fully vested in their plan balances. Cash sufficient to cover all participant accounts is maintained in a trust, and the Company does not expect to incur any further liability on distribution of participant accounts. All amounts under the EDC will be distributed upon the respective participants’ leaving the Company or no later than January 1, 2017. While our predecessor Swiss company generally made distributions under this plan in its registered shares, in conjunction with our 2014 redomestication, the trustee for the trust sold the shares held in trust and we plan to make future distributions in cash, as is permitted pursuant to an amendment to the EDC made in order to comply with Irish law.</w:t>
      </w:r>
    </w:p>
    <w:p>
      <w:pPr>
        <w:spacing w:after="0" w:line="17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values of the benefits in the EDC and the change in the value of those benefits is set forth under the heading “Nonqualified Deferred Compensation”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666666"/>
        </w:rPr>
        <w:t>OTHER GENERALLY AVAILABLE BENEFITS AND OTHER COMPENSATION</w:t>
      </w:r>
    </w:p>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NEOs are eligible for additional Company-wide benefits on the same basis as other full-time employees. These include a 401(k) plan or other pension plan depending on their jurisdiction, as well as health, medical and welfare programs. We also pay life insurance premiums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EXECUTIVE EMPLOYMENT AGREEMENTS</w:t>
      </w:r>
    </w:p>
    <w:p>
      <w:pPr>
        <w:spacing w:after="0" w:line="23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current NEOs have each entered into substantially the same form of employment agreement (the “Executive Employment Agreement”), except that Mr. Shivram’s agreement does not contain a “good reason” termination event for relocation and certain provisions were added to address potential changes in applicable law. Under the terms of the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 (i) an amount equal to three (or two, in the case of Mr. Mills) or an amount equal to one in the case of death, disability or due to the Company’s non-renewal of the agreement multiplied by the sum of the annual base salary received by the executive as of the date of termination plus the target level annual bonus that would be payable in the current fiscal year, and (ii) any accrued salary or bonus (pro-rated to the date of termination). In addition, under these circumstances, all dental and health benefits and all other welfare benefits will be maintained for one to three years after termination provided the executive makes his required contribution. We are required to pay legal fees and expenses incurred by the executive in any disputes regarding the Executive Employment Agreement, so long as the executive undertakes to reimburse the Company for such amounts paid if the executive is determined to have acted in bad faith in connection with the dispute.</w:t>
      </w:r>
    </w:p>
    <w:p>
      <w:pPr>
        <w:spacing w:after="0" w:line="17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Benefits potentially payable to our NEOs under the Executive Employment Agreement are described in greater detail under “Potential Payments upon Termination or Change of Control” beginning on page 49.</w:t>
      </w:r>
    </w:p>
    <w:p>
      <w:pPr>
        <w:spacing w:after="0" w:line="16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 March 2015, the Board of Directors, on the recommendation of the Compensation Committee, determined that the Company will not enter into employment agreements with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SEVERANCE BENEFITS</w:t>
      </w:r>
    </w:p>
    <w:p>
      <w:pPr>
        <w:spacing w:after="0" w:line="37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the past, the Committee had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were intended to provide for payment to the executive officers in the event their employment with the Company is involuntarily terminated without cause (including in case of death or disability) or they resign for good reason and to encourage the executive officers to continue employment in the event of a potential “change of control.” The Committee believed that these benefits enhanced shareholder value and aligned our officers’ interests with those of our shareholders. However, in March 2015, the Board of Directors,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666666"/>
        </w:rPr>
        <w:t>Weatherford International plc — 2015 Proxy Statement</w:t>
      </w:r>
      <w:r>
        <w:rPr>
          <w:sz w:val="20"/>
          <w:szCs w:val="20"/>
          <w:color w:val="auto"/>
        </w:rPr>
        <w:tab/>
      </w:r>
      <w:r>
        <w:rPr>
          <w:rFonts w:ascii="Arial" w:cs="Arial" w:eastAsia="Arial" w:hAnsi="Arial"/>
          <w:sz w:val="16"/>
          <w:szCs w:val="16"/>
          <w:b w:val="1"/>
          <w:bCs w:val="1"/>
          <w:color w:val="66666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4"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recommendation of the Compensation Committee, determined that the Company will not enter into employment agreements with future executive officers. While the existing Executive Employment Agreement for each of our NEOs still provides severance benefits, the benefits provided by these agreements are generally more limited compared to the Company’s earlier historical agreements. Additionally, the severance benefits under the Executive Employment Agreement in the event of a change of control are “double-trigger” arrangements.</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potential payments that each of our NEOs would have received if a termination of employment had occurred on December 31, 2014 are set forth under the section entitled “Potential Payments Upon Termination or Change of Control” beginning on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TERMINATION OF EMPLOYMENT</w:t>
      </w:r>
    </w:p>
    <w:p>
      <w:pPr>
        <w:spacing w:after="0" w:line="235"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The following paragraphs summarize separation compensation made to former NEOs of the Company as were required by the individual’s contractual agreements.</w:t>
      </w:r>
    </w:p>
    <w:p>
      <w:pPr>
        <w:spacing w:after="0" w:line="16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As highlighted throughout this Proxy Statement, in response to shareholder input, the Board of Directors, on the recommendation of the Compensation Committee, has determined that the Company will not enter into employment agreements with future executive officers.</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Nicholas W. Gee, formerly the Executive Vice President - Strategy and Development and Chief Safety Officer of the Company, ceased to be an employee on February 28, 2014. In connection with rights under his Executive Employment Agreement, the Company paid Mr. Gee accrued vacation of CHF51,408, CHF21,134 in lieu of certain insurance benefits, a pro-rated 2014 bonus calculated at a target level of CHF95,881 and an additional amount of CHF3,645,336 (representing three times the sum of base salary plus annual bonus calculated at a target level). Further, in settlement of long-term equity-based incentive awards, Mr. Gee received a gross distribution of 440,084 shares of Weatherford’s stock with respect to RSUs and PUs. At the election of Mr. Gee, shares were withheld to satisfy his hypothetical tax obligation. In accordance with the Company’s tax procedure for international assignees, the Company will be responsible for Mr. Gee’s tax liability beyond the hypothetical taxes deducted from his cash and equity compensation and will incur the costs related to the preparation of his tax returns. In addition, the Company agreed to provide Mr. Gee, upon request with outplacement services, at a cost of up to $35,000.</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William B. Jacobson, formerly the Senior Vice President, Co-General Counsel and Chief Compliance Officer of the Company, ceased to be an employee on July 3, 2014. In connection with his separation, the Company paid Mr. Jacobson accrued vacation of $74,519, a pro-rated 2014 bonus calculated at a target level of $252,055, and an additional amount of $4,500,000 (representing three times the sum of base salary plus annual bonus calculated at a target level), plus interest on certain deferred amounts estimated at $68,742. Further, in settlement of long-term equity-based incentive awards, Mr. Jacobson received a gross distribution of 330,090 shares of the Company’s stock with respect to RSUs and PUs. At the election of Mr. Jacobson, shares were withheld to satisfy the minimum tax withholding requirements. The Company agreed to provide Mr. Jacobson, upon request, with outplacement services, at a cost of up to $35,000.</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No separation compensation was paid to Mrs. Ralston in connection with her departure from the Company in January 2015 other than accrued vacation and a pro-rated bonus based on achievement of certain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CLAWBACKS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CLAWBACK POLICY</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because financial results are restated, including if the Committee determines that an officer has engaged in fraud, willful misconduct or gross negligence that has caused or contributed to a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1"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6"/>
          <w:szCs w:val="16"/>
          <w:b w:val="1"/>
          <w:bCs w:val="1"/>
          <w:color w:val="666666"/>
        </w:rPr>
      </w:pPr>
      <w:r>
        <w:rPr>
          <w:rFonts w:ascii="Arial" w:cs="Arial" w:eastAsia="Arial" w:hAnsi="Arial"/>
          <w:sz w:val="16"/>
          <w:szCs w:val="16"/>
          <w:color w:val="666666"/>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72" w:name="page73"/>
    <w:bookmarkEnd w:id="72"/>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ind w:right="2320"/>
        <w:spacing w:after="0" w:line="281"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ind w:right="880"/>
        <w:spacing w:after="0" w:line="281" w:lineRule="auto"/>
        <w:rPr>
          <w:sz w:val="20"/>
          <w:szCs w:val="20"/>
          <w:color w:val="auto"/>
        </w:rPr>
      </w:pPr>
      <w:r>
        <w:rPr>
          <w:rFonts w:ascii="Arial" w:cs="Arial" w:eastAsia="Arial" w:hAnsi="Arial"/>
          <w:sz w:val="43"/>
          <w:szCs w:val="43"/>
          <w:b w:val="1"/>
          <w:bCs w:val="1"/>
          <w:color w:val="666666"/>
        </w:rPr>
        <w:t>OVERSIGHT OF OUR EXECUTIVE COMPENSATION PRACTICES</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executive compensation program is administered by the Compensation Committee of the Board of Directors. The Committee currently consists of four directors, John D. Gass, William E. Macaulay (Chairman), Robert K. Moses, Jr. and Guillermo Ortiz. At all times in 2014,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advice from our independent compensation consultant, and director continuing education through third party service providers in order to keep themselves abreast of current trends and best practices in the area of executive compensation.</w:t>
      </w:r>
    </w:p>
    <w:p>
      <w:pPr>
        <w:spacing w:after="0" w:line="17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ind w:right="3540"/>
        <w:spacing w:after="0" w:line="281" w:lineRule="auto"/>
        <w:rPr>
          <w:sz w:val="20"/>
          <w:szCs w:val="20"/>
          <w:color w:val="auto"/>
        </w:rPr>
      </w:pPr>
      <w:r>
        <w:rPr>
          <w:rFonts w:ascii="Arial" w:cs="Arial" w:eastAsia="Arial" w:hAnsi="Arial"/>
          <w:sz w:val="43"/>
          <w:szCs w:val="43"/>
          <w:b w:val="1"/>
          <w:bCs w:val="1"/>
          <w:color w:val="666666"/>
        </w:rPr>
        <w:t>COMPENSATION CONSULTANTS AND INDEPENDENCE</w:t>
      </w:r>
    </w:p>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set forth in its charter, which can be found on our website, the Committee has the authority to retain and terminate compensation consultants to provide advice to the Committee. The Committee retained Longnecker &amp; Associates (“L&amp;A”) in 2014 to provide information, analyses and advice regarding executive compensation. The NYSE has adopted guidelines for compensation committees to consider when identifying Committee advisor independence. The Committee reviewed these guidelines and determined that L&amp;A is an independent consultant, and L&amp;A performs no services for the Company other than those related to executive and non-employee director compensation.</w:t>
      </w:r>
    </w:p>
    <w:p>
      <w:pPr>
        <w:spacing w:after="0" w:line="176"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Our management communicates with L&amp;A and provides data to L&amp;A regarding our executive officers, but does not direct L&amp;A’s activities. L&amp;A has not performed or provided compensation services in the past to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MARKET ANALYSIS AND PEER GROUP</w:t>
      </w:r>
    </w:p>
    <w:p>
      <w:pPr>
        <w:spacing w:after="0" w:line="37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When considering our compensation practices and levels, the Committee reviews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The Committee periodically reviews the composition of our peer group to ensure that the companies in the group are relevant for comparative purposes and have executive positions with responsibilities similar to ours and that compete with us for executive talent. The Committee and L&amp;A review data for potential peers relating to enterprise value, revenue and market capitalization. Based on these factors and directly comparable business lines, the Committee determined that the following companies are our peer group for 2014. The Company’s revenues were in the 47th percentile of this peer group. No changes were made to our peer group in 2014 or 2015. The peer group includes: Baker Hughes Incorporated; Cameron International Corporation; Halliburton Company; Nabors Industries Ltd.; National Oilwell Varco, Inc.; Noble Corporation plc; Schlumberger Limited; and Transocean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RISK ANALYSIS OF OUR COMPENSATION PROGRAMS</w:t>
      </w:r>
    </w:p>
    <w:p>
      <w:pPr>
        <w:spacing w:after="0" w:line="3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Committee reviews our compensation plans and policies to ensure that they do not encourage unnecessary risk taking and instead encourage behaviors that support sustainable value creation. In 2014, the Committee, with the assistance of L&amp;A,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176"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the program design provides a balanced mix of cash and equity, annual and long-term incentives, fixed and variable pay, and performance metrics;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maximum payout levels for bonuses are capped;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the Committee has downward discretion over incentive program payouts;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executive officers are subject to share ownership guidelines;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compliance and ethical behaviors are integral factors considered in all performance assessments;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the Company has a clawback policy that covers performance-based compensation,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666666"/>
        </w:rPr>
        <w:t>Weatherford International plc — 2015 Proxy Statement</w:t>
      </w:r>
      <w:r>
        <w:rPr>
          <w:sz w:val="20"/>
          <w:szCs w:val="20"/>
          <w:color w:val="auto"/>
        </w:rPr>
        <w:tab/>
      </w:r>
      <w:r>
        <w:rPr>
          <w:rFonts w:ascii="Arial" w:cs="Arial" w:eastAsia="Arial" w:hAnsi="Arial"/>
          <w:sz w:val="16"/>
          <w:szCs w:val="16"/>
          <w:b w:val="1"/>
          <w:bCs w:val="1"/>
          <w:color w:val="666666"/>
        </w:rPr>
        <w:t>43</w:t>
      </w:r>
    </w:p>
    <w:p>
      <w:pPr>
        <w:sectPr>
          <w:pgSz w:w="11900" w:h="16838" w:orient="portrait"/>
          <w:cols w:equalWidth="0" w:num="1">
            <w:col w:w="11420"/>
          </w:cols>
          <w:pgMar w:left="240" w:top="514" w:right="239" w:bottom="0" w:gutter="0" w:footer="0" w:header="0"/>
        </w:sectPr>
      </w:pPr>
    </w:p>
    <w:bookmarkStart w:id="73" w:name="page74"/>
    <w:bookmarkEnd w:id="73"/>
    <w:p>
      <w:pPr>
        <w:spacing w:after="0"/>
        <w:tabs>
          <w:tab w:leader="none" w:pos="1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ind w:right="2320"/>
        <w:spacing w:after="0" w:line="275" w:lineRule="auto"/>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SUMMARY COMPENSATION TABLE</w:t>
      </w:r>
    </w:p>
    <w:p>
      <w:pPr>
        <w:spacing w:after="0" w:line="37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This table shows the total compensation paid for the years ended December 31, 2014, 2013 and 2012 to our NEOs. Information is not provided for any year in which an individual was not a NEO.</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Compensation paid to our former employees and NEOs, Nicolas W. Gee and William Jacobson, was paid upon their departure in 2014 as required under their contractual agreements with Weatherford and as described on page 42. In 2015, an additional former employee and NEO, Mrs. Dianne Ralston left the Company. In connection with her departure, she did not receive any separation compensation nor any vested shares under her equity awards. She did receive accrued vacation and a pro-rated bonus. As highlighted throughout this Proxy Statement, in response to shareholder feedback the Board of Directors, on the recommendation of the Compensation Committee, has determined that the Company will not enter into employment agreements with future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Change in</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Actuarial Value of</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Pension Benefit</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and Nonqualified</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Deferred</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All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Non-Equity</w:t>
            </w:r>
          </w:p>
        </w:tc>
        <w:tc>
          <w:tcPr>
            <w:tcW w:w="8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Stock</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Compensation</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Salary</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Incentive</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Bonus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Awards</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Earnings</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 and Principal Position</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Year</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($)(h)</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($)(i)</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Total ($)</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20"/>
                <w:szCs w:val="20"/>
                <w:color w:val="auto"/>
              </w:rPr>
            </w:pPr>
            <w:r>
              <w:rPr>
                <w:rFonts w:ascii="Arial" w:cs="Arial" w:eastAsia="Arial" w:hAnsi="Arial"/>
                <w:sz w:val="16"/>
                <w:szCs w:val="16"/>
                <w:color w:val="auto"/>
              </w:rPr>
              <w:t>Bernard J. Duroc-Danner</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Chairman of the Board,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1,920,708</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2,911,012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8,263,857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1,831,435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14,927,012</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President and Chief</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1,901,171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2,506,046</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7,742,425</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1,008,245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13,157,887</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Executive Officer(a)</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1,879,974</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447,552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235,727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1,557,892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3,056,231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7,177,376</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Krishna Shivram</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Executive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980,813</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2,818,502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21,310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4,570,625</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and Chief Financial Officer(b)</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116,477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120,822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300,000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3,936,649</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4,327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4,478,275</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Dharmesh Mehta</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Executive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744,167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980,813</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3,101,686</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24,283</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4,850,949</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Corporate Strategy</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699,167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750,750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250,000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2,919,787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23,840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4,643,544</w:t>
            </w:r>
          </w:p>
        </w:tc>
        <w:tc>
          <w:tcPr>
            <w:tcW w:w="0" w:type="dxa"/>
            <w:vAlign w:val="bottom"/>
          </w:tcPr>
          <w:p>
            <w:pPr>
              <w:spacing w:after="0"/>
              <w:rPr>
                <w:sz w:val="1"/>
                <w:szCs w:val="1"/>
                <w:color w:val="auto"/>
              </w:rPr>
            </w:pPr>
          </w:p>
        </w:tc>
      </w:tr>
      <w:tr>
        <w:trPr>
          <w:trHeight w:val="195"/>
        </w:trPr>
        <w:tc>
          <w:tcPr>
            <w:tcW w:w="2840" w:type="dxa"/>
            <w:vAlign w:val="bottom"/>
            <w:vMerge w:val="restart"/>
          </w:tcPr>
          <w:p>
            <w:pPr>
              <w:spacing w:after="0"/>
              <w:rPr>
                <w:sz w:val="20"/>
                <w:szCs w:val="20"/>
                <w:color w:val="auto"/>
              </w:rPr>
            </w:pPr>
            <w:r>
              <w:rPr>
                <w:rFonts w:ascii="Arial" w:cs="Arial" w:eastAsia="Arial" w:hAnsi="Arial"/>
                <w:sz w:val="16"/>
                <w:szCs w:val="16"/>
                <w:color w:val="auto"/>
              </w:rPr>
              <w:t>Doug Mills</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111,600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3,614,101</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23,160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4,368,861</w:t>
            </w:r>
          </w:p>
        </w:tc>
        <w:tc>
          <w:tcPr>
            <w:tcW w:w="0" w:type="dxa"/>
            <w:vAlign w:val="bottom"/>
          </w:tcPr>
          <w:p>
            <w:pPr>
              <w:spacing w:after="0"/>
              <w:rPr>
                <w:sz w:val="1"/>
                <w:szCs w:val="1"/>
                <w:color w:val="auto"/>
              </w:rPr>
            </w:pPr>
          </w:p>
        </w:tc>
      </w:tr>
      <w:tr>
        <w:trPr>
          <w:trHeight w:val="183"/>
        </w:trPr>
        <w:tc>
          <w:tcPr>
            <w:tcW w:w="28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Vice President and Chief</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347,317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251,409</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1,034,651</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26,905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1,660,282</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Accounting Officer</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Dianne Ralston(c)</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Former Executive Vice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President and General Counsel</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291,146</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243,209</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100,000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1,385,519</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6,406</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2,026,280</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Nicholas W. Gee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Former Executive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112,646</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24,112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7,087,298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7,224,056</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Strategy and Development and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646,352</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649,812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2,863,476</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1,149,854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5,309,494</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Chief Safety Officer(d)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594,778</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106,440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3,619,045</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876,689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5,196,952</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William B. Jacobson</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Former Senior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511,364</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209,277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4,913,405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5,634,046</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Co-General Counsel and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525,000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2,099,232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25,169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3,649,401</w:t>
            </w:r>
          </w:p>
        </w:tc>
        <w:tc>
          <w:tcPr>
            <w:tcW w:w="0" w:type="dxa"/>
            <w:vAlign w:val="bottom"/>
          </w:tcPr>
          <w:p>
            <w:pPr>
              <w:spacing w:after="0"/>
              <w:rPr>
                <w:sz w:val="1"/>
                <w:szCs w:val="1"/>
                <w:color w:val="auto"/>
              </w:rPr>
            </w:pPr>
          </w:p>
        </w:tc>
      </w:tr>
      <w:tr>
        <w:trPr>
          <w:trHeight w:val="208"/>
        </w:trPr>
        <w:tc>
          <w:tcPr>
            <w:tcW w:w="2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Chief Compliance Officer(e)</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1,000,000</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93,600</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2,786,086</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18,306</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3,897,992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right="360" w:hanging="272"/>
        <w:spacing w:after="0" w:line="258"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Dr. Duroc-Danner’s salary for each of 2012, 2013 and 2014 was CHF 1,760,000. The change in value reflected above relates to changes in the USD-CHF exchange rate. Amounts shown in table represent the CHF salary translated to USD at the rate on the respective dates of payment.</w:t>
      </w:r>
    </w:p>
    <w:p>
      <w:pPr>
        <w:spacing w:after="0" w:line="45" w:lineRule="exact"/>
        <w:rPr>
          <w:rFonts w:ascii="Arial" w:cs="Arial" w:eastAsia="Arial" w:hAnsi="Arial"/>
          <w:sz w:val="14"/>
          <w:szCs w:val="14"/>
          <w:color w:val="auto"/>
        </w:rPr>
      </w:pPr>
    </w:p>
    <w:p>
      <w:pPr>
        <w:ind w:left="280" w:hanging="272"/>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Shivram joined the Company in November 2013.</w:t>
      </w:r>
    </w:p>
    <w:p>
      <w:pPr>
        <w:spacing w:after="0" w:line="68" w:lineRule="exact"/>
        <w:rPr>
          <w:rFonts w:ascii="Arial" w:cs="Arial" w:eastAsia="Arial" w:hAnsi="Arial"/>
          <w:sz w:val="14"/>
          <w:szCs w:val="14"/>
          <w:color w:val="auto"/>
        </w:rPr>
      </w:pPr>
    </w:p>
    <w:p>
      <w:pPr>
        <w:ind w:left="280" w:right="280" w:hanging="272"/>
        <w:spacing w:after="0" w:line="250"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Mrs. Ralston joined the Company on July 21, 2014 and left the Company on January 25, 2015. In connection with her departure, she did not receive any shares under her awards that were granted when she joined and as a result, she did not receive the value listed in the Stock Awards column. Therefore, her total realized compensation was $640,761 for 2014.</w:t>
      </w:r>
    </w:p>
    <w:p>
      <w:pPr>
        <w:spacing w:after="0" w:line="50" w:lineRule="exact"/>
        <w:rPr>
          <w:rFonts w:ascii="Arial" w:cs="Arial" w:eastAsia="Arial" w:hAnsi="Arial"/>
          <w:sz w:val="14"/>
          <w:szCs w:val="14"/>
          <w:color w:val="auto"/>
        </w:rPr>
      </w:pPr>
    </w:p>
    <w:p>
      <w:pPr>
        <w:ind w:left="280" w:right="540" w:hanging="272"/>
        <w:spacing w:after="0" w:line="258"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Gee’s 2012, 2013 and 2014 salary was denominated and paid in CHF. Amounts shown in table represent the monthly CHF salary translated to USD at the average exchange rate for each applicable month of the year. Mr. Gee left the Company effective February 28, 2014.</w:t>
      </w:r>
    </w:p>
    <w:p>
      <w:pPr>
        <w:spacing w:after="0" w:line="45" w:lineRule="exact"/>
        <w:rPr>
          <w:rFonts w:ascii="Arial" w:cs="Arial" w:eastAsia="Arial" w:hAnsi="Arial"/>
          <w:sz w:val="14"/>
          <w:szCs w:val="14"/>
          <w:color w:val="auto"/>
        </w:rPr>
      </w:pPr>
    </w:p>
    <w:p>
      <w:pPr>
        <w:ind w:left="280" w:hanging="272"/>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Jacobson left the Company effective July 3, 2014.</w:t>
      </w:r>
    </w:p>
    <w:p>
      <w:pPr>
        <w:spacing w:after="0" w:line="68" w:lineRule="exact"/>
        <w:rPr>
          <w:rFonts w:ascii="Arial" w:cs="Arial" w:eastAsia="Arial" w:hAnsi="Arial"/>
          <w:sz w:val="14"/>
          <w:szCs w:val="14"/>
          <w:color w:val="auto"/>
        </w:rPr>
      </w:pPr>
    </w:p>
    <w:p>
      <w:pPr>
        <w:ind w:left="280" w:right="220" w:hanging="272"/>
        <w:spacing w:after="0" w:line="244"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Values for 2012 relate to the Company’s safety performance exceeding the Superior target as prescribed in the 2012 ICP. Values for 2013 relate to the Company’s capital efficiency exceeding the superior target and its safety performance meeting or surpassing the target level as prescribed in the 2013 ICP. Values for 2014 relate to the Company’s EPS falling between threshold and target, annualized cost savings exceeding the superior target, net debt reduction exceeding the superior level and its safety performance meeting (LTIR) and surpassing (PVIR) the superior level. Amounts showing in this column for 2014, 2013 and 2012 were paid in 2015, 2014 and 2013, respectively, but relate to performance in the 2014, 2013 and 2012 fiscal years, respectively. For amounts paid in a currency other than USD, the payment was converted to USD using the appropriate foreign exchange rate as of the applicable payment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342" w:lineRule="exact"/>
        <w:rPr>
          <w:sz w:val="20"/>
          <w:szCs w:val="20"/>
          <w:color w:val="auto"/>
        </w:rPr>
      </w:pPr>
    </w:p>
    <w:p>
      <w:pPr>
        <w:ind w:left="280" w:right="120" w:hanging="272"/>
        <w:spacing w:after="0" w:line="247" w:lineRule="auto"/>
        <w:tabs>
          <w:tab w:leader="none" w:pos="2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footnote 17 (Share Based Compensation) to the audited financial statements included in our Annual Report on Form 10-K for the year ended December 31, 2014. Mrs. Ralston’s did not receive any shares under her awards upon her departure in accordance with the terms of the award agreements, so she did not receive the value listed in this column. For the PUs granted during 2014, the value of the award at the grant date, assuming that the highest level of performance conditions will be achieved, are as follows:</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Maximum Payout ($)</w:t>
            </w:r>
          </w:p>
        </w:tc>
      </w:tr>
      <w:tr>
        <w:trPr>
          <w:trHeight w:val="162"/>
        </w:trPr>
        <w:tc>
          <w:tcPr>
            <w:tcW w:w="566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Bernard J. Duroc-Danner</w:t>
            </w:r>
          </w:p>
        </w:tc>
        <w:tc>
          <w:tcPr>
            <w:tcW w:w="5400" w:type="dxa"/>
            <w:vAlign w:val="bottom"/>
            <w:tcBorders>
              <w:bottom w:val="single" w:sz="8" w:color="818284"/>
            </w:tcBorders>
          </w:tcPr>
          <w:p>
            <w:pPr>
              <w:jc w:val="right"/>
              <w:spacing w:after="0"/>
              <w:rPr>
                <w:sz w:val="20"/>
                <w:szCs w:val="20"/>
                <w:color w:val="auto"/>
              </w:rPr>
            </w:pPr>
            <w:r>
              <w:rPr>
                <w:rFonts w:ascii="Arial" w:cs="Arial" w:eastAsia="Arial" w:hAnsi="Arial"/>
                <w:sz w:val="14"/>
                <w:szCs w:val="14"/>
                <w:color w:val="auto"/>
              </w:rPr>
              <w:t>$8,000,000</w:t>
            </w:r>
          </w:p>
        </w:tc>
      </w:tr>
      <w:tr>
        <w:trPr>
          <w:trHeight w:val="156"/>
        </w:trPr>
        <w:tc>
          <w:tcPr>
            <w:tcW w:w="5660" w:type="dxa"/>
            <w:vAlign w:val="bottom"/>
            <w:tcBorders>
              <w:bottom w:val="single" w:sz="8" w:color="818284"/>
            </w:tcBorders>
          </w:tcPr>
          <w:p>
            <w:pPr>
              <w:spacing w:after="0" w:line="155" w:lineRule="exact"/>
              <w:rPr>
                <w:sz w:val="20"/>
                <w:szCs w:val="20"/>
                <w:color w:val="auto"/>
              </w:rPr>
            </w:pPr>
            <w:r>
              <w:rPr>
                <w:rFonts w:ascii="Arial" w:cs="Arial" w:eastAsia="Arial" w:hAnsi="Arial"/>
                <w:sz w:val="14"/>
                <w:szCs w:val="14"/>
                <w:color w:val="auto"/>
              </w:rPr>
              <w:t>Krishna Shivram</w:t>
            </w:r>
          </w:p>
        </w:tc>
        <w:tc>
          <w:tcPr>
            <w:tcW w:w="5400" w:type="dxa"/>
            <w:vAlign w:val="bottom"/>
            <w:tcBorders>
              <w:bottom w:val="single" w:sz="8" w:color="818284"/>
            </w:tcBorders>
          </w:tcPr>
          <w:p>
            <w:pPr>
              <w:jc w:val="right"/>
              <w:spacing w:after="0" w:line="155" w:lineRule="exact"/>
              <w:rPr>
                <w:sz w:val="20"/>
                <w:szCs w:val="20"/>
                <w:color w:val="auto"/>
              </w:rPr>
            </w:pPr>
            <w:r>
              <w:rPr>
                <w:rFonts w:ascii="Arial" w:cs="Arial" w:eastAsia="Arial" w:hAnsi="Arial"/>
                <w:sz w:val="14"/>
                <w:szCs w:val="14"/>
                <w:color w:val="auto"/>
              </w:rPr>
              <w:t>$3,000,000</w:t>
            </w:r>
          </w:p>
        </w:tc>
      </w:tr>
      <w:tr>
        <w:trPr>
          <w:trHeight w:val="156"/>
        </w:trPr>
        <w:tc>
          <w:tcPr>
            <w:tcW w:w="5660" w:type="dxa"/>
            <w:vAlign w:val="bottom"/>
            <w:tcBorders>
              <w:bottom w:val="single" w:sz="8" w:color="818284"/>
            </w:tcBorders>
          </w:tcPr>
          <w:p>
            <w:pPr>
              <w:spacing w:after="0" w:line="155" w:lineRule="exact"/>
              <w:rPr>
                <w:sz w:val="20"/>
                <w:szCs w:val="20"/>
                <w:color w:val="auto"/>
              </w:rPr>
            </w:pPr>
            <w:r>
              <w:rPr>
                <w:rFonts w:ascii="Arial" w:cs="Arial" w:eastAsia="Arial" w:hAnsi="Arial"/>
                <w:sz w:val="14"/>
                <w:szCs w:val="14"/>
                <w:color w:val="auto"/>
              </w:rPr>
              <w:t>Dharmesh Mehta</w:t>
            </w:r>
          </w:p>
        </w:tc>
        <w:tc>
          <w:tcPr>
            <w:tcW w:w="5400" w:type="dxa"/>
            <w:vAlign w:val="bottom"/>
            <w:tcBorders>
              <w:bottom w:val="single" w:sz="8" w:color="818284"/>
            </w:tcBorders>
          </w:tcPr>
          <w:p>
            <w:pPr>
              <w:jc w:val="right"/>
              <w:spacing w:after="0" w:line="155" w:lineRule="exact"/>
              <w:rPr>
                <w:sz w:val="20"/>
                <w:szCs w:val="20"/>
                <w:color w:val="auto"/>
              </w:rPr>
            </w:pPr>
            <w:r>
              <w:rPr>
                <w:rFonts w:ascii="Arial" w:cs="Arial" w:eastAsia="Arial" w:hAnsi="Arial"/>
                <w:sz w:val="14"/>
                <w:szCs w:val="14"/>
                <w:color w:val="auto"/>
              </w:rPr>
              <w:t>$3,000,000</w:t>
            </w:r>
          </w:p>
        </w:tc>
      </w:tr>
      <w:tr>
        <w:trPr>
          <w:trHeight w:val="163"/>
        </w:trPr>
        <w:tc>
          <w:tcPr>
            <w:tcW w:w="5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Douglas Mills</w:t>
            </w:r>
          </w:p>
        </w:tc>
        <w:tc>
          <w:tcPr>
            <w:tcW w:w="5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$ 1,001,700</w:t>
            </w:r>
          </w:p>
        </w:tc>
      </w:tr>
    </w:tbl>
    <w:p>
      <w:pPr>
        <w:spacing w:after="0" w:line="72" w:lineRule="exact"/>
        <w:rPr>
          <w:sz w:val="20"/>
          <w:szCs w:val="20"/>
          <w:color w:val="auto"/>
        </w:rPr>
      </w:pPr>
    </w:p>
    <w:p>
      <w:pPr>
        <w:ind w:left="280" w:right="180" w:hanging="272"/>
        <w:spacing w:after="0" w:line="247" w:lineRule="auto"/>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increase in actuarial value does not reflect additional compensation paid, but rather reflects an increase in the year-over-year present value of the actuarial benefit. This increase in actuarial value is presented as required by SEC regulations. No additional benefits accrued under the executive retirement plans for Dr. Duroc-Danner in 2012, 2013 or 2014. For information on the retirement plans and the freezing of these plans, see “Retirement Plans-Discontinued Executive Retirement Plan” in the Compensation Discussion and Analysis section of this Proxy Statement. For more information on the present value of the pension benefit, see “Pension Benefits” below.</w:t>
      </w:r>
    </w:p>
    <w:p>
      <w:pPr>
        <w:spacing w:after="0" w:line="53" w:lineRule="exact"/>
        <w:rPr>
          <w:rFonts w:ascii="Arial" w:cs="Arial" w:eastAsia="Arial" w:hAnsi="Arial"/>
          <w:sz w:val="14"/>
          <w:szCs w:val="14"/>
          <w:color w:val="auto"/>
        </w:rPr>
      </w:pPr>
    </w:p>
    <w:p>
      <w:pPr>
        <w:ind w:left="280" w:hanging="272"/>
        <w:spacing w:after="0"/>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All Other Compensation for 2014 consists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Matching</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Contributions</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7"/>
        </w:trPr>
        <w:tc>
          <w:tcPr>
            <w:tcW w:w="1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under 401(k) and</w:t>
            </w:r>
          </w:p>
        </w:tc>
        <w:tc>
          <w:tcPr>
            <w:tcW w:w="13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Expatriate</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0"/>
        </w:trPr>
        <w:tc>
          <w:tcPr>
            <w:tcW w:w="1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Club</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Other</w:t>
            </w: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Housing,</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780" w:type="dxa"/>
            <w:vAlign w:val="bottom"/>
          </w:tcPr>
          <w:p>
            <w:pPr>
              <w:spacing w:after="0"/>
              <w:rPr>
                <w:sz w:val="14"/>
                <w:szCs w:val="14"/>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Car/Car</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Membership</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Contribution</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Life Insurance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Geographic</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Schooling</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Net Taxes</w:t>
            </w:r>
          </w:p>
        </w:tc>
        <w:tc>
          <w:tcPr>
            <w:tcW w:w="1260" w:type="dxa"/>
            <w:vAlign w:val="bottom"/>
          </w:tcPr>
          <w:p>
            <w:pPr>
              <w:spacing w:after="0"/>
              <w:rPr>
                <w:sz w:val="14"/>
                <w:szCs w:val="14"/>
                <w:color w:val="auto"/>
              </w:rPr>
            </w:pPr>
          </w:p>
        </w:tc>
      </w:tr>
      <w:tr>
        <w:trPr>
          <w:trHeight w:val="162"/>
        </w:trPr>
        <w:tc>
          <w:tcPr>
            <w:tcW w:w="1780" w:type="dxa"/>
            <w:vAlign w:val="bottom"/>
          </w:tcPr>
          <w:p>
            <w:pPr>
              <w:spacing w:after="0"/>
              <w:rPr>
                <w:sz w:val="14"/>
                <w:szCs w:val="14"/>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Allowance</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Dues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Plans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Premiums</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Differential</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and Other</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Paid</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Termination Pay</w:t>
            </w:r>
          </w:p>
        </w:tc>
      </w:tr>
      <w:tr>
        <w:trPr>
          <w:trHeight w:val="164"/>
        </w:trPr>
        <w:tc>
          <w:tcPr>
            <w:tcW w:w="17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($)(3)</w:t>
            </w:r>
          </w:p>
        </w:tc>
      </w:tr>
      <w:tr>
        <w:trPr>
          <w:trHeight w:val="176"/>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Duroc-Danner</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5,025</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6,630</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45,015</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4,284</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672,248</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16,502</w:t>
            </w:r>
          </w:p>
        </w:tc>
        <w:tc>
          <w:tcPr>
            <w:tcW w:w="840" w:type="dxa"/>
            <w:vAlign w:val="bottom"/>
            <w:tcBorders>
              <w:bottom w:val="single" w:sz="8" w:color="818284"/>
            </w:tcBorders>
          </w:tcPr>
          <w:p>
            <w:pPr>
              <w:jc w:val="right"/>
              <w:spacing w:after="0"/>
              <w:rPr>
                <w:sz w:val="20"/>
                <w:szCs w:val="20"/>
                <w:color w:val="auto"/>
              </w:rPr>
            </w:pPr>
            <w:r>
              <w:rPr>
                <w:rFonts w:ascii="Arial" w:cs="Arial" w:eastAsia="Arial" w:hAnsi="Arial"/>
                <w:sz w:val="14"/>
                <w:szCs w:val="14"/>
                <w:color w:val="auto"/>
              </w:rPr>
              <w:t>1,081,731</w:t>
            </w:r>
          </w:p>
        </w:tc>
        <w:tc>
          <w:tcPr>
            <w:tcW w:w="14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Shivram</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10,800</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1,656</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5,072</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3,782</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Mehta</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10,800</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10,400</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3,083</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Mills</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10,800</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4,681</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10,400</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1,024</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Ralston</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5,175</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1,231</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Gee</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3,337</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5,720</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374</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50,691</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33,770</w:t>
            </w:r>
          </w:p>
        </w:tc>
        <w:tc>
          <w:tcPr>
            <w:tcW w:w="840" w:type="dxa"/>
            <w:vAlign w:val="bottom"/>
            <w:tcBorders>
              <w:bottom w:val="single" w:sz="8" w:color="818284"/>
            </w:tcBorders>
          </w:tcPr>
          <w:p>
            <w:pPr>
              <w:jc w:val="right"/>
              <w:spacing w:after="0"/>
              <w:rPr>
                <w:sz w:val="20"/>
                <w:szCs w:val="20"/>
                <w:color w:val="auto"/>
              </w:rPr>
            </w:pPr>
            <w:r>
              <w:rPr>
                <w:rFonts w:ascii="Arial" w:cs="Arial" w:eastAsia="Arial" w:hAnsi="Arial"/>
                <w:sz w:val="14"/>
                <w:szCs w:val="14"/>
                <w:color w:val="auto"/>
              </w:rPr>
              <w:t>2,662,001</w:t>
            </w:r>
          </w:p>
        </w:tc>
        <w:tc>
          <w:tcPr>
            <w:tcW w:w="140" w:type="dxa"/>
            <w:vAlign w:val="bottom"/>
            <w:tcBorders>
              <w:bottom w:val="single" w:sz="8" w:color="818284"/>
            </w:tcBorders>
          </w:tcPr>
          <w:p>
            <w:pPr>
              <w:spacing w:after="0"/>
              <w:rPr>
                <w:sz w:val="14"/>
                <w:szCs w:val="14"/>
                <w:color w:val="auto"/>
              </w:rPr>
            </w:pP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4,331,405</w:t>
            </w:r>
          </w:p>
        </w:tc>
      </w:tr>
      <w:tr>
        <w:trPr>
          <w:trHeight w:val="176"/>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Jacobson</w:t>
            </w: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5,400</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10,400</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2,289</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4,895,316</w:t>
            </w:r>
          </w:p>
        </w:tc>
      </w:tr>
    </w:tbl>
    <w:p>
      <w:pPr>
        <w:spacing w:after="0" w:line="59" w:lineRule="exact"/>
        <w:rPr>
          <w:sz w:val="20"/>
          <w:szCs w:val="20"/>
          <w:color w:val="auto"/>
        </w:rPr>
      </w:pPr>
    </w:p>
    <w:p>
      <w:pPr>
        <w:ind w:left="280" w:right="440" w:hanging="272"/>
        <w:spacing w:after="0" w:line="258" w:lineRule="auto"/>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Dr. Duroc-Danner is, and Mr. Gee was, a participant in the Weatherford International Swiss Pension Plan. Messrs. Shivram, Mehta and Mills are, and Mr. Jacobson was, participants in the U.S. 401(k) plan. Amounts shown represent Company contributions to those plans.</w:t>
      </w:r>
    </w:p>
    <w:p>
      <w:pPr>
        <w:spacing w:after="0" w:line="32" w:lineRule="exact"/>
        <w:rPr>
          <w:rFonts w:ascii="Arial" w:cs="Arial" w:eastAsia="Arial" w:hAnsi="Arial"/>
          <w:sz w:val="14"/>
          <w:szCs w:val="14"/>
          <w:color w:val="auto"/>
        </w:rPr>
      </w:pPr>
    </w:p>
    <w:p>
      <w:pPr>
        <w:ind w:left="280" w:right="340" w:hanging="272"/>
        <w:spacing w:after="0" w:line="258" w:lineRule="auto"/>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Net Taxes Paid represents the difference between cash taxes paid on behalf of the executive during the year and amounts withheld from the executive’s compensation for taxes during the year. Taxes paid by the Company to a taxing authority in 2014 with respect to taxes on income earned in previous years are shown in 2014.</w:t>
      </w:r>
    </w:p>
    <w:p>
      <w:pPr>
        <w:spacing w:after="0" w:line="32" w:lineRule="exact"/>
        <w:rPr>
          <w:rFonts w:ascii="Arial" w:cs="Arial" w:eastAsia="Arial" w:hAnsi="Arial"/>
          <w:sz w:val="14"/>
          <w:szCs w:val="14"/>
          <w:color w:val="auto"/>
        </w:rPr>
      </w:pPr>
    </w:p>
    <w:p>
      <w:pPr>
        <w:ind w:left="280" w:hanging="272"/>
        <w:spacing w:after="0"/>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 details of termination pay, see “Termination of Employment”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6" w:name="page77"/>
    <w:bookmarkEnd w:id="7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GRANTS OF PLAN-BASED AWARDS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plan-based awards granted in 2014 to the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60" w:type="dxa"/>
            <w:vAlign w:val="bottom"/>
            <w:gridSpan w:val="4"/>
          </w:tcPr>
          <w:p>
            <w:pPr>
              <w:jc w:val="center"/>
              <w:ind w:right="20"/>
              <w:spacing w:after="0"/>
              <w:rPr>
                <w:sz w:val="20"/>
                <w:szCs w:val="20"/>
                <w:color w:val="auto"/>
              </w:rPr>
            </w:pPr>
            <w:r>
              <w:rPr>
                <w:rFonts w:ascii="Arial" w:cs="Arial" w:eastAsia="Arial" w:hAnsi="Arial"/>
                <w:sz w:val="16"/>
                <w:szCs w:val="16"/>
                <w:color w:val="auto"/>
              </w:rPr>
              <w:t>Estimated Possible Payouts</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All Other</w:t>
            </w: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60" w:type="dxa"/>
            <w:vAlign w:val="bottom"/>
            <w:gridSpan w:val="4"/>
          </w:tcPr>
          <w:p>
            <w:pPr>
              <w:jc w:val="center"/>
              <w:ind w:right="20"/>
              <w:spacing w:after="0"/>
              <w:rPr>
                <w:sz w:val="20"/>
                <w:szCs w:val="20"/>
                <w:color w:val="auto"/>
              </w:rPr>
            </w:pPr>
            <w:r>
              <w:rPr>
                <w:rFonts w:ascii="Arial" w:cs="Arial" w:eastAsia="Arial" w:hAnsi="Arial"/>
                <w:sz w:val="16"/>
                <w:szCs w:val="16"/>
                <w:color w:val="auto"/>
              </w:rPr>
              <w:t>Under Non-Equity Incentive Plan</w:t>
            </w:r>
          </w:p>
        </w:tc>
        <w:tc>
          <w:tcPr>
            <w:tcW w:w="2720" w:type="dxa"/>
            <w:vAlign w:val="bottom"/>
            <w:gridSpan w:val="4"/>
          </w:tcPr>
          <w:p>
            <w:pPr>
              <w:jc w:val="right"/>
              <w:ind w:right="240"/>
              <w:spacing w:after="0"/>
              <w:rPr>
                <w:sz w:val="20"/>
                <w:szCs w:val="20"/>
                <w:color w:val="auto"/>
              </w:rPr>
            </w:pPr>
            <w:r>
              <w:rPr>
                <w:rFonts w:ascii="Arial" w:cs="Arial" w:eastAsia="Arial" w:hAnsi="Arial"/>
                <w:sz w:val="16"/>
                <w:szCs w:val="16"/>
                <w:color w:val="auto"/>
              </w:rPr>
              <w:t>Estimated Future Payouts Under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Stock Awards:</w:t>
            </w:r>
          </w:p>
        </w:tc>
        <w:tc>
          <w:tcPr>
            <w:tcW w:w="1280" w:type="dxa"/>
            <w:vAlign w:val="bottom"/>
          </w:tcPr>
          <w:p>
            <w:pPr>
              <w:spacing w:after="0"/>
              <w:rPr>
                <w:sz w:val="16"/>
                <w:szCs w:val="16"/>
                <w:color w:val="auto"/>
              </w:rPr>
            </w:pPr>
          </w:p>
        </w:tc>
      </w:tr>
      <w:tr>
        <w:trPr>
          <w:trHeight w:val="201"/>
        </w:trPr>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Awards(1)</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4"/>
          </w:tcPr>
          <w:p>
            <w:pPr>
              <w:jc w:val="right"/>
              <w:ind w:right="360"/>
              <w:spacing w:after="0"/>
              <w:rPr>
                <w:sz w:val="20"/>
                <w:szCs w:val="20"/>
                <w:color w:val="auto"/>
              </w:rPr>
            </w:pPr>
            <w:r>
              <w:rPr>
                <w:rFonts w:ascii="Arial" w:cs="Arial" w:eastAsia="Arial" w:hAnsi="Arial"/>
                <w:sz w:val="16"/>
                <w:szCs w:val="16"/>
                <w:color w:val="auto"/>
              </w:rPr>
              <w:t>Equity Incentive Plan Awards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Number of</w:t>
            </w:r>
          </w:p>
        </w:tc>
        <w:tc>
          <w:tcPr>
            <w:tcW w:w="1280" w:type="dxa"/>
            <w:vAlign w:val="bottom"/>
          </w:tcPr>
          <w:p>
            <w:pPr>
              <w:jc w:val="right"/>
              <w:spacing w:after="0"/>
              <w:rPr>
                <w:sz w:val="20"/>
                <w:szCs w:val="20"/>
                <w:color w:val="auto"/>
              </w:rPr>
            </w:pPr>
            <w:r>
              <w:rPr>
                <w:rFonts w:ascii="Arial" w:cs="Arial" w:eastAsia="Arial" w:hAnsi="Arial"/>
                <w:sz w:val="16"/>
                <w:szCs w:val="16"/>
                <w:color w:val="auto"/>
              </w:rPr>
              <w:t>Grant Date Fair</w:t>
            </w:r>
          </w:p>
        </w:tc>
      </w:tr>
      <w:tr>
        <w:trPr>
          <w:trHeight w:val="171"/>
        </w:trPr>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Borders>
              <w:top w:val="single" w:sz="8" w:color="818284"/>
            </w:tcBorders>
          </w:tcPr>
          <w:p>
            <w:pPr>
              <w:spacing w:after="0"/>
              <w:rPr>
                <w:sz w:val="14"/>
                <w:szCs w:val="14"/>
                <w:color w:val="auto"/>
              </w:rPr>
            </w:pPr>
          </w:p>
        </w:tc>
        <w:tc>
          <w:tcPr>
            <w:tcW w:w="1040" w:type="dxa"/>
            <w:vAlign w:val="bottom"/>
            <w:tcBorders>
              <w:top w:val="single" w:sz="8" w:color="818284"/>
            </w:tcBorders>
          </w:tcPr>
          <w:p>
            <w:pPr>
              <w:spacing w:after="0"/>
              <w:rPr>
                <w:sz w:val="14"/>
                <w:szCs w:val="14"/>
                <w:color w:val="auto"/>
              </w:rPr>
            </w:pPr>
          </w:p>
        </w:tc>
        <w:tc>
          <w:tcPr>
            <w:tcW w:w="880" w:type="dxa"/>
            <w:vAlign w:val="bottom"/>
            <w:tcBorders>
              <w:top w:val="single" w:sz="8" w:color="818284"/>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top w:val="single" w:sz="8" w:color="818284"/>
            </w:tcBorders>
          </w:tcPr>
          <w:p>
            <w:pPr>
              <w:spacing w:after="0"/>
              <w:rPr>
                <w:sz w:val="14"/>
                <w:szCs w:val="14"/>
                <w:color w:val="auto"/>
              </w:rPr>
            </w:pPr>
          </w:p>
        </w:tc>
        <w:tc>
          <w:tcPr>
            <w:tcW w:w="880" w:type="dxa"/>
            <w:vAlign w:val="bottom"/>
            <w:tcBorders>
              <w:top w:val="single" w:sz="8" w:color="818284"/>
            </w:tcBorders>
          </w:tcPr>
          <w:p>
            <w:pPr>
              <w:spacing w:after="0"/>
              <w:rPr>
                <w:sz w:val="14"/>
                <w:szCs w:val="14"/>
                <w:color w:val="auto"/>
              </w:rPr>
            </w:pPr>
          </w:p>
        </w:tc>
        <w:tc>
          <w:tcPr>
            <w:tcW w:w="820" w:type="dxa"/>
            <w:vAlign w:val="bottom"/>
            <w:tcBorders>
              <w:top w:val="single" w:sz="8" w:color="818284"/>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9"/>
              <w:spacing w:after="0" w:line="171" w:lineRule="exact"/>
              <w:rPr>
                <w:sz w:val="20"/>
                <w:szCs w:val="20"/>
                <w:color w:val="auto"/>
              </w:rPr>
            </w:pPr>
            <w:r>
              <w:rPr>
                <w:rFonts w:ascii="Arial" w:cs="Arial" w:eastAsia="Arial" w:hAnsi="Arial"/>
                <w:sz w:val="16"/>
                <w:szCs w:val="16"/>
                <w:color w:val="auto"/>
              </w:rPr>
              <w:t>Restricted</w:t>
            </w:r>
          </w:p>
        </w:tc>
        <w:tc>
          <w:tcPr>
            <w:tcW w:w="1280" w:type="dxa"/>
            <w:vAlign w:val="bottom"/>
          </w:tcPr>
          <w:p>
            <w:pPr>
              <w:jc w:val="right"/>
              <w:spacing w:after="0" w:line="171" w:lineRule="exact"/>
              <w:rPr>
                <w:sz w:val="20"/>
                <w:szCs w:val="20"/>
                <w:color w:val="auto"/>
              </w:rPr>
            </w:pPr>
            <w:r>
              <w:rPr>
                <w:rFonts w:ascii="Arial" w:cs="Arial" w:eastAsia="Arial" w:hAnsi="Arial"/>
                <w:sz w:val="16"/>
                <w:szCs w:val="16"/>
                <w:color w:val="auto"/>
              </w:rPr>
              <w:t>Value of Share</w:t>
            </w:r>
          </w:p>
        </w:tc>
      </w:tr>
      <w:tr>
        <w:trPr>
          <w:trHeight w:val="195"/>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Grant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Threshold</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Target</w:t>
            </w:r>
          </w:p>
        </w:tc>
        <w:tc>
          <w:tcPr>
            <w:tcW w:w="1060" w:type="dxa"/>
            <w:vAlign w:val="bottom"/>
            <w:gridSpan w:val="2"/>
          </w:tcPr>
          <w:p>
            <w:pPr>
              <w:ind w:left="260"/>
              <w:spacing w:after="0"/>
              <w:rPr>
                <w:sz w:val="20"/>
                <w:szCs w:val="20"/>
                <w:color w:val="auto"/>
              </w:rPr>
            </w:pPr>
            <w:r>
              <w:rPr>
                <w:rFonts w:ascii="Arial" w:cs="Arial" w:eastAsia="Arial" w:hAnsi="Arial"/>
                <w:sz w:val="16"/>
                <w:szCs w:val="16"/>
                <w:color w:val="auto"/>
              </w:rPr>
              <w:t>Superior</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Threshold</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Target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Maximum</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Shares/Units</w:t>
            </w:r>
          </w:p>
        </w:tc>
        <w:tc>
          <w:tcPr>
            <w:tcW w:w="1280" w:type="dxa"/>
            <w:vAlign w:val="bottom"/>
          </w:tcPr>
          <w:p>
            <w:pPr>
              <w:jc w:val="right"/>
              <w:spacing w:after="0"/>
              <w:rPr>
                <w:sz w:val="20"/>
                <w:szCs w:val="20"/>
                <w:color w:val="auto"/>
              </w:rPr>
            </w:pPr>
            <w:r>
              <w:rPr>
                <w:rFonts w:ascii="Arial" w:cs="Arial" w:eastAsia="Arial" w:hAnsi="Arial"/>
                <w:sz w:val="16"/>
                <w:szCs w:val="16"/>
                <w:color w:val="auto"/>
              </w:rPr>
              <w:t>Awards</w:t>
            </w:r>
          </w:p>
        </w:tc>
      </w:tr>
      <w:tr>
        <w:trPr>
          <w:trHeight w:val="202"/>
        </w:trPr>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Date</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r>
      <w:tr>
        <w:trPr>
          <w:trHeight w:val="191"/>
        </w:trPr>
        <w:tc>
          <w:tcPr>
            <w:tcW w:w="1760" w:type="dxa"/>
            <w:vAlign w:val="bottom"/>
          </w:tcPr>
          <w:p>
            <w:pPr>
              <w:spacing w:after="0"/>
              <w:rPr>
                <w:sz w:val="20"/>
                <w:szCs w:val="20"/>
                <w:color w:val="auto"/>
              </w:rPr>
            </w:pPr>
            <w:r>
              <w:rPr>
                <w:rFonts w:ascii="Arial" w:cs="Arial" w:eastAsia="Arial" w:hAnsi="Arial"/>
                <w:sz w:val="16"/>
                <w:szCs w:val="16"/>
                <w:color w:val="auto"/>
              </w:rPr>
              <w:t>Bernard J. Duroc-</w:t>
            </w: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ind w:left="180"/>
              <w:spacing w:after="0"/>
              <w:rPr>
                <w:sz w:val="20"/>
                <w:szCs w:val="20"/>
                <w:color w:val="auto"/>
              </w:rPr>
            </w:pPr>
            <w:r>
              <w:rPr>
                <w:rFonts w:ascii="Arial" w:cs="Arial" w:eastAsia="Arial" w:hAnsi="Arial"/>
                <w:sz w:val="16"/>
                <w:szCs w:val="16"/>
                <w:color w:val="auto"/>
              </w:rPr>
              <w:t>Danner</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3,776</w:t>
            </w:r>
          </w:p>
        </w:tc>
        <w:tc>
          <w:tcPr>
            <w:tcW w:w="1280" w:type="dxa"/>
            <w:vAlign w:val="bottom"/>
          </w:tcPr>
          <w:p>
            <w:pPr>
              <w:jc w:val="right"/>
              <w:spacing w:after="0"/>
              <w:rPr>
                <w:sz w:val="20"/>
                <w:szCs w:val="20"/>
                <w:color w:val="auto"/>
              </w:rPr>
            </w:pPr>
            <w:r>
              <w:rPr>
                <w:rFonts w:ascii="Arial" w:cs="Arial" w:eastAsia="Arial" w:hAnsi="Arial"/>
                <w:sz w:val="16"/>
                <w:szCs w:val="16"/>
                <w:color w:val="auto"/>
              </w:rPr>
              <w:t>56,904</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1,186,427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2,372,854</w:t>
            </w:r>
          </w:p>
        </w:tc>
        <w:tc>
          <w:tcPr>
            <w:tcW w:w="880" w:type="dxa"/>
            <w:vAlign w:val="bottom"/>
          </w:tcPr>
          <w:p>
            <w:pPr>
              <w:jc w:val="right"/>
              <w:spacing w:after="0"/>
              <w:rPr>
                <w:sz w:val="20"/>
                <w:szCs w:val="20"/>
                <w:color w:val="auto"/>
              </w:rPr>
            </w:pPr>
            <w:r>
              <w:rPr>
                <w:rFonts w:ascii="Arial" w:cs="Arial" w:eastAsia="Arial" w:hAnsi="Arial"/>
                <w:sz w:val="16"/>
                <w:szCs w:val="16"/>
                <w:color w:val="auto"/>
              </w:rPr>
              <w:t>4,745,707</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122,851</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245,701</w:t>
            </w:r>
          </w:p>
        </w:tc>
        <w:tc>
          <w:tcPr>
            <w:tcW w:w="820" w:type="dxa"/>
            <w:vAlign w:val="bottom"/>
          </w:tcPr>
          <w:p>
            <w:pPr>
              <w:jc w:val="right"/>
              <w:spacing w:after="0"/>
              <w:rPr>
                <w:sz w:val="20"/>
                <w:szCs w:val="20"/>
                <w:color w:val="auto"/>
              </w:rPr>
            </w:pPr>
            <w:r>
              <w:rPr>
                <w:rFonts w:ascii="Arial" w:cs="Arial" w:eastAsia="Arial" w:hAnsi="Arial"/>
                <w:sz w:val="16"/>
                <w:szCs w:val="16"/>
                <w:color w:val="auto"/>
              </w:rPr>
              <w:t>491,402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3,515,981</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245,701</w:t>
            </w:r>
          </w:p>
        </w:tc>
        <w:tc>
          <w:tcPr>
            <w:tcW w:w="1280" w:type="dxa"/>
            <w:vAlign w:val="bottom"/>
          </w:tcPr>
          <w:p>
            <w:pPr>
              <w:jc w:val="right"/>
              <w:spacing w:after="0"/>
              <w:rPr>
                <w:sz w:val="20"/>
                <w:szCs w:val="20"/>
                <w:color w:val="auto"/>
              </w:rPr>
            </w:pPr>
            <w:r>
              <w:rPr>
                <w:rFonts w:ascii="Arial" w:cs="Arial" w:eastAsia="Arial" w:hAnsi="Arial"/>
                <w:sz w:val="16"/>
                <w:szCs w:val="16"/>
                <w:color w:val="auto"/>
              </w:rPr>
              <w:t>4,000,012</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22,971</w:t>
            </w:r>
          </w:p>
        </w:tc>
        <w:tc>
          <w:tcPr>
            <w:tcW w:w="1280" w:type="dxa"/>
            <w:vAlign w:val="bottom"/>
          </w:tcPr>
          <w:p>
            <w:pPr>
              <w:jc w:val="right"/>
              <w:spacing w:after="0"/>
              <w:rPr>
                <w:sz w:val="20"/>
                <w:szCs w:val="20"/>
                <w:color w:val="auto"/>
              </w:rPr>
            </w:pPr>
            <w:r>
              <w:rPr>
                <w:rFonts w:ascii="Arial" w:cs="Arial" w:eastAsia="Arial" w:hAnsi="Arial"/>
                <w:sz w:val="16"/>
                <w:szCs w:val="16"/>
                <w:color w:val="auto"/>
              </w:rPr>
              <w:t>401,303</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9,924</w:t>
            </w:r>
          </w:p>
        </w:tc>
        <w:tc>
          <w:tcPr>
            <w:tcW w:w="1280" w:type="dxa"/>
            <w:vAlign w:val="bottom"/>
          </w:tcPr>
          <w:p>
            <w:pPr>
              <w:jc w:val="right"/>
              <w:spacing w:after="0"/>
              <w:rPr>
                <w:sz w:val="20"/>
                <w:szCs w:val="20"/>
                <w:color w:val="auto"/>
              </w:rPr>
            </w:pPr>
            <w:r>
              <w:rPr>
                <w:rFonts w:ascii="Arial" w:cs="Arial" w:eastAsia="Arial" w:hAnsi="Arial"/>
                <w:sz w:val="16"/>
                <w:szCs w:val="16"/>
                <w:color w:val="auto"/>
              </w:rPr>
              <w:t>226,168</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Oct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3,184</w:t>
            </w:r>
          </w:p>
        </w:tc>
        <w:tc>
          <w:tcPr>
            <w:tcW w:w="1280" w:type="dxa"/>
            <w:vAlign w:val="bottom"/>
          </w:tcPr>
          <w:p>
            <w:pPr>
              <w:jc w:val="right"/>
              <w:spacing w:after="0"/>
              <w:rPr>
                <w:sz w:val="20"/>
                <w:szCs w:val="20"/>
                <w:color w:val="auto"/>
              </w:rPr>
            </w:pPr>
            <w:r>
              <w:rPr>
                <w:rFonts w:ascii="Arial" w:cs="Arial" w:eastAsia="Arial" w:hAnsi="Arial"/>
                <w:sz w:val="16"/>
                <w:szCs w:val="16"/>
                <w:color w:val="auto"/>
              </w:rPr>
              <w:t>63,489</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Krishna Shivram</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375,000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750,000</w:t>
            </w:r>
          </w:p>
        </w:tc>
        <w:tc>
          <w:tcPr>
            <w:tcW w:w="880" w:type="dxa"/>
            <w:vAlign w:val="bottom"/>
          </w:tcPr>
          <w:p>
            <w:pPr>
              <w:jc w:val="right"/>
              <w:spacing w:after="0"/>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46,069</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92,138</w:t>
            </w:r>
          </w:p>
        </w:tc>
        <w:tc>
          <w:tcPr>
            <w:tcW w:w="820" w:type="dxa"/>
            <w:vAlign w:val="bottom"/>
          </w:tcPr>
          <w:p>
            <w:pPr>
              <w:jc w:val="right"/>
              <w:spacing w:after="0"/>
              <w:rPr>
                <w:sz w:val="20"/>
                <w:szCs w:val="20"/>
                <w:color w:val="auto"/>
              </w:rPr>
            </w:pPr>
            <w:r>
              <w:rPr>
                <w:rFonts w:ascii="Arial" w:cs="Arial" w:eastAsia="Arial" w:hAnsi="Arial"/>
                <w:sz w:val="16"/>
                <w:szCs w:val="16"/>
                <w:color w:val="auto"/>
              </w:rPr>
              <w:t>184,276</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1,318,495</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92,138</w:t>
            </w:r>
          </w:p>
        </w:tc>
        <w:tc>
          <w:tcPr>
            <w:tcW w:w="1280" w:type="dxa"/>
            <w:vAlign w:val="bottom"/>
          </w:tcPr>
          <w:p>
            <w:pPr>
              <w:jc w:val="right"/>
              <w:spacing w:after="0"/>
              <w:rPr>
                <w:sz w:val="20"/>
                <w:szCs w:val="20"/>
                <w:color w:val="auto"/>
              </w:rPr>
            </w:pPr>
            <w:r>
              <w:rPr>
                <w:rFonts w:ascii="Arial" w:cs="Arial" w:eastAsia="Arial" w:hAnsi="Arial"/>
                <w:sz w:val="16"/>
                <w:szCs w:val="16"/>
                <w:color w:val="auto"/>
              </w:rPr>
              <w:t>1,500,007</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Dharmesh Mehta</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1,688</w:t>
            </w:r>
          </w:p>
        </w:tc>
        <w:tc>
          <w:tcPr>
            <w:tcW w:w="1280" w:type="dxa"/>
            <w:vAlign w:val="bottom"/>
          </w:tcPr>
          <w:p>
            <w:pPr>
              <w:jc w:val="right"/>
              <w:spacing w:after="0"/>
              <w:rPr>
                <w:sz w:val="20"/>
                <w:szCs w:val="20"/>
                <w:color w:val="auto"/>
              </w:rPr>
            </w:pPr>
            <w:r>
              <w:rPr>
                <w:rFonts w:ascii="Arial" w:cs="Arial" w:eastAsia="Arial" w:hAnsi="Arial"/>
                <w:sz w:val="16"/>
                <w:szCs w:val="16"/>
                <w:color w:val="auto"/>
              </w:rPr>
              <w:t>25,438</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375,000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750,000</w:t>
            </w:r>
          </w:p>
        </w:tc>
        <w:tc>
          <w:tcPr>
            <w:tcW w:w="880" w:type="dxa"/>
            <w:vAlign w:val="bottom"/>
          </w:tcPr>
          <w:p>
            <w:pPr>
              <w:jc w:val="right"/>
              <w:spacing w:after="0"/>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46,069</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92,138</w:t>
            </w:r>
          </w:p>
        </w:tc>
        <w:tc>
          <w:tcPr>
            <w:tcW w:w="820" w:type="dxa"/>
            <w:vAlign w:val="bottom"/>
          </w:tcPr>
          <w:p>
            <w:pPr>
              <w:jc w:val="right"/>
              <w:spacing w:after="0"/>
              <w:rPr>
                <w:sz w:val="20"/>
                <w:szCs w:val="20"/>
                <w:color w:val="auto"/>
              </w:rPr>
            </w:pPr>
            <w:r>
              <w:rPr>
                <w:rFonts w:ascii="Arial" w:cs="Arial" w:eastAsia="Arial" w:hAnsi="Arial"/>
                <w:sz w:val="16"/>
                <w:szCs w:val="16"/>
                <w:color w:val="auto"/>
              </w:rPr>
              <w:t>184,276</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1,318,495</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92,138</w:t>
            </w:r>
          </w:p>
        </w:tc>
        <w:tc>
          <w:tcPr>
            <w:tcW w:w="1280" w:type="dxa"/>
            <w:vAlign w:val="bottom"/>
          </w:tcPr>
          <w:p>
            <w:pPr>
              <w:jc w:val="right"/>
              <w:spacing w:after="0"/>
              <w:rPr>
                <w:sz w:val="20"/>
                <w:szCs w:val="20"/>
                <w:color w:val="auto"/>
              </w:rPr>
            </w:pPr>
            <w:r>
              <w:rPr>
                <w:rFonts w:ascii="Arial" w:cs="Arial" w:eastAsia="Arial" w:hAnsi="Arial"/>
                <w:sz w:val="16"/>
                <w:szCs w:val="16"/>
                <w:color w:val="auto"/>
              </w:rPr>
              <w:t>1,500,007</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11,540</w:t>
            </w:r>
          </w:p>
        </w:tc>
        <w:tc>
          <w:tcPr>
            <w:tcW w:w="1280" w:type="dxa"/>
            <w:vAlign w:val="bottom"/>
          </w:tcPr>
          <w:p>
            <w:pPr>
              <w:jc w:val="right"/>
              <w:spacing w:after="0"/>
              <w:rPr>
                <w:sz w:val="20"/>
                <w:szCs w:val="20"/>
                <w:color w:val="auto"/>
              </w:rPr>
            </w:pPr>
            <w:r>
              <w:rPr>
                <w:rFonts w:ascii="Arial" w:cs="Arial" w:eastAsia="Arial" w:hAnsi="Arial"/>
                <w:sz w:val="16"/>
                <w:szCs w:val="16"/>
                <w:color w:val="auto"/>
              </w:rPr>
              <w:t>201,604</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80" w:type="dxa"/>
            <w:vAlign w:val="bottom"/>
          </w:tcPr>
          <w:p>
            <w:pPr>
              <w:jc w:val="right"/>
              <w:spacing w:after="0"/>
              <w:rPr>
                <w:sz w:val="20"/>
                <w:szCs w:val="20"/>
                <w:color w:val="auto"/>
              </w:rPr>
            </w:pPr>
            <w:r>
              <w:rPr>
                <w:rFonts w:ascii="Arial" w:cs="Arial" w:eastAsia="Arial" w:hAnsi="Arial"/>
                <w:sz w:val="16"/>
                <w:szCs w:val="16"/>
                <w:color w:val="auto"/>
              </w:rPr>
              <w:t>31,177</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Oct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1,252</w:t>
            </w:r>
          </w:p>
        </w:tc>
        <w:tc>
          <w:tcPr>
            <w:tcW w:w="1280" w:type="dxa"/>
            <w:vAlign w:val="bottom"/>
          </w:tcPr>
          <w:p>
            <w:pPr>
              <w:jc w:val="right"/>
              <w:spacing w:after="0"/>
              <w:rPr>
                <w:sz w:val="20"/>
                <w:szCs w:val="20"/>
                <w:color w:val="auto"/>
              </w:rPr>
            </w:pPr>
            <w:r>
              <w:rPr>
                <w:rFonts w:ascii="Arial" w:cs="Arial" w:eastAsia="Arial" w:hAnsi="Arial"/>
                <w:sz w:val="16"/>
                <w:szCs w:val="16"/>
                <w:color w:val="auto"/>
              </w:rPr>
              <w:t>24,965</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Douglas Mills</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280" w:type="dxa"/>
            <w:vAlign w:val="bottom"/>
          </w:tcPr>
          <w:p>
            <w:pPr>
              <w:jc w:val="right"/>
              <w:spacing w:after="0"/>
              <w:rPr>
                <w:sz w:val="20"/>
                <w:szCs w:val="20"/>
                <w:color w:val="auto"/>
              </w:rPr>
            </w:pPr>
            <w:r>
              <w:rPr>
                <w:rFonts w:ascii="Arial" w:cs="Arial" w:eastAsia="Arial" w:hAnsi="Arial"/>
                <w:sz w:val="16"/>
                <w:szCs w:val="16"/>
                <w:color w:val="auto"/>
              </w:rPr>
              <w:t>11,875</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131,250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262,500</w:t>
            </w:r>
          </w:p>
        </w:tc>
        <w:tc>
          <w:tcPr>
            <w:tcW w:w="880" w:type="dxa"/>
            <w:vAlign w:val="bottom"/>
          </w:tcPr>
          <w:p>
            <w:pPr>
              <w:jc w:val="right"/>
              <w:spacing w:after="0"/>
              <w:rPr>
                <w:sz w:val="20"/>
                <w:szCs w:val="20"/>
                <w:color w:val="auto"/>
              </w:rPr>
            </w:pPr>
            <w:r>
              <w:rPr>
                <w:rFonts w:ascii="Arial" w:cs="Arial" w:eastAsia="Arial" w:hAnsi="Arial"/>
                <w:sz w:val="16"/>
                <w:szCs w:val="16"/>
                <w:color w:val="auto"/>
              </w:rPr>
              <w:t>525,000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15,383</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30,765</w:t>
            </w:r>
          </w:p>
        </w:tc>
        <w:tc>
          <w:tcPr>
            <w:tcW w:w="820" w:type="dxa"/>
            <w:vAlign w:val="bottom"/>
          </w:tcPr>
          <w:p>
            <w:pPr>
              <w:jc w:val="right"/>
              <w:spacing w:after="0"/>
              <w:rPr>
                <w:sz w:val="20"/>
                <w:szCs w:val="20"/>
                <w:color w:val="auto"/>
              </w:rPr>
            </w:pPr>
            <w:r>
              <w:rPr>
                <w:rFonts w:ascii="Arial" w:cs="Arial" w:eastAsia="Arial" w:hAnsi="Arial"/>
                <w:sz w:val="16"/>
                <w:szCs w:val="16"/>
                <w:color w:val="auto"/>
              </w:rPr>
              <w:t>61,530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440,247</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30,765</w:t>
            </w:r>
          </w:p>
        </w:tc>
        <w:tc>
          <w:tcPr>
            <w:tcW w:w="1280" w:type="dxa"/>
            <w:vAlign w:val="bottom"/>
          </w:tcPr>
          <w:p>
            <w:pPr>
              <w:jc w:val="right"/>
              <w:spacing w:after="0"/>
              <w:rPr>
                <w:sz w:val="20"/>
                <w:szCs w:val="20"/>
                <w:color w:val="auto"/>
              </w:rPr>
            </w:pPr>
            <w:r>
              <w:rPr>
                <w:rFonts w:ascii="Arial" w:cs="Arial" w:eastAsia="Arial" w:hAnsi="Arial"/>
                <w:sz w:val="16"/>
                <w:szCs w:val="16"/>
                <w:color w:val="auto"/>
              </w:rPr>
              <w:t>500,854</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3,175</w:t>
            </w:r>
          </w:p>
        </w:tc>
        <w:tc>
          <w:tcPr>
            <w:tcW w:w="1280" w:type="dxa"/>
            <w:vAlign w:val="bottom"/>
          </w:tcPr>
          <w:p>
            <w:pPr>
              <w:jc w:val="right"/>
              <w:spacing w:after="0"/>
              <w:rPr>
                <w:sz w:val="20"/>
                <w:szCs w:val="20"/>
                <w:color w:val="auto"/>
              </w:rPr>
            </w:pPr>
            <w:r>
              <w:rPr>
                <w:rFonts w:ascii="Arial" w:cs="Arial" w:eastAsia="Arial" w:hAnsi="Arial"/>
                <w:sz w:val="16"/>
                <w:szCs w:val="16"/>
                <w:color w:val="auto"/>
              </w:rPr>
              <w:t>55,467</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280" w:type="dxa"/>
            <w:vAlign w:val="bottom"/>
          </w:tcPr>
          <w:p>
            <w:pPr>
              <w:jc w:val="right"/>
              <w:spacing w:after="0"/>
              <w:rPr>
                <w:sz w:val="20"/>
                <w:szCs w:val="20"/>
                <w:color w:val="auto"/>
              </w:rPr>
            </w:pPr>
            <w:r>
              <w:rPr>
                <w:rFonts w:ascii="Arial" w:cs="Arial" w:eastAsia="Arial" w:hAnsi="Arial"/>
                <w:sz w:val="16"/>
                <w:szCs w:val="16"/>
                <w:color w:val="auto"/>
              </w:rPr>
              <w:t>14,563</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Oct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80" w:type="dxa"/>
            <w:vAlign w:val="bottom"/>
          </w:tcPr>
          <w:p>
            <w:pPr>
              <w:jc w:val="right"/>
              <w:spacing w:after="0"/>
              <w:rPr>
                <w:sz w:val="20"/>
                <w:szCs w:val="20"/>
                <w:color w:val="auto"/>
              </w:rPr>
            </w:pPr>
            <w:r>
              <w:rPr>
                <w:rFonts w:ascii="Arial" w:cs="Arial" w:eastAsia="Arial" w:hAnsi="Arial"/>
                <w:sz w:val="16"/>
                <w:szCs w:val="16"/>
                <w:color w:val="auto"/>
              </w:rPr>
              <w:t>11,645</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Dianne Ralston</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21</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146,027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292,055</w:t>
            </w:r>
          </w:p>
        </w:tc>
        <w:tc>
          <w:tcPr>
            <w:tcW w:w="880" w:type="dxa"/>
            <w:vAlign w:val="bottom"/>
          </w:tcPr>
          <w:p>
            <w:pPr>
              <w:jc w:val="right"/>
              <w:spacing w:after="0"/>
              <w:rPr>
                <w:sz w:val="20"/>
                <w:szCs w:val="20"/>
                <w:color w:val="auto"/>
              </w:rPr>
            </w:pPr>
            <w:r>
              <w:rPr>
                <w:rFonts w:ascii="Arial" w:cs="Arial" w:eastAsia="Arial" w:hAnsi="Arial"/>
                <w:sz w:val="16"/>
                <w:szCs w:val="16"/>
                <w:color w:val="auto"/>
              </w:rPr>
              <w:t>584,110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25</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57,586</w:t>
            </w:r>
          </w:p>
        </w:tc>
        <w:tc>
          <w:tcPr>
            <w:tcW w:w="1280" w:type="dxa"/>
            <w:vAlign w:val="bottom"/>
          </w:tcPr>
          <w:p>
            <w:pPr>
              <w:jc w:val="right"/>
              <w:spacing w:after="0"/>
              <w:rPr>
                <w:sz w:val="20"/>
                <w:szCs w:val="20"/>
                <w:color w:val="auto"/>
              </w:rPr>
            </w:pPr>
            <w:r>
              <w:rPr>
                <w:rFonts w:ascii="Arial" w:cs="Arial" w:eastAsia="Arial" w:hAnsi="Arial"/>
                <w:sz w:val="16"/>
                <w:szCs w:val="16"/>
                <w:color w:val="auto"/>
              </w:rPr>
              <w:t>1,385,519</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Nicolas Gee</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1280" w:type="dxa"/>
            <w:vAlign w:val="bottom"/>
          </w:tcPr>
          <w:p>
            <w:pPr>
              <w:jc w:val="right"/>
              <w:spacing w:after="0"/>
              <w:rPr>
                <w:sz w:val="20"/>
                <w:szCs w:val="20"/>
                <w:color w:val="auto"/>
              </w:rPr>
            </w:pPr>
            <w:r>
              <w:rPr>
                <w:rFonts w:ascii="Arial" w:cs="Arial" w:eastAsia="Arial" w:hAnsi="Arial"/>
                <w:sz w:val="16"/>
                <w:szCs w:val="16"/>
                <w:color w:val="auto"/>
              </w:rPr>
              <w:t>24,112</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William B. Jacobson</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2,360</w:t>
            </w:r>
          </w:p>
        </w:tc>
        <w:tc>
          <w:tcPr>
            <w:tcW w:w="1280" w:type="dxa"/>
            <w:vAlign w:val="bottom"/>
          </w:tcPr>
          <w:p>
            <w:pPr>
              <w:jc w:val="right"/>
              <w:spacing w:after="0"/>
              <w:rPr>
                <w:sz w:val="20"/>
                <w:szCs w:val="20"/>
                <w:color w:val="auto"/>
              </w:rPr>
            </w:pPr>
            <w:r>
              <w:rPr>
                <w:rFonts w:ascii="Arial" w:cs="Arial" w:eastAsia="Arial" w:hAnsi="Arial"/>
                <w:sz w:val="16"/>
                <w:szCs w:val="16"/>
                <w:color w:val="auto"/>
              </w:rPr>
              <w:t>35,565</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7,564</w:t>
            </w:r>
          </w:p>
        </w:tc>
        <w:tc>
          <w:tcPr>
            <w:tcW w:w="1280" w:type="dxa"/>
            <w:vAlign w:val="bottom"/>
          </w:tcPr>
          <w:p>
            <w:pPr>
              <w:jc w:val="right"/>
              <w:spacing w:after="0"/>
              <w:rPr>
                <w:sz w:val="20"/>
                <w:szCs w:val="20"/>
                <w:color w:val="auto"/>
              </w:rPr>
            </w:pPr>
            <w:r>
              <w:rPr>
                <w:rFonts w:ascii="Arial" w:cs="Arial" w:eastAsia="Arial" w:hAnsi="Arial"/>
                <w:sz w:val="16"/>
                <w:szCs w:val="16"/>
                <w:color w:val="auto"/>
              </w:rPr>
              <w:t>132,143</w:t>
            </w:r>
          </w:p>
        </w:tc>
      </w:tr>
      <w:tr>
        <w:trPr>
          <w:trHeight w:val="208"/>
        </w:trPr>
        <w:tc>
          <w:tcPr>
            <w:tcW w:w="1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41,569</w:t>
            </w:r>
          </w:p>
        </w:tc>
      </w:tr>
    </w:tbl>
    <w:p>
      <w:pPr>
        <w:spacing w:after="0" w:line="72" w:lineRule="exact"/>
        <w:rPr>
          <w:sz w:val="20"/>
          <w:szCs w:val="20"/>
          <w:color w:val="auto"/>
        </w:rPr>
      </w:pPr>
    </w:p>
    <w:p>
      <w:pPr>
        <w:ind w:left="280" w:right="200" w:hanging="272"/>
        <w:spacing w:after="0" w:line="250" w:lineRule="auto"/>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2014 under the terms of the Weatherford International Non-Equity Incentive Compensation Plan. See “Our Executive Compensation Program-Annual Incentive Compensation” in the Compensation Discussion and Analysis section of this Proxy Statement for more information including specific payments for 2014. Mrs. Ralston was prorated based on the date that she joined the Company on July 21, 2014.</w:t>
      </w:r>
    </w:p>
    <w:p>
      <w:pPr>
        <w:spacing w:after="0" w:line="50" w:lineRule="exact"/>
        <w:rPr>
          <w:rFonts w:ascii="Arial" w:cs="Arial" w:eastAsia="Arial" w:hAnsi="Arial"/>
          <w:sz w:val="14"/>
          <w:szCs w:val="14"/>
          <w:color w:val="auto"/>
        </w:rPr>
      </w:pPr>
    </w:p>
    <w:p>
      <w:pPr>
        <w:ind w:left="280" w:right="80" w:hanging="272"/>
        <w:spacing w:after="0" w:line="258" w:lineRule="auto"/>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restricted share unit awards and, for performance share unit awards, a calculated fair value derived using a Monte Carlo valuation model.</w:t>
      </w:r>
    </w:p>
    <w:p>
      <w:pPr>
        <w:spacing w:after="0" w:line="45" w:lineRule="exact"/>
        <w:rPr>
          <w:rFonts w:ascii="Arial" w:cs="Arial" w:eastAsia="Arial" w:hAnsi="Arial"/>
          <w:sz w:val="14"/>
          <w:szCs w:val="14"/>
          <w:color w:val="auto"/>
        </w:rPr>
      </w:pPr>
    </w:p>
    <w:p>
      <w:pPr>
        <w:ind w:left="280" w:right="160" w:hanging="272"/>
        <w:spacing w:after="0" w:line="245" w:lineRule="auto"/>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performance units tied to share price increase over the performance period. The number of shares shown in the “Threshold” column reflects the lowest possible payout (other than zero), representing 50% of the number of performance share units granted. If performance is below the threshold, no shares are paid. The number of shares shown in the “Target” column reflects a payout of 100% of the number of performance share units granted. The number of shares shown in the “Maximum” column reflects the highest possible payout of 200% of the number of performance share units granted.</w:t>
      </w:r>
    </w:p>
    <w:p>
      <w:pPr>
        <w:spacing w:after="0" w:line="56" w:lineRule="exact"/>
        <w:rPr>
          <w:rFonts w:ascii="Arial" w:cs="Arial" w:eastAsia="Arial" w:hAnsi="Arial"/>
          <w:sz w:val="14"/>
          <w:szCs w:val="14"/>
          <w:color w:val="auto"/>
        </w:rPr>
      </w:pPr>
    </w:p>
    <w:p>
      <w:pPr>
        <w:ind w:left="280" w:hanging="272"/>
        <w:spacing w:after="0"/>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Performance units and Restricted Share Units granted on February 27, 2014 vest in equal annual installments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p>
      <w:pPr>
        <w:ind w:left="420" w:hanging="412"/>
        <w:spacing w:after="0"/>
        <w:tabs>
          <w:tab w:leader="none" w:pos="420" w:val="left"/>
        </w:tabs>
        <w:numPr>
          <w:ilvl w:val="0"/>
          <w:numId w:val="8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p>
      <w:pPr>
        <w:ind w:right="560"/>
        <w:spacing w:after="0" w:line="281" w:lineRule="auto"/>
        <w:rPr>
          <w:sz w:val="20"/>
          <w:szCs w:val="20"/>
          <w:color w:val="auto"/>
        </w:rPr>
      </w:pPr>
      <w:r>
        <w:rPr>
          <w:rFonts w:ascii="Arial" w:cs="Arial" w:eastAsia="Arial" w:hAnsi="Arial"/>
          <w:sz w:val="43"/>
          <w:szCs w:val="43"/>
          <w:b w:val="1"/>
          <w:bCs w:val="1"/>
          <w:color w:val="auto"/>
        </w:rPr>
        <w:t>OUTSTANDING EQUITY AWARDS AT DECEMBER 31, 2014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number of outstanding equity awards held by our NEOs at December 31,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1260" w:type="dxa"/>
            <w:vAlign w:val="bottom"/>
            <w:tcBorders>
              <w:bottom w:val="single" w:sz="8" w:color="818284"/>
            </w:tcBorders>
          </w:tcPr>
          <w:p>
            <w:pPr>
              <w:spacing w:after="0"/>
              <w:rPr>
                <w:sz w:val="16"/>
                <w:szCs w:val="16"/>
                <w:color w:val="auto"/>
              </w:rPr>
            </w:pPr>
          </w:p>
        </w:tc>
        <w:tc>
          <w:tcPr>
            <w:tcW w:w="1380" w:type="dxa"/>
            <w:vAlign w:val="bottom"/>
            <w:tcBorders>
              <w:bottom w:val="single" w:sz="8" w:color="818284"/>
            </w:tcBorders>
          </w:tcPr>
          <w:p>
            <w:pPr>
              <w:jc w:val="right"/>
              <w:ind w:right="199"/>
              <w:spacing w:after="0"/>
              <w:rPr>
                <w:sz w:val="20"/>
                <w:szCs w:val="20"/>
                <w:color w:val="auto"/>
              </w:rPr>
            </w:pPr>
            <w:r>
              <w:rPr>
                <w:rFonts w:ascii="Arial" w:cs="Arial" w:eastAsia="Arial" w:hAnsi="Arial"/>
                <w:sz w:val="16"/>
                <w:szCs w:val="16"/>
                <w:color w:val="auto"/>
              </w:rPr>
              <w:t>Option Awards</w:t>
            </w:r>
          </w:p>
        </w:tc>
        <w:tc>
          <w:tcPr>
            <w:tcW w:w="1220" w:type="dxa"/>
            <w:vAlign w:val="bottom"/>
            <w:tcBorders>
              <w:bottom w:val="single" w:sz="8" w:color="818284"/>
            </w:tcBorders>
          </w:tcPr>
          <w:p>
            <w:pPr>
              <w:spacing w:after="0"/>
              <w:rPr>
                <w:sz w:val="16"/>
                <w:szCs w:val="16"/>
                <w:color w:val="auto"/>
              </w:rPr>
            </w:pPr>
          </w:p>
        </w:tc>
        <w:tc>
          <w:tcPr>
            <w:tcW w:w="1360" w:type="dxa"/>
            <w:vAlign w:val="bottom"/>
            <w:tcBorders>
              <w:bottom w:val="single" w:sz="8" w:color="818284"/>
            </w:tcBorders>
          </w:tcPr>
          <w:p>
            <w:pPr>
              <w:spacing w:after="0"/>
              <w:rPr>
                <w:sz w:val="16"/>
                <w:szCs w:val="16"/>
                <w:color w:val="auto"/>
              </w:rPr>
            </w:pPr>
          </w:p>
        </w:tc>
        <w:tc>
          <w:tcPr>
            <w:tcW w:w="2600" w:type="dxa"/>
            <w:vAlign w:val="bottom"/>
            <w:tcBorders>
              <w:bottom w:val="single" w:sz="8" w:color="818284"/>
            </w:tcBorders>
            <w:gridSpan w:val="2"/>
          </w:tcPr>
          <w:p>
            <w:pPr>
              <w:jc w:val="right"/>
              <w:ind w:right="859"/>
              <w:spacing w:after="0"/>
              <w:rPr>
                <w:sz w:val="20"/>
                <w:szCs w:val="20"/>
                <w:color w:val="auto"/>
              </w:rPr>
            </w:pPr>
            <w:r>
              <w:rPr>
                <w:rFonts w:ascii="Arial" w:cs="Arial" w:eastAsia="Arial" w:hAnsi="Arial"/>
                <w:sz w:val="16"/>
                <w:szCs w:val="16"/>
                <w:color w:val="auto"/>
              </w:rPr>
              <w:t>Stock Awards</w:t>
            </w:r>
          </w:p>
        </w:tc>
        <w:tc>
          <w:tcPr>
            <w:tcW w:w="1380" w:type="dxa"/>
            <w:vAlign w:val="bottom"/>
            <w:tcBorders>
              <w:bottom w:val="single" w:sz="8" w:color="818284"/>
            </w:tcBorders>
          </w:tcPr>
          <w:p>
            <w:pPr>
              <w:spacing w:after="0"/>
              <w:rPr>
                <w:sz w:val="16"/>
                <w:szCs w:val="16"/>
                <w:color w:val="auto"/>
              </w:rPr>
            </w:pPr>
          </w:p>
        </w:tc>
      </w:tr>
      <w:tr>
        <w:trPr>
          <w:trHeight w:val="184"/>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Equity</w:t>
            </w:r>
          </w:p>
        </w:tc>
        <w:tc>
          <w:tcPr>
            <w:tcW w:w="13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Incentive</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Equity Incentive</w:t>
            </w: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Plan Awards:</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Plan Awards:</w:t>
            </w: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Market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Number of</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Market or</w:t>
            </w: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Number</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Value</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Unearned</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Payment Value</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Number of</w:t>
            </w: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of Shares</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of Shares</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Shares, Units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of Unearned</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Securities</w:t>
            </w: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or Units</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or Units of</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or Other</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Shares, Units</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Underlying</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Option</w:t>
            </w:r>
          </w:p>
        </w:tc>
        <w:tc>
          <w:tcPr>
            <w:tcW w:w="122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of Shares</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Shares That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Rights That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or Other Rights</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Unexercised</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Exercise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Option</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That Have</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Have Not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Have not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That Have Not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Options (#)</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Price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Expiration</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Not Vested</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Vested</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Vested(1)</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Vested(1)</w:t>
            </w:r>
          </w:p>
        </w:tc>
      </w:tr>
      <w:tr>
        <w:trPr>
          <w:trHeight w:val="194"/>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Exercisable</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Date</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1"/>
        </w:trPr>
        <w:tc>
          <w:tcPr>
            <w:tcW w:w="2220" w:type="dxa"/>
            <w:vAlign w:val="bottom"/>
          </w:tcPr>
          <w:p>
            <w:pPr>
              <w:spacing w:after="0"/>
              <w:rPr>
                <w:sz w:val="20"/>
                <w:szCs w:val="20"/>
                <w:color w:val="auto"/>
              </w:rPr>
            </w:pPr>
            <w:r>
              <w:rPr>
                <w:rFonts w:ascii="Arial" w:cs="Arial" w:eastAsia="Arial" w:hAnsi="Arial"/>
                <w:sz w:val="16"/>
                <w:szCs w:val="16"/>
                <w:color w:val="auto"/>
              </w:rPr>
              <w:t>Bernard J. Duroc-Danner</w:t>
            </w:r>
          </w:p>
        </w:tc>
        <w:tc>
          <w:tcPr>
            <w:tcW w:w="1260" w:type="dxa"/>
            <w:vAlign w:val="bottom"/>
          </w:tcPr>
          <w:p>
            <w:pPr>
              <w:jc w:val="right"/>
              <w:spacing w:after="0"/>
              <w:rPr>
                <w:sz w:val="20"/>
                <w:szCs w:val="20"/>
                <w:color w:val="auto"/>
              </w:rPr>
            </w:pPr>
            <w:r>
              <w:rPr>
                <w:rFonts w:ascii="Arial" w:cs="Arial" w:eastAsia="Arial" w:hAnsi="Arial"/>
                <w:sz w:val="16"/>
                <w:szCs w:val="16"/>
                <w:color w:val="auto"/>
              </w:rPr>
              <w:t>785,352(2)</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5.94</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09/25/2015</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370,000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8.79</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12/17/2016</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336,650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20.05</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02/28/2016</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245,701(3)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2,813,276</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343,938(4)</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3,938,090</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122,851(5)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1,406,644</w:t>
            </w: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Krishna Shivram</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92,138(3)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1,054,980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46,069(5)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527,490</w:t>
            </w: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Dharmesh Mehta</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3,000(6)</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34,350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30,868(7)</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353,439</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83,118(8)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951,701</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92,138(3)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1,054,980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23,151(9)</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265,079</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23,151(9)</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265,079</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62,339(4)</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713,782</w:t>
            </w: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Douglas Mills</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46,069(5)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527,490</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8,000(10)</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91,600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23,333(11)</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267,163</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16,666(12)</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190,826</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30,765(3)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352,259</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15,383(5)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176,135</w:t>
            </w:r>
          </w:p>
        </w:tc>
      </w:tr>
      <w:tr>
        <w:trPr>
          <w:trHeight w:val="208"/>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Dianne Ralston</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57,586(13)</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659,360</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number of shares or units reported and the payout value reported are based on achieving the threshold performance level, which for performance units is 50%.</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Option has been transferred to a family limited partnership for estate planning purposes.</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vested/vest in equal increments on each of February 27, 2015, 2016 and 2017.</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Performance units vest on January 1, 2016.</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Performance units vested/vest in equal increments on each of February 27, 2015, 2016, 2017.</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 on February 2, 2015.</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 on March 23, 2015.</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vested/vest in equal increments on each of March 7, 2015 and 2016.</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Performance units vested on January 1, 2015.</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 on May 22, 2015.</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 in equal increments on each of May 7, 2015 and 2016.</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 in equal increments on each of June 19, 2015 and 2016.</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were not received upon Mrs. Ralston leaving the Company in January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8" w:name="page79"/>
    <w:bookmarkEnd w:id="7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p>
      <w:pPr>
        <w:ind w:right="360"/>
        <w:spacing w:after="0" w:line="281" w:lineRule="auto"/>
        <w:rPr>
          <w:sz w:val="20"/>
          <w:szCs w:val="20"/>
          <w:color w:val="auto"/>
        </w:rPr>
      </w:pPr>
      <w:r>
        <w:rPr>
          <w:rFonts w:ascii="Arial" w:cs="Arial" w:eastAsia="Arial" w:hAnsi="Arial"/>
          <w:sz w:val="43"/>
          <w:szCs w:val="43"/>
          <w:b w:val="1"/>
          <w:bCs w:val="1"/>
          <w:color w:val="auto"/>
        </w:rPr>
        <w:t>OPTION EXERCISES AND SHARES/UNITS VESTED IN 2014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shares, RSUs and PUs that vested, and the value realized on exercise and vesting by our NEOs during 2014.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 options were exercised by our NEOs in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5340" w:type="dxa"/>
            <w:vAlign w:val="bottom"/>
            <w:tcBorders>
              <w:bottom w:val="single" w:sz="8" w:color="auto"/>
            </w:tcBorders>
            <w:gridSpan w:val="2"/>
          </w:tcPr>
          <w:p>
            <w:pPr>
              <w:jc w:val="right"/>
              <w:ind w:right="1759"/>
              <w:spacing w:after="0"/>
              <w:rPr>
                <w:sz w:val="20"/>
                <w:szCs w:val="20"/>
                <w:color w:val="auto"/>
              </w:rPr>
            </w:pPr>
            <w:r>
              <w:rPr>
                <w:rFonts w:ascii="Arial" w:cs="Arial" w:eastAsia="Arial" w:hAnsi="Arial"/>
                <w:sz w:val="16"/>
                <w:szCs w:val="16"/>
                <w:color w:val="auto"/>
              </w:rPr>
              <w:t>Share and Unit Awards</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16"/>
                <w:szCs w:val="16"/>
                <w:color w:val="auto"/>
              </w:rPr>
            </w:pPr>
          </w:p>
        </w:tc>
        <w:tc>
          <w:tcPr>
            <w:tcW w:w="2860" w:type="dxa"/>
            <w:vAlign w:val="bottom"/>
          </w:tcPr>
          <w:p>
            <w:pPr>
              <w:jc w:val="right"/>
              <w:ind w:right="379"/>
              <w:spacing w:after="0"/>
              <w:rPr>
                <w:sz w:val="20"/>
                <w:szCs w:val="20"/>
                <w:color w:val="auto"/>
              </w:rPr>
            </w:pPr>
            <w:r>
              <w:rPr>
                <w:rFonts w:ascii="Arial" w:cs="Arial" w:eastAsia="Arial" w:hAnsi="Arial"/>
                <w:sz w:val="16"/>
                <w:szCs w:val="16"/>
                <w:color w:val="auto"/>
              </w:rPr>
              <w:t>Number of Shares/Units</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2860" w:type="dxa"/>
            <w:vAlign w:val="bottom"/>
          </w:tcPr>
          <w:p>
            <w:pPr>
              <w:jc w:val="right"/>
              <w:ind w:right="379"/>
              <w:spacing w:after="0"/>
              <w:rPr>
                <w:sz w:val="20"/>
                <w:szCs w:val="20"/>
                <w:color w:val="auto"/>
              </w:rPr>
            </w:pPr>
            <w:r>
              <w:rPr>
                <w:rFonts w:ascii="Arial" w:cs="Arial" w:eastAsia="Arial" w:hAnsi="Arial"/>
                <w:sz w:val="16"/>
                <w:szCs w:val="16"/>
                <w:color w:val="auto"/>
              </w:rPr>
              <w:t>Acquired on Vesting</w:t>
            </w: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Value Realized On Vesting</w:t>
            </w:r>
          </w:p>
        </w:tc>
        <w:tc>
          <w:tcPr>
            <w:tcW w:w="0" w:type="dxa"/>
            <w:vAlign w:val="bottom"/>
          </w:tcPr>
          <w:p>
            <w:pPr>
              <w:spacing w:after="0"/>
              <w:rPr>
                <w:sz w:val="1"/>
                <w:szCs w:val="1"/>
                <w:color w:val="auto"/>
              </w:rPr>
            </w:pPr>
          </w:p>
        </w:tc>
      </w:tr>
      <w:tr>
        <w:trPr>
          <w:trHeight w:val="202"/>
        </w:trPr>
        <w:tc>
          <w:tcPr>
            <w:tcW w:w="608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39,855</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747,864</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Krishna Shivram</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Dharmesh Mehta</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97,943</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1,663,070</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Douglas Mills</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38,187</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786,738</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Dianne Ralston</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Nicolas Gee(b)</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453,866</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7,540,474</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B. Jacobson(b)</w:t>
            </w:r>
          </w:p>
        </w:tc>
        <w:tc>
          <w:tcPr>
            <w:tcW w:w="2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415,514</w:t>
            </w: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8,800,259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Calculated using the closing price on date of vesting.</w:t>
      </w:r>
    </w:p>
    <w:p>
      <w:pPr>
        <w:spacing w:after="0" w:line="68" w:lineRule="exact"/>
        <w:rPr>
          <w:rFonts w:ascii="Arial" w:cs="Arial" w:eastAsia="Arial" w:hAnsi="Arial"/>
          <w:sz w:val="14"/>
          <w:szCs w:val="14"/>
          <w:color w:val="auto"/>
        </w:rPr>
      </w:pPr>
    </w:p>
    <w:p>
      <w:pPr>
        <w:ind w:left="280" w:hanging="272"/>
        <w:spacing w:after="0"/>
        <w:tabs>
          <w:tab w:leader="none" w:pos="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Messrs. Gee and Jacobson left the Company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PENSION BENEFITS</w:t>
      </w:r>
    </w:p>
    <w:p>
      <w:pPr>
        <w:spacing w:after="0" w:line="37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following table and the information below it contain information regarding the SERP at December 31, 2014. Of our NEOs, only Dr. Duroc-Danner participates in the SERP. As described in the Compensation Discussion and Analysis section in this Proxy Statement, the SERP has been discontinued, and further benefit accruals under the SERP were frozen effective March 31, 2010. In May 2010, Dr. Duroc-Danner elected to convert his accrued pension benefit into approximately 4.4 million notional share units. Therefore, the actual benefit payable to Dr. Duroc-Danner on departure is that number of shares, not the amount reflected below. The actuarial value of the retirement benefit as of December 31, 2014 (using the same assumptions used for financial reporting purposes, with the exception of retirement age)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5120" w:type="dxa"/>
            <w:vAlign w:val="bottom"/>
          </w:tcPr>
          <w:p>
            <w:pPr>
              <w:jc w:val="right"/>
              <w:ind w:right="499"/>
              <w:spacing w:after="0"/>
              <w:rPr>
                <w:sz w:val="20"/>
                <w:szCs w:val="20"/>
                <w:color w:val="auto"/>
              </w:rPr>
            </w:pPr>
            <w:r>
              <w:rPr>
                <w:rFonts w:ascii="Arial" w:cs="Arial" w:eastAsia="Arial" w:hAnsi="Arial"/>
                <w:sz w:val="16"/>
                <w:szCs w:val="16"/>
                <w:color w:val="auto"/>
              </w:rPr>
              <w:t>Actuarial Present Value of</w:t>
            </w:r>
          </w:p>
        </w:tc>
        <w:tc>
          <w:tcPr>
            <w:tcW w:w="1800" w:type="dxa"/>
            <w:vAlign w:val="bottom"/>
          </w:tcPr>
          <w:p>
            <w:pPr>
              <w:jc w:val="right"/>
              <w:spacing w:after="0"/>
              <w:rPr>
                <w:sz w:val="20"/>
                <w:szCs w:val="20"/>
                <w:color w:val="auto"/>
              </w:rPr>
            </w:pPr>
            <w:r>
              <w:rPr>
                <w:rFonts w:ascii="Arial" w:cs="Arial" w:eastAsia="Arial" w:hAnsi="Arial"/>
                <w:sz w:val="16"/>
                <w:szCs w:val="16"/>
                <w:color w:val="auto"/>
              </w:rPr>
              <w:t>Payments During</w:t>
            </w:r>
          </w:p>
        </w:tc>
      </w:tr>
      <w:tr>
        <w:trPr>
          <w:trHeight w:val="195"/>
        </w:trPr>
        <w:tc>
          <w:tcPr>
            <w:tcW w:w="4500" w:type="dxa"/>
            <w:vAlign w:val="bottom"/>
          </w:tcPr>
          <w:p>
            <w:pPr>
              <w:spacing w:after="0"/>
              <w:rPr>
                <w:sz w:val="16"/>
                <w:szCs w:val="16"/>
                <w:color w:val="auto"/>
              </w:rPr>
            </w:pPr>
          </w:p>
        </w:tc>
        <w:tc>
          <w:tcPr>
            <w:tcW w:w="5120" w:type="dxa"/>
            <w:vAlign w:val="bottom"/>
          </w:tcPr>
          <w:p>
            <w:pPr>
              <w:jc w:val="right"/>
              <w:ind w:right="499"/>
              <w:spacing w:after="0"/>
              <w:rPr>
                <w:sz w:val="20"/>
                <w:szCs w:val="20"/>
                <w:color w:val="auto"/>
              </w:rPr>
            </w:pPr>
            <w:r>
              <w:rPr>
                <w:rFonts w:ascii="Arial" w:cs="Arial" w:eastAsia="Arial" w:hAnsi="Arial"/>
                <w:sz w:val="16"/>
                <w:szCs w:val="16"/>
                <w:color w:val="auto"/>
              </w:rPr>
              <w:t>Accumulated Benefit</w:t>
            </w:r>
          </w:p>
        </w:tc>
        <w:tc>
          <w:tcPr>
            <w:tcW w:w="1800" w:type="dxa"/>
            <w:vAlign w:val="bottom"/>
          </w:tcPr>
          <w:p>
            <w:pPr>
              <w:jc w:val="right"/>
              <w:spacing w:after="0"/>
              <w:rPr>
                <w:sz w:val="20"/>
                <w:szCs w:val="20"/>
                <w:color w:val="auto"/>
              </w:rPr>
            </w:pPr>
            <w:r>
              <w:rPr>
                <w:rFonts w:ascii="Arial" w:cs="Arial" w:eastAsia="Arial" w:hAnsi="Arial"/>
                <w:sz w:val="16"/>
                <w:szCs w:val="16"/>
                <w:color w:val="auto"/>
              </w:rPr>
              <w:t>Last Fiscal Year</w:t>
            </w:r>
          </w:p>
        </w:tc>
      </w:tr>
      <w:tr>
        <w:trPr>
          <w:trHeight w:val="202"/>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5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Bernard J. Duroc-Danner</w:t>
            </w:r>
          </w:p>
        </w:tc>
        <w:tc>
          <w:tcPr>
            <w:tcW w:w="5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70,970,599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280" w:right="120" w:hanging="272"/>
        <w:spacing w:after="0" w:line="250" w:lineRule="auto"/>
        <w:tabs>
          <w:tab w:leader="none" w:pos="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Value was determined using the projected unit credit actuarial cost method. The present value number, however, does not reflect the actual value of the eventual payment of these benefits as the payment will be in shares. As Dr. Duroc-Danner has reached retirement age according to plan calculations, there is no further discount to be applied. As a result, the amount above reflects the full benefit value in accordance with pension accounting.</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 more information on our retirement plans and the values thereof, see “Retirement Plans” on page 40 of this Proxy Statement and “Previously Earned and Fully Vested Deferred Compensation” on page 51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NONQUALIFIED DEFERRED COMPENSATION</w:t>
      </w:r>
    </w:p>
    <w:p>
      <w:pPr>
        <w:spacing w:after="0" w:line="37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suspended the EDC in 2008 because of uncertainties concerning the application of Code Section 457, and no further benefits have accrued to participants since that time. Following the suspension, in May of 2012 we terminated the EDC. As a result of the termination, participants who had accrued benefits under the EDC prior to December 31, 2004, including Dr. Duroc-Danner, received a partial distribution of shares in May 2012 in respect of their accrued benefits. All remaining amounts in the EDC will be payable in cash to participants upon the occurrence of triggering events under the plan and, in any event, no later than January 1, 2017. All participants in the EDC are fully vested in their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9" w:name="page80"/>
    <w:bookmarkEnd w:id="79"/>
    <w:p>
      <w:pPr>
        <w:ind w:left="682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the information below it contain information regarding the NEOs who were participants under our deferred compensation plans in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Executive</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Registrant</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Aggregate</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Aggregate</w:t>
            </w:r>
          </w:p>
        </w:tc>
        <w:tc>
          <w:tcPr>
            <w:tcW w:w="1540" w:type="dxa"/>
            <w:vAlign w:val="bottom"/>
          </w:tcPr>
          <w:p>
            <w:pPr>
              <w:spacing w:after="0"/>
              <w:rPr>
                <w:sz w:val="16"/>
                <w:szCs w:val="16"/>
                <w:color w:val="auto"/>
              </w:rPr>
            </w:pPr>
          </w:p>
        </w:tc>
      </w:tr>
      <w:tr>
        <w:trPr>
          <w:trHeight w:val="189"/>
        </w:trPr>
        <w:tc>
          <w:tcPr>
            <w:tcW w:w="2720" w:type="dxa"/>
            <w:vAlign w:val="bottom"/>
          </w:tcPr>
          <w:p>
            <w:pPr>
              <w:spacing w:after="0"/>
              <w:rPr>
                <w:sz w:val="16"/>
                <w:szCs w:val="16"/>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Contributions</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Contributions</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Earnings</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Withdrawals/</w:t>
            </w:r>
          </w:p>
        </w:tc>
        <w:tc>
          <w:tcPr>
            <w:tcW w:w="1540" w:type="dxa"/>
            <w:vAlign w:val="bottom"/>
          </w:tcPr>
          <w:p>
            <w:pPr>
              <w:jc w:val="right"/>
              <w:spacing w:after="0"/>
              <w:rPr>
                <w:sz w:val="20"/>
                <w:szCs w:val="20"/>
                <w:color w:val="auto"/>
              </w:rPr>
            </w:pPr>
            <w:r>
              <w:rPr>
                <w:rFonts w:ascii="Arial" w:cs="Arial" w:eastAsia="Arial" w:hAnsi="Arial"/>
                <w:sz w:val="16"/>
                <w:szCs w:val="16"/>
                <w:color w:val="auto"/>
              </w:rPr>
              <w:t>Aggregate Balance</w:t>
            </w:r>
          </w:p>
        </w:tc>
      </w:tr>
      <w:tr>
        <w:trPr>
          <w:trHeight w:val="189"/>
        </w:trPr>
        <w:tc>
          <w:tcPr>
            <w:tcW w:w="2720" w:type="dxa"/>
            <w:vAlign w:val="bottom"/>
          </w:tcPr>
          <w:p>
            <w:pPr>
              <w:spacing w:after="0"/>
              <w:rPr>
                <w:sz w:val="16"/>
                <w:szCs w:val="16"/>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in 2014</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in 2014</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in 2014</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Distributions</w:t>
            </w:r>
          </w:p>
        </w:tc>
        <w:tc>
          <w:tcPr>
            <w:tcW w:w="1540" w:type="dxa"/>
            <w:vAlign w:val="bottom"/>
          </w:tcPr>
          <w:p>
            <w:pPr>
              <w:jc w:val="right"/>
              <w:spacing w:after="0"/>
              <w:rPr>
                <w:sz w:val="20"/>
                <w:szCs w:val="20"/>
                <w:color w:val="auto"/>
              </w:rPr>
            </w:pPr>
            <w:r>
              <w:rPr>
                <w:rFonts w:ascii="Arial" w:cs="Arial" w:eastAsia="Arial" w:hAnsi="Arial"/>
                <w:sz w:val="16"/>
                <w:szCs w:val="16"/>
                <w:color w:val="auto"/>
              </w:rPr>
              <w:t>at 12/31/14</w:t>
            </w:r>
          </w:p>
        </w:tc>
      </w:tr>
      <w:tr>
        <w:trPr>
          <w:trHeight w:val="194"/>
        </w:trPr>
        <w:tc>
          <w:tcPr>
            <w:tcW w:w="2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w:t>
            </w: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27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2240" w:type="dxa"/>
            <w:vAlign w:val="bottom"/>
            <w:tcBorders>
              <w:bottom w:val="single" w:sz="8" w:color="818284"/>
            </w:tcBorders>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818284"/>
            </w:tcBorders>
          </w:tcPr>
          <w:p>
            <w:pPr>
              <w:jc w:val="right"/>
              <w:ind w:right="3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818284"/>
            </w:tcBorders>
          </w:tcPr>
          <w:p>
            <w:pPr>
              <w:jc w:val="right"/>
              <w:ind w:right="299"/>
              <w:spacing w:after="0"/>
              <w:rPr>
                <w:sz w:val="20"/>
                <w:szCs w:val="20"/>
                <w:color w:val="auto"/>
              </w:rPr>
            </w:pPr>
            <w:r>
              <w:rPr>
                <w:rFonts w:ascii="Arial" w:cs="Arial" w:eastAsia="Arial" w:hAnsi="Arial"/>
                <w:sz w:val="16"/>
                <w:szCs w:val="16"/>
                <w:color w:val="auto"/>
              </w:rPr>
              <w:t>(611,167)</w:t>
            </w:r>
          </w:p>
        </w:tc>
        <w:tc>
          <w:tcPr>
            <w:tcW w:w="1480" w:type="dxa"/>
            <w:vAlign w:val="bottom"/>
            <w:tcBorders>
              <w:bottom w:val="single" w:sz="8" w:color="818284"/>
            </w:tcBorders>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1,732,145</w:t>
            </w:r>
          </w:p>
        </w:tc>
      </w:tr>
      <w:tr>
        <w:trPr>
          <w:trHeight w:val="183"/>
        </w:trPr>
        <w:tc>
          <w:tcPr>
            <w:tcW w:w="27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Dharmesh Mehta</w:t>
            </w:r>
          </w:p>
        </w:tc>
        <w:tc>
          <w:tcPr>
            <w:tcW w:w="224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(13,614)</w:t>
            </w:r>
          </w:p>
        </w:tc>
        <w:tc>
          <w:tcPr>
            <w:tcW w:w="1480" w:type="dxa"/>
            <w:vAlign w:val="bottom"/>
            <w:tcBorders>
              <w:bottom w:val="single" w:sz="8" w:color="818284"/>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38,587</w:t>
            </w:r>
          </w:p>
        </w:tc>
      </w:tr>
      <w:tr>
        <w:trPr>
          <w:trHeight w:val="190"/>
        </w:trPr>
        <w:tc>
          <w:tcPr>
            <w:tcW w:w="2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Douglas Mills</w:t>
            </w:r>
          </w:p>
        </w:tc>
        <w:tc>
          <w:tcPr>
            <w:tcW w:w="22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(30,482)</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86,390</w:t>
            </w:r>
          </w:p>
        </w:tc>
      </w:tr>
    </w:tbl>
    <w:p>
      <w:pPr>
        <w:spacing w:after="0" w:line="72" w:lineRule="exact"/>
        <w:rPr>
          <w:sz w:val="20"/>
          <w:szCs w:val="20"/>
          <w:color w:val="auto"/>
        </w:rPr>
      </w:pPr>
    </w:p>
    <w:p>
      <w:pPr>
        <w:ind w:left="280" w:right="340" w:hanging="272"/>
        <w:spacing w:after="0" w:line="258" w:lineRule="auto"/>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EDC was suspended in 2008, there were no executive or Company contributions made during 2014, and, as a result, no corresponding amounts reported in the 2014 Summary Compensation Table.</w:t>
      </w:r>
    </w:p>
    <w:p>
      <w:pPr>
        <w:spacing w:after="0" w:line="45" w:lineRule="exact"/>
        <w:rPr>
          <w:rFonts w:ascii="Arial" w:cs="Arial" w:eastAsia="Arial" w:hAnsi="Arial"/>
          <w:sz w:val="14"/>
          <w:szCs w:val="14"/>
          <w:color w:val="auto"/>
        </w:rPr>
      </w:pPr>
    </w:p>
    <w:p>
      <w:pPr>
        <w:ind w:left="280" w:hanging="272"/>
        <w:spacing w:after="0"/>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Amounts represent stock price appreciation (depreciation) based on normal share price fluctuation as experienced by all Company shareholders.</w:t>
      </w:r>
    </w:p>
    <w:p>
      <w:pPr>
        <w:spacing w:after="0" w:line="68" w:lineRule="exact"/>
        <w:rPr>
          <w:rFonts w:ascii="Arial" w:cs="Arial" w:eastAsia="Arial" w:hAnsi="Arial"/>
          <w:sz w:val="14"/>
          <w:szCs w:val="14"/>
          <w:color w:val="auto"/>
        </w:rPr>
      </w:pPr>
    </w:p>
    <w:p>
      <w:pPr>
        <w:ind w:left="280" w:right="20" w:hanging="272"/>
        <w:spacing w:after="0" w:line="247" w:lineRule="auto"/>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total current value at December 31, 2014 of the deferred salary of $1,732,145 for Dr. Duroc-Danner was comprised of executive contributions of $577,378 and Company contributions of $1,154,767 that were included as compensation in the Summary Compensation Table in previous years (before 2009). The total current value at December 31, 2014 of the deferred salary of $38,587 for Mr. Mehta and $86,390 for Mr. Mills was comprised of executive and Company contributions made prior to Messrs. Mehta and Mills becoming NEOs and are therefore not disclosed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9" w:lineRule="exact"/>
        <w:rPr>
          <w:sz w:val="20"/>
          <w:szCs w:val="20"/>
          <w:color w:val="auto"/>
        </w:rPr>
      </w:pPr>
    </w:p>
    <w:p>
      <w:pPr>
        <w:ind w:right="128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20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following summarizes the potential payments upon termination or change of control to our NEOs as of December 31, 2014. The potential payments described in this section assume the triggering event occurred on December 31, 2014. No information is provided in this section with regard to potential payments to former employees listed as NEOs in this Proxy Statement if such NEOs received payments pursuant to their Employment Agreements and such actual payments are described in this Proxy Statement separately under “Compensation Discussion and Analysis—Termination of Employment.”</w:t>
      </w:r>
    </w:p>
    <w:p>
      <w:pPr>
        <w:spacing w:after="0" w:line="176"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As highlighted throughout this Proxy Statement, in response to shareholder input, the Board of Directors, on the recommendation of the Compensation Committee, has determined that the Company will not enter into employment agreements with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EXECUTIVE EMPLOYMENT AGREEMENTS</w:t>
      </w:r>
    </w:p>
    <w:p>
      <w:pPr>
        <w:spacing w:after="0" w:line="371"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Under the terms of our Executive Employment Agreements with each of our current NEOs, if their employment is terminated, whether as a result of death, “disability,” “good reason,” “cause” or otherwise (each term as defined in the Executive Employment Agreements), the NEO (or his estate) will generally be entitled to receive the following compensation:</w:t>
      </w:r>
    </w:p>
    <w:p>
      <w:pPr>
        <w:spacing w:after="0" w:line="174"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any unpaid salary and accrued vacation earned through the date of termination of employment (the “Earned Unpaid Salary”);</w:t>
      </w:r>
    </w:p>
    <w:p>
      <w:pPr>
        <w:spacing w:after="0" w:line="194" w:lineRule="exact"/>
        <w:rPr>
          <w:rFonts w:ascii="Arial" w:cs="Arial" w:eastAsia="Arial" w:hAnsi="Arial"/>
          <w:sz w:val="16"/>
          <w:szCs w:val="16"/>
          <w:color w:val="CE0D41"/>
        </w:rPr>
      </w:pPr>
    </w:p>
    <w:p>
      <w:pPr>
        <w:ind w:left="280" w:right="2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all benefits to which the executive is entitled or vested (or becomes entitled or vested as a result of termination) under the terms of all employee benefit and compensation plans, agreements, arrangements, programs, policies, practices, contracts or agreements in which the executive was a participant at the time of termination (the “Benefits Payment”);</w:t>
      </w:r>
    </w:p>
    <w:p>
      <w:pPr>
        <w:spacing w:after="0" w:line="174" w:lineRule="exact"/>
        <w:rPr>
          <w:rFonts w:ascii="Arial" w:cs="Arial" w:eastAsia="Arial" w:hAnsi="Arial"/>
          <w:sz w:val="16"/>
          <w:szCs w:val="16"/>
          <w:color w:val="CE0D41"/>
        </w:rPr>
      </w:pPr>
    </w:p>
    <w:p>
      <w:pPr>
        <w:ind w:left="280" w:hanging="272"/>
        <w:spacing w:after="0"/>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 amount equal to the annual bonus amount that would be payable in the year of termination (pro-rated to the date of termination);</w:t>
      </w:r>
    </w:p>
    <w:p>
      <w:pPr>
        <w:spacing w:after="0" w:line="194" w:lineRule="exact"/>
        <w:rPr>
          <w:rFonts w:ascii="Arial" w:cs="Arial" w:eastAsia="Arial" w:hAnsi="Arial"/>
          <w:sz w:val="16"/>
          <w:szCs w:val="16"/>
          <w:color w:val="CE0D41"/>
        </w:rPr>
      </w:pPr>
    </w:p>
    <w:p>
      <w:pPr>
        <w:ind w:left="280" w:right="220" w:hanging="272"/>
        <w:spacing w:after="0" w:line="251"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 amount equal to the sum of the base salary at the time of termination added to the target bonus amount (that would be payable in the year of termination), multiplied by three (two for Mr. Mills) in the event of a termination by us other than for cause or by the executive for good reason (other than non-renewal, as defined below) and multiplied by one in the case of a termination due to death, disability or for a termination for good reason due to the Company’s non-renewal of the agreement (the “Salary and Bonus Payment”);</w:t>
      </w:r>
    </w:p>
    <w:p>
      <w:pPr>
        <w:spacing w:after="0" w:line="175" w:lineRule="exact"/>
        <w:rPr>
          <w:rFonts w:ascii="Arial" w:cs="Arial" w:eastAsia="Arial" w:hAnsi="Arial"/>
          <w:sz w:val="16"/>
          <w:szCs w:val="16"/>
          <w:color w:val="CE0D41"/>
        </w:rPr>
      </w:pPr>
    </w:p>
    <w:p>
      <w:pPr>
        <w:ind w:left="280" w:right="2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any benefits payable under our retirement plans as of the date of termination (the “Retirement Plan Payment”). For more information regarding our retirement plans, see the “Pension Benefits” section in this Proxy Statement and “Retirement Plans” in the “Compensation Discussion and Analysis” section in this Proxy Statement;</w:t>
      </w:r>
    </w:p>
    <w:p>
      <w:pPr>
        <w:spacing w:after="0" w:line="174" w:lineRule="exact"/>
        <w:rPr>
          <w:rFonts w:ascii="Arial" w:cs="Arial" w:eastAsia="Arial" w:hAnsi="Arial"/>
          <w:sz w:val="16"/>
          <w:szCs w:val="16"/>
          <w:color w:val="CE0D41"/>
        </w:rPr>
      </w:pPr>
    </w:p>
    <w:p>
      <w:pPr>
        <w:jc w:val="both"/>
        <w:ind w:left="280" w:right="10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all dental and health benefits under any plans that are provided to the NEO and his or her family prior to termination would be maintained after termination for a period of one to three years or such longer period as the plans may require, provided the NEO makes his required contribution and that such benefits are secondary to any benefits offered by another employer (the “Healthcare Benefit”); and</w:t>
      </w:r>
    </w:p>
    <w:p>
      <w:pPr>
        <w:spacing w:after="0" w:line="174" w:lineRule="exact"/>
        <w:rPr>
          <w:rFonts w:ascii="Arial" w:cs="Arial" w:eastAsia="Arial" w:hAnsi="Arial"/>
          <w:sz w:val="16"/>
          <w:szCs w:val="16"/>
          <w:color w:val="CE0D41"/>
        </w:rPr>
      </w:pPr>
    </w:p>
    <w:p>
      <w:pPr>
        <w:ind w:left="280" w:right="2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upon request, up to a maximum of $35,000 for outplacement services for the NEO, the provider of which would be selected and paid directly by us (the “Outplacement Benefit”) for a period not extending beyond the last day of the second taxable year following the taxable year in which the NEO’s termination occurs.</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Under the Executive Employment Agreements,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(along with the Retirement Plan Payment) bearing interest at the prime rate per annum as of the date of termination.</w:t>
      </w:r>
    </w:p>
    <w:p>
      <w:pPr>
        <w:spacing w:after="0" w:line="176"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Executive Employment Agreements provide that if the employee is a participant in our now frozen retirement plan (which applies only to Dr. Duroc-Danner), he will be entitled to a “gross up payment” that is limited solely to the payments of penalties, excise or other taxes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356" w:gutter="0" w:footer="0" w:header="0"/>
        </w:sectPr>
      </w:pPr>
    </w:p>
    <w:bookmarkStart w:id="80" w:name="page81"/>
    <w:bookmarkEnd w:id="80"/>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by him pursuant to Section 457A of the Code with respect to accrued benefits under our retirement plans. The Company does not believe that Section 457A would impose any such penalties, excise or other taxes. The Executive Employment Agreements expressly exclude gross-ups previously provided under those retirement plans. The Executive Employment Agreements do not provide for any other type of “gross up payments.”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Under the Executive Employment Agreements:</w:t>
      </w:r>
    </w:p>
    <w:p>
      <w:pPr>
        <w:spacing w:after="0" w:line="194" w:lineRule="exact"/>
        <w:rPr>
          <w:sz w:val="20"/>
          <w:szCs w:val="20"/>
          <w:color w:val="auto"/>
        </w:rPr>
      </w:pPr>
    </w:p>
    <w:p>
      <w:pPr>
        <w:ind w:left="280" w:right="100" w:hanging="272"/>
        <w:spacing w:after="0" w:line="251" w:lineRule="auto"/>
        <w:tabs>
          <w:tab w:leader="none" w:pos="280" w:val="left"/>
        </w:tabs>
        <w:numPr>
          <w:ilvl w:val="0"/>
          <w:numId w:val="93"/>
        </w:numPr>
        <w:rPr>
          <w:rFonts w:ascii="Arial" w:cs="Arial" w:eastAsia="Arial" w:hAnsi="Arial"/>
          <w:sz w:val="16"/>
          <w:szCs w:val="16"/>
          <w:color w:val="CE0D41"/>
        </w:rPr>
      </w:pPr>
      <w:r>
        <w:rPr>
          <w:rFonts w:ascii="Arial" w:cs="Arial" w:eastAsia="Arial" w:hAnsi="Arial"/>
          <w:sz w:val="16"/>
          <w:szCs w:val="16"/>
          <w:color w:val="auto"/>
        </w:rPr>
        <w:t>“cause” is defined as the willful and continued failure to substantially perform the executive’s duties with the Company (other than failure resulting from incapacity due to mental or physical illness or anticipated failure after the executive has provided a notice of termination for good reason) after written demand is made by the Board of Directors, or the willful engagement in illegal conduct or gross misconduct that is materially and demonstrably injurious to the Company.</w:t>
      </w:r>
    </w:p>
    <w:p>
      <w:pPr>
        <w:spacing w:after="0" w:line="148" w:lineRule="exact"/>
        <w:rPr>
          <w:rFonts w:ascii="Arial" w:cs="Arial" w:eastAsia="Arial" w:hAnsi="Arial"/>
          <w:sz w:val="16"/>
          <w:szCs w:val="16"/>
          <w:color w:val="CE0D41"/>
        </w:rPr>
      </w:pPr>
    </w:p>
    <w:p>
      <w:pPr>
        <w:ind w:left="280" w:right="80" w:hanging="272"/>
        <w:spacing w:after="0" w:line="251" w:lineRule="auto"/>
        <w:tabs>
          <w:tab w:leader="none" w:pos="280" w:val="left"/>
        </w:tabs>
        <w:numPr>
          <w:ilvl w:val="0"/>
          <w:numId w:val="93"/>
        </w:numPr>
        <w:rPr>
          <w:rFonts w:ascii="Arial" w:cs="Arial" w:eastAsia="Arial" w:hAnsi="Arial"/>
          <w:sz w:val="16"/>
          <w:szCs w:val="16"/>
          <w:color w:val="CE0D41"/>
        </w:rPr>
      </w:pPr>
      <w:r>
        <w:rPr>
          <w:rFonts w:ascii="Arial" w:cs="Arial" w:eastAsia="Arial" w:hAnsi="Arial"/>
          <w:sz w:val="16"/>
          <w:szCs w:val="16"/>
          <w:color w:val="auto"/>
        </w:rPr>
        <w:t>“disability” is defined as the absence of the executive from his duties on a substantial basis for 120 calendar days as a result of incapacity due to mental or physical illness. If we determine that the executive is disabled, the NEO has 30 days from the date of our notice to the executive of intent to terminate employment by reason of disability to return to full-time performance of his duties. The executive may terminate his employment for disability if a physician selected by the executive determines that a disability has occurred.</w:t>
      </w:r>
    </w:p>
    <w:p>
      <w:pPr>
        <w:spacing w:after="0" w:line="148" w:lineRule="exact"/>
        <w:rPr>
          <w:rFonts w:ascii="Arial" w:cs="Arial" w:eastAsia="Arial" w:hAnsi="Arial"/>
          <w:sz w:val="16"/>
          <w:szCs w:val="16"/>
          <w:color w:val="CE0D41"/>
        </w:rPr>
      </w:pPr>
    </w:p>
    <w:p>
      <w:pPr>
        <w:ind w:left="280" w:hanging="272"/>
        <w:spacing w:after="0"/>
        <w:tabs>
          <w:tab w:leader="none" w:pos="280" w:val="left"/>
        </w:tabs>
        <w:numPr>
          <w:ilvl w:val="0"/>
          <w:numId w:val="93"/>
        </w:numPr>
        <w:rPr>
          <w:rFonts w:ascii="Arial" w:cs="Arial" w:eastAsia="Arial" w:hAnsi="Arial"/>
          <w:sz w:val="16"/>
          <w:szCs w:val="16"/>
          <w:color w:val="CE0D41"/>
        </w:rPr>
      </w:pPr>
      <w:r>
        <w:rPr>
          <w:rFonts w:ascii="Arial" w:cs="Arial" w:eastAsia="Arial" w:hAnsi="Arial"/>
          <w:sz w:val="16"/>
          <w:szCs w:val="16"/>
          <w:color w:val="auto"/>
        </w:rPr>
        <w:t>“good reason” generally means the occurrence of any of the following:</w:t>
      </w:r>
    </w:p>
    <w:p>
      <w:pPr>
        <w:spacing w:after="0" w:line="207" w:lineRule="exact"/>
        <w:rPr>
          <w:rFonts w:ascii="Arial" w:cs="Arial" w:eastAsia="Arial" w:hAnsi="Arial"/>
          <w:sz w:val="16"/>
          <w:szCs w:val="16"/>
          <w:color w:val="CE0D41"/>
        </w:rPr>
      </w:pPr>
    </w:p>
    <w:p>
      <w:pPr>
        <w:ind w:left="540" w:right="60" w:hanging="262"/>
        <w:spacing w:after="0" w:line="253" w:lineRule="auto"/>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the assignment to the executive of any position, authorities, duties or responsibilities that are materially inconsistent with the executive’s position, authorities, duties or responsibilities as provided in the Executive Employment Agreement or any other action that results in a material diminution of the executive’s position, authorities, duties or responsibilities;</w:t>
      </w:r>
    </w:p>
    <w:p>
      <w:pPr>
        <w:spacing w:after="0" w:line="14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a relocation of the executive (a provision not included in Mr. Shivram’s agreement);</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a material breach by the Company of the Executive Employment Agreement;</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the Company’s giving of notice that the Executive Employment Agreement term will not be extended (“non-renewal”); or</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the failure by the Company to require any successor to perform the Executive Employment Agreement between the executive and the Company.</w:t>
      </w:r>
    </w:p>
    <w:p>
      <w:pPr>
        <w:spacing w:after="0" w:line="19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After a change of control or other transaction in which our ordinary shares cease to be publicly traded, “good reason” also will be deemed to exist if the executive is assigned to any position, authority, duties or responsibilities that are not at the ultimate parent company of the surviving entity.</w:t>
      </w:r>
    </w:p>
    <w:p>
      <w:pPr>
        <w:spacing w:after="0" w:line="169"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6"/>
          <w:szCs w:val="16"/>
          <w:color w:val="CE0D41"/>
        </w:rPr>
      </w:pPr>
      <w:r>
        <w:rPr>
          <w:rFonts w:ascii="Arial" w:cs="Arial" w:eastAsia="Arial" w:hAnsi="Arial"/>
          <w:sz w:val="16"/>
          <w:szCs w:val="16"/>
          <w:color w:val="auto"/>
        </w:rPr>
        <w:t>“change of control” is generally deemed to occur if:</w:t>
      </w:r>
    </w:p>
    <w:p>
      <w:pPr>
        <w:spacing w:after="0" w:line="194" w:lineRule="exact"/>
        <w:rPr>
          <w:rFonts w:ascii="Arial" w:cs="Arial" w:eastAsia="Arial" w:hAnsi="Arial"/>
          <w:sz w:val="16"/>
          <w:szCs w:val="16"/>
          <w:color w:val="CE0D41"/>
        </w:rPr>
      </w:pPr>
    </w:p>
    <w:p>
      <w:pPr>
        <w:ind w:left="540" w:hanging="262"/>
        <w:spacing w:after="0"/>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any person acquires 20% or more of our ordinary shares;</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at least two-thirds of the members of the current Board of Directors cease to be directors other than in specified circumstances;</w:t>
      </w:r>
    </w:p>
    <w:p>
      <w:pPr>
        <w:spacing w:after="0" w:line="167" w:lineRule="exact"/>
        <w:rPr>
          <w:rFonts w:ascii="Arial" w:cs="Arial" w:eastAsia="Arial" w:hAnsi="Arial"/>
          <w:sz w:val="16"/>
          <w:szCs w:val="16"/>
          <w:color w:val="CE0D41"/>
        </w:rPr>
      </w:pPr>
    </w:p>
    <w:p>
      <w:pPr>
        <w:ind w:left="540" w:right="40" w:hanging="262"/>
        <w:spacing w:after="0" w:line="250" w:lineRule="auto"/>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upon the consummation of a merger or similar transaction other than (1) a transaction in which the shareholders beneficially owning the registered shares outstanding immediately prior to the transaction represent at least two-thirds of the voting power immediately after the transaction, (2) a transaction in which no person owns 20% or more of the outstanding registered shares or voting power of the surviving entity, and (3) a transaction in which at least two-thirds of the members of the surviving entity are current members of the Board of Directors at the time the transaction was approved; or</w:t>
      </w:r>
    </w:p>
    <w:p>
      <w:pPr>
        <w:spacing w:after="0" w:line="149" w:lineRule="exact"/>
        <w:rPr>
          <w:rFonts w:ascii="Arial" w:cs="Arial" w:eastAsia="Arial" w:hAnsi="Arial"/>
          <w:sz w:val="16"/>
          <w:szCs w:val="16"/>
          <w:color w:val="CE0D41"/>
        </w:rPr>
      </w:pPr>
    </w:p>
    <w:p>
      <w:pPr>
        <w:ind w:left="540" w:right="560" w:hanging="262"/>
        <w:spacing w:after="0" w:line="260" w:lineRule="auto"/>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16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Executive Employment Agreements contain a confidentiality provision. In no event, however, will an asserted violation of the confidentiality provision constitute a basis for deferring or withholding any amounts otherwise payable to the NEO under the Executive Employment Agreement.</w:t>
      </w:r>
    </w:p>
    <w:p>
      <w:pPr>
        <w:spacing w:after="0" w:line="16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Similarly, the Executive Employment Agreements contain non-competition and non-solicitation provisions which are generally applicable for one year from when the NEO ceases to be employed. The non-competition restrictions do not apply if the NEO terminates employment for any reason within one year following a change of control. Additionally, if the NEO voluntarily terminates employment other than for good reason, the non-competition restrictions shall apply only if (i) the Company notifies the NEO of its intent to enforce the non-competition provisions within 15 days following the NEO’s separation from service and</w:t>
      </w:r>
    </w:p>
    <w:p>
      <w:pPr>
        <w:spacing w:after="0" w:line="2" w:lineRule="exact"/>
        <w:rPr>
          <w:sz w:val="20"/>
          <w:szCs w:val="20"/>
          <w:color w:val="auto"/>
        </w:rPr>
      </w:pPr>
    </w:p>
    <w:p>
      <w:pPr>
        <w:ind w:right="420" w:firstLine="8"/>
        <w:spacing w:after="0" w:line="260" w:lineRule="auto"/>
        <w:tabs>
          <w:tab w:leader="none" w:pos="22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pays the NEO a lump sum amount equal to the sum of the annual base salary received by the NEO as of the date of termination and the NEO’s target annual bonus for the fiscal year during which the termination occurs.</w:t>
      </w:r>
    </w:p>
    <w:p>
      <w:pPr>
        <w:spacing w:after="0" w:line="169"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We are required to pay legal fees and expenses incurred by the executive in any disputes regarding his employment agreement, so long as the executive undertakes to reimburse the Company for such amounts paid if the executive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1" w:name="page82"/>
    <w:bookmarkEnd w:id="81"/>
    <w:p>
      <w:pPr>
        <w:ind w:right="2340"/>
        <w:spacing w:after="0" w:line="281" w:lineRule="auto"/>
        <w:rPr>
          <w:sz w:val="20"/>
          <w:szCs w:val="20"/>
          <w:color w:val="auto"/>
        </w:rPr>
      </w:pPr>
      <w:r>
        <w:rPr>
          <w:rFonts w:ascii="Arial" w:cs="Arial" w:eastAsia="Arial" w:hAnsi="Arial"/>
          <w:sz w:val="43"/>
          <w:szCs w:val="43"/>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PREVIOUSLY EARNED AND FULLY VESTED DEFERRED COMPENSATION</w:t>
      </w:r>
    </w:p>
    <w:p>
      <w:pPr>
        <w:spacing w:after="0" w:line="20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On termination of an NEO for any reason, the NEO would be entitled to a distribution of previously earned and fully vested deferred compensation, which is distributable in Company shares, cash or other investments pursuant to the applicable plan.</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Accordingly, previously earned and fully vested deferred compensation would become distributable under our EDC, which is distributable in Company shares or cash and SERP, which is distributable in Company shares. The following table sets forth the dollar value as of December 31, 2014 of such previously earned and fully vested deferred compensation for our current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4340" w:type="dxa"/>
            <w:vAlign w:val="bottom"/>
          </w:tcPr>
          <w:p>
            <w:pPr>
              <w:spacing w:after="0"/>
              <w:rPr>
                <w:sz w:val="24"/>
                <w:szCs w:val="24"/>
                <w:color w:val="auto"/>
              </w:rPr>
            </w:pPr>
          </w:p>
        </w:tc>
        <w:tc>
          <w:tcPr>
            <w:tcW w:w="7080" w:type="dxa"/>
            <w:vAlign w:val="bottom"/>
          </w:tcPr>
          <w:p>
            <w:pPr>
              <w:jc w:val="right"/>
              <w:spacing w:after="0"/>
              <w:rPr>
                <w:sz w:val="20"/>
                <w:szCs w:val="20"/>
                <w:color w:val="auto"/>
              </w:rPr>
            </w:pPr>
            <w:r>
              <w:rPr>
                <w:rFonts w:ascii="Arial" w:cs="Arial" w:eastAsia="Arial" w:hAnsi="Arial"/>
                <w:sz w:val="25"/>
                <w:szCs w:val="25"/>
                <w:b w:val="1"/>
                <w:bCs w:val="1"/>
                <w:color w:val="818284"/>
              </w:rPr>
              <w:t>EXECUTIVE COMPENSATION TABLES</w:t>
            </w:r>
          </w:p>
        </w:tc>
      </w:tr>
      <w:tr>
        <w:trPr>
          <w:trHeight w:val="498"/>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7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Value of Shares to be Distributed</w:t>
            </w:r>
          </w:p>
        </w:tc>
      </w:tr>
      <w:tr>
        <w:trPr>
          <w:trHeight w:val="203"/>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70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52,080,188</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Krishna Shivram</w:t>
            </w:r>
          </w:p>
        </w:tc>
        <w:tc>
          <w:tcPr>
            <w:tcW w:w="70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Dharmesh Mehta</w:t>
            </w:r>
          </w:p>
        </w:tc>
        <w:tc>
          <w:tcPr>
            <w:tcW w:w="70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38,587</w:t>
            </w:r>
          </w:p>
        </w:tc>
      </w:tr>
      <w:tr>
        <w:trPr>
          <w:trHeight w:val="203"/>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Douglas Mills</w:t>
            </w:r>
          </w:p>
        </w:tc>
        <w:tc>
          <w:tcPr>
            <w:tcW w:w="7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5" w:lineRule="exact"/>
        <w:rPr>
          <w:sz w:val="20"/>
          <w:szCs w:val="20"/>
          <w:color w:val="auto"/>
        </w:rPr>
      </w:pPr>
    </w:p>
    <w:p>
      <w:pPr>
        <w:jc w:val="both"/>
        <w:ind w:right="360"/>
        <w:spacing w:after="0" w:line="262" w:lineRule="auto"/>
        <w:rPr>
          <w:sz w:val="20"/>
          <w:szCs w:val="20"/>
          <w:color w:val="auto"/>
        </w:rPr>
      </w:pPr>
      <w:r>
        <w:rPr>
          <w:rFonts w:ascii="Arial" w:cs="Arial" w:eastAsia="Arial" w:hAnsi="Arial"/>
          <w:sz w:val="43"/>
          <w:szCs w:val="43"/>
          <w:b w:val="1"/>
          <w:bCs w:val="1"/>
          <w:color w:val="818284"/>
        </w:rPr>
        <w:t>TERMINATION FOR GOOD REASON, BY US AFTER A CHANGE OF CONTROL OR BY US OTHER THAN FOR CAUSE</w:t>
      </w:r>
    </w:p>
    <w:p>
      <w:pPr>
        <w:spacing w:after="0" w:line="24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following table describes cash payments that would have been payable under the Executive Employment Agreements with respect to our current NEOs if an NEO’s employment had been terminated for good reason (other than as a result of non-renewal of the employment agreement), by the Company after a change of control (a “double-trigger”) or by the Company other than for cause, in each case assuming the termination had occurred on December 31, 2014. Amounts payable as a result of termination upon death, disability or termination by the executive for good reason as a result of non-renewal are set forth in additional detail below under “Termination Upon Death, Disability or For Good Reason as a Result of Non-Renewal.”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4260" w:type="dxa"/>
            <w:vAlign w:val="bottom"/>
          </w:tcPr>
          <w:p>
            <w:pPr>
              <w:jc w:val="right"/>
              <w:ind w:right="279"/>
              <w:spacing w:after="0"/>
              <w:rPr>
                <w:sz w:val="20"/>
                <w:szCs w:val="20"/>
                <w:color w:val="auto"/>
              </w:rPr>
            </w:pPr>
            <w:r>
              <w:rPr>
                <w:rFonts w:ascii="Arial" w:cs="Arial" w:eastAsia="Arial" w:hAnsi="Arial"/>
                <w:sz w:val="16"/>
                <w:szCs w:val="16"/>
                <w:color w:val="auto"/>
              </w:rPr>
              <w:t>Termination Obligations</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Other Payment</w:t>
            </w:r>
          </w:p>
        </w:tc>
        <w:tc>
          <w:tcPr>
            <w:tcW w:w="122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194"/>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4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1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10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4260" w:type="dxa"/>
            <w:vAlign w:val="bottom"/>
            <w:tcBorders>
              <w:bottom w:val="single" w:sz="8" w:color="818284"/>
            </w:tcBorders>
          </w:tcPr>
          <w:p>
            <w:pPr>
              <w:jc w:val="right"/>
              <w:ind w:right="279"/>
              <w:spacing w:after="0"/>
              <w:rPr>
                <w:sz w:val="20"/>
                <w:szCs w:val="20"/>
                <w:color w:val="auto"/>
              </w:rPr>
            </w:pPr>
            <w:r>
              <w:rPr>
                <w:rFonts w:ascii="Arial" w:cs="Arial" w:eastAsia="Arial" w:hAnsi="Arial"/>
                <w:sz w:val="16"/>
                <w:szCs w:val="16"/>
                <w:color w:val="auto"/>
              </w:rPr>
              <w:t>14,687,727</w:t>
            </w:r>
          </w:p>
        </w:tc>
        <w:tc>
          <w:tcPr>
            <w:tcW w:w="1840" w:type="dxa"/>
            <w:vAlign w:val="bottom"/>
            <w:tcBorders>
              <w:bottom w:val="single" w:sz="8" w:color="818284"/>
            </w:tcBorders>
          </w:tcPr>
          <w:p>
            <w:pPr>
              <w:jc w:val="right"/>
              <w:ind w:right="299"/>
              <w:spacing w:after="0"/>
              <w:rPr>
                <w:sz w:val="20"/>
                <w:szCs w:val="20"/>
                <w:color w:val="auto"/>
              </w:rPr>
            </w:pPr>
            <w:r>
              <w:rPr>
                <w:rFonts w:ascii="Arial" w:cs="Arial" w:eastAsia="Arial" w:hAnsi="Arial"/>
                <w:sz w:val="16"/>
                <w:szCs w:val="16"/>
                <w:color w:val="auto"/>
              </w:rPr>
              <w:t>235,899</w:t>
            </w:r>
          </w:p>
        </w:tc>
        <w:tc>
          <w:tcPr>
            <w:tcW w:w="122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14,923,626</w:t>
            </w:r>
          </w:p>
        </w:tc>
      </w:tr>
      <w:tr>
        <w:trPr>
          <w:trHeight w:val="183"/>
        </w:trPr>
        <w:tc>
          <w:tcPr>
            <w:tcW w:w="4100" w:type="dxa"/>
            <w:vAlign w:val="bottom"/>
            <w:tcBorders>
              <w:bottom w:val="single" w:sz="8" w:color="818284"/>
            </w:tcBorders>
          </w:tcPr>
          <w:p>
            <w:pPr>
              <w:ind w:left="60"/>
              <w:spacing w:after="0" w:line="183" w:lineRule="exact"/>
              <w:rPr>
                <w:sz w:val="20"/>
                <w:szCs w:val="20"/>
                <w:color w:val="auto"/>
              </w:rPr>
            </w:pPr>
            <w:r>
              <w:rPr>
                <w:rFonts w:ascii="Arial" w:cs="Arial" w:eastAsia="Arial" w:hAnsi="Arial"/>
                <w:sz w:val="16"/>
                <w:szCs w:val="16"/>
                <w:color w:val="auto"/>
              </w:rPr>
              <w:t>Krishna Shivram</w:t>
            </w:r>
          </w:p>
        </w:tc>
        <w:tc>
          <w:tcPr>
            <w:tcW w:w="4260" w:type="dxa"/>
            <w:vAlign w:val="bottom"/>
            <w:tcBorders>
              <w:bottom w:val="single" w:sz="8" w:color="818284"/>
            </w:tcBorders>
          </w:tcPr>
          <w:p>
            <w:pPr>
              <w:jc w:val="right"/>
              <w:ind w:right="279"/>
              <w:spacing w:after="0" w:line="183" w:lineRule="exact"/>
              <w:rPr>
                <w:sz w:val="20"/>
                <w:szCs w:val="20"/>
                <w:color w:val="auto"/>
              </w:rPr>
            </w:pPr>
            <w:r>
              <w:rPr>
                <w:rFonts w:ascii="Arial" w:cs="Arial" w:eastAsia="Arial" w:hAnsi="Arial"/>
                <w:sz w:val="16"/>
                <w:szCs w:val="16"/>
                <w:color w:val="auto"/>
              </w:rPr>
              <w:t>5,538,506</w:t>
            </w:r>
          </w:p>
        </w:tc>
        <w:tc>
          <w:tcPr>
            <w:tcW w:w="184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89,063</w:t>
            </w:r>
          </w:p>
        </w:tc>
        <w:tc>
          <w:tcPr>
            <w:tcW w:w="12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5,627,569</w:t>
            </w:r>
          </w:p>
        </w:tc>
      </w:tr>
      <w:tr>
        <w:trPr>
          <w:trHeight w:val="183"/>
        </w:trPr>
        <w:tc>
          <w:tcPr>
            <w:tcW w:w="4100" w:type="dxa"/>
            <w:vAlign w:val="bottom"/>
            <w:tcBorders>
              <w:bottom w:val="single" w:sz="8" w:color="818284"/>
            </w:tcBorders>
          </w:tcPr>
          <w:p>
            <w:pPr>
              <w:ind w:left="60"/>
              <w:spacing w:after="0" w:line="183" w:lineRule="exact"/>
              <w:rPr>
                <w:sz w:val="20"/>
                <w:szCs w:val="20"/>
                <w:color w:val="auto"/>
              </w:rPr>
            </w:pPr>
            <w:r>
              <w:rPr>
                <w:rFonts w:ascii="Arial" w:cs="Arial" w:eastAsia="Arial" w:hAnsi="Arial"/>
                <w:sz w:val="16"/>
                <w:szCs w:val="16"/>
                <w:color w:val="auto"/>
              </w:rPr>
              <w:t>Dharmesh Mehta</w:t>
            </w:r>
          </w:p>
        </w:tc>
        <w:tc>
          <w:tcPr>
            <w:tcW w:w="4260" w:type="dxa"/>
            <w:vAlign w:val="bottom"/>
            <w:tcBorders>
              <w:bottom w:val="single" w:sz="8" w:color="818284"/>
            </w:tcBorders>
          </w:tcPr>
          <w:p>
            <w:pPr>
              <w:jc w:val="right"/>
              <w:ind w:right="279"/>
              <w:spacing w:after="0" w:line="183" w:lineRule="exact"/>
              <w:rPr>
                <w:sz w:val="20"/>
                <w:szCs w:val="20"/>
                <w:color w:val="auto"/>
              </w:rPr>
            </w:pPr>
            <w:r>
              <w:rPr>
                <w:rFonts w:ascii="Arial" w:cs="Arial" w:eastAsia="Arial" w:hAnsi="Arial"/>
                <w:sz w:val="16"/>
                <w:szCs w:val="16"/>
                <w:color w:val="auto"/>
              </w:rPr>
              <w:t>5,552,929</w:t>
            </w:r>
          </w:p>
        </w:tc>
        <w:tc>
          <w:tcPr>
            <w:tcW w:w="184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89,063</w:t>
            </w:r>
          </w:p>
        </w:tc>
        <w:tc>
          <w:tcPr>
            <w:tcW w:w="12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5,641,992</w:t>
            </w:r>
          </w:p>
        </w:tc>
      </w:tr>
      <w:tr>
        <w:trPr>
          <w:trHeight w:val="190"/>
        </w:trPr>
        <w:tc>
          <w:tcPr>
            <w:tcW w:w="41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Douglas Mills</w:t>
            </w:r>
          </w:p>
        </w:tc>
        <w:tc>
          <w:tcPr>
            <w:tcW w:w="42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1,503,332</w:t>
            </w:r>
          </w:p>
        </w:tc>
        <w:tc>
          <w:tcPr>
            <w:tcW w:w="18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23,992</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1,527,324</w:t>
            </w:r>
          </w:p>
        </w:tc>
      </w:tr>
    </w:tbl>
    <w:p>
      <w:pPr>
        <w:spacing w:after="0" w:line="72"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accrued vacation, prorated bonus and Salary and Bonus Payment.</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contractual interest on payments deferred for six months in accordance with Section 409A.</w:t>
      </w:r>
    </w:p>
    <w:p>
      <w:pPr>
        <w:spacing w:after="0" w:line="16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addition to the cash payments described above, the NEOs would have been entitled to receive certain non-cash compensation. The value of that non-cash compensation is set forth in the table below (the “Non-Cash Compensation Table”). Also, in accordance with the Company’s tax policy for international assignees, the Company would be responsible for Dr. Duroc-Danner’s tax liability beyond the hypothetical taxes deducted from his severance compensation and would incur the cost related to the preparation of his tax return.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4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Value of Equity Awards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Value of Healthcare Benefit</w:t>
            </w:r>
          </w:p>
        </w:tc>
      </w:tr>
      <w:tr>
        <w:trPr>
          <w:trHeight w:val="203"/>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458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2,813,276</w:t>
            </w:r>
          </w:p>
        </w:tc>
        <w:tc>
          <w:tcPr>
            <w:tcW w:w="2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630,272</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Krishna Shivram</w:t>
            </w:r>
          </w:p>
        </w:tc>
        <w:tc>
          <w:tcPr>
            <w:tcW w:w="458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1,054,980</w:t>
            </w:r>
          </w:p>
        </w:tc>
        <w:tc>
          <w:tcPr>
            <w:tcW w:w="2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25,668</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Dharmesh Mehta</w:t>
            </w:r>
          </w:p>
        </w:tc>
        <w:tc>
          <w:tcPr>
            <w:tcW w:w="458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2,394,470</w:t>
            </w:r>
          </w:p>
        </w:tc>
        <w:tc>
          <w:tcPr>
            <w:tcW w:w="2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11,952</w:t>
            </w:r>
          </w:p>
        </w:tc>
      </w:tr>
      <w:tr>
        <w:trPr>
          <w:trHeight w:val="203"/>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Douglas Mills</w:t>
            </w:r>
          </w:p>
        </w:tc>
        <w:tc>
          <w:tcPr>
            <w:tcW w:w="4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901,848</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27,336</w:t>
            </w:r>
          </w:p>
        </w:tc>
      </w:tr>
    </w:tbl>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There are no additional rights granted to executives under the Executive Employment Agreements as a result of a change of control, other than providing that an executive can terminate his Executive Employment Agreement in connection with a change of control for a material diminution of the executive’s position, authority, duties or responsibilities (which will constitute good reason). Further, the Executive Employment Agreements provide that the Company will require any successor to all or substantially all of the Company’s business and/or Company’s assets to expressly assume and agree to perform the Executive Employment Agreement in the same manner and to the same extent that the Company would be required to perform it if no such succession had taken place. Failure of the Company to obtain such assumption and agreement at or prior to the effectiveness of any such succession will entitle the NEO to compensation from the Company in the same amount and on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82" w:name="page83"/>
    <w:bookmarkEnd w:id="8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4"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terms as the executive would be entitled if the executive were to terminate employment for good reason after a change of control, except that, (i) for purposes of implementing the foregoing, the date on which any such succession becomes effective will be deemed the date of termination and (ii) the Company will be given the opportunity to cure the foregoing.</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equity plans and related grant and award agreements in which our NEOs participate generally provide for the vesting of relevant grants and awards and acceleration of certain benefits upon a change of control. For certain outstanding option awards, our Board has the discretion upon a change of control whether to accelerate the vesting of the outstanding award, or require the award to be substituted or otherwise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ind w:right="1040"/>
        <w:spacing w:after="0" w:line="281" w:lineRule="auto"/>
        <w:rPr>
          <w:sz w:val="20"/>
          <w:szCs w:val="20"/>
          <w:color w:val="auto"/>
        </w:rPr>
      </w:pPr>
      <w:r>
        <w:rPr>
          <w:rFonts w:ascii="Arial" w:cs="Arial" w:eastAsia="Arial" w:hAnsi="Arial"/>
          <w:sz w:val="43"/>
          <w:szCs w:val="43"/>
          <w:b w:val="1"/>
          <w:bCs w:val="1"/>
          <w:color w:val="818284"/>
        </w:rPr>
        <w:t>TERMINATION UPON DEATH, DISABILITY OR FOR GOOD REASON AS A RESULT OF NON-RENEWAL</w:t>
      </w:r>
    </w:p>
    <w:p>
      <w:pPr>
        <w:spacing w:after="0" w:line="20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the event of a current NEO’s death, disability or termination by the executive for good reason as a result of non-renewal, he (or his estate) would be entitled to receive the compensation described above in “Termination for Good Reason, by Us After a Change of Control or by Us Other than for Cause,” except that:</w:t>
      </w:r>
    </w:p>
    <w:p>
      <w:pPr>
        <w:spacing w:after="0" w:line="169"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the Salary and Bonus Payment would be reduced to a multiple of one times the officer’s salary and target bonus;</w:t>
      </w:r>
    </w:p>
    <w:p>
      <w:pPr>
        <w:spacing w:after="0" w:line="167" w:lineRule="exact"/>
        <w:rPr>
          <w:rFonts w:ascii="Arial" w:cs="Arial" w:eastAsia="Arial" w:hAnsi="Arial"/>
          <w:sz w:val="16"/>
          <w:szCs w:val="16"/>
          <w:color w:val="CE0D41"/>
        </w:rPr>
      </w:pPr>
    </w:p>
    <w:p>
      <w:pPr>
        <w:ind w:left="280" w:right="340" w:hanging="272"/>
        <w:spacing w:after="0" w:line="260" w:lineRule="auto"/>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the NEO’s estate would receive life insurance proceeds in the amount of up to one time (two times in the case of Dr. Duroc-Danner) his salary or salary bracket, up to a maximum of $2,000,000;</w:t>
      </w:r>
    </w:p>
    <w:p>
      <w:pPr>
        <w:spacing w:after="0" w:line="141" w:lineRule="exact"/>
        <w:rPr>
          <w:rFonts w:ascii="Arial" w:cs="Arial" w:eastAsia="Arial" w:hAnsi="Arial"/>
          <w:sz w:val="16"/>
          <w:szCs w:val="16"/>
          <w:color w:val="CE0D41"/>
        </w:rPr>
      </w:pPr>
    </w:p>
    <w:p>
      <w:pPr>
        <w:ind w:left="280" w:right="320" w:hanging="272"/>
        <w:spacing w:after="0" w:line="260" w:lineRule="auto"/>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if applicable, the NEO’s estate would receive accidental death and dismemberment proceeds in the amount of two times his salary, up to a maximum of $2,000,000; and</w:t>
      </w:r>
    </w:p>
    <w:p>
      <w:pPr>
        <w:spacing w:after="0" w:line="141" w:lineRule="exact"/>
        <w:rPr>
          <w:rFonts w:ascii="Arial" w:cs="Arial" w:eastAsia="Arial" w:hAnsi="Arial"/>
          <w:sz w:val="16"/>
          <w:szCs w:val="16"/>
          <w:color w:val="CE0D41"/>
        </w:rPr>
      </w:pPr>
    </w:p>
    <w:p>
      <w:pPr>
        <w:ind w:left="280" w:hanging="272"/>
        <w:spacing w:after="0"/>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if applicable, the NEO’s estate would receive business travel accident proceeds in the amount of four times his salary, up to a maximum of $1,000,000.</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following table describes cash payments that would be required to be made under the Executive Employment Agreements with respect to our current NEOs and under our retirement plans in the event of an NEO’s death, disability or termination by the executive for good reason as a result of non-renewal. The amounts shown for such person in the table include amounts earned through such time and are estimates of the amount that would be paid out to the NEO upon termination. The actual amounts to be paid out can only be determined at the time of, and depend upon the circumstances surrounding, termination.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4240" w:type="dxa"/>
            <w:vAlign w:val="bottom"/>
          </w:tcPr>
          <w:p>
            <w:pPr>
              <w:jc w:val="right"/>
              <w:ind w:right="339"/>
              <w:spacing w:after="0"/>
              <w:rPr>
                <w:sz w:val="20"/>
                <w:szCs w:val="20"/>
                <w:color w:val="auto"/>
              </w:rPr>
            </w:pPr>
            <w:r>
              <w:rPr>
                <w:rFonts w:ascii="Arial" w:cs="Arial" w:eastAsia="Arial" w:hAnsi="Arial"/>
                <w:sz w:val="16"/>
                <w:szCs w:val="16"/>
                <w:color w:val="auto"/>
              </w:rPr>
              <w:t>Termination Obligations</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Other Payment</w:t>
            </w:r>
          </w:p>
        </w:tc>
        <w:tc>
          <w:tcPr>
            <w:tcW w:w="124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202"/>
        </w:trPr>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4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1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98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4240" w:type="dxa"/>
            <w:vAlign w:val="bottom"/>
            <w:tcBorders>
              <w:bottom w:val="single" w:sz="8" w:color="818284"/>
            </w:tcBorders>
          </w:tcPr>
          <w:p>
            <w:pPr>
              <w:jc w:val="right"/>
              <w:ind w:right="339"/>
              <w:spacing w:after="0"/>
              <w:rPr>
                <w:sz w:val="20"/>
                <w:szCs w:val="20"/>
                <w:color w:val="auto"/>
              </w:rPr>
            </w:pPr>
            <w:r>
              <w:rPr>
                <w:rFonts w:ascii="Arial" w:cs="Arial" w:eastAsia="Arial" w:hAnsi="Arial"/>
                <w:sz w:val="16"/>
                <w:szCs w:val="16"/>
                <w:color w:val="auto"/>
              </w:rPr>
              <w:t>6,868,919</w:t>
            </w:r>
          </w:p>
        </w:tc>
        <w:tc>
          <w:tcPr>
            <w:tcW w:w="1960" w:type="dxa"/>
            <w:vAlign w:val="bottom"/>
            <w:tcBorders>
              <w:bottom w:val="single" w:sz="8" w:color="818284"/>
            </w:tcBorders>
          </w:tcPr>
          <w:p>
            <w:pPr>
              <w:jc w:val="right"/>
              <w:ind w:right="359"/>
              <w:spacing w:after="0"/>
              <w:rPr>
                <w:sz w:val="20"/>
                <w:szCs w:val="20"/>
                <w:color w:val="auto"/>
              </w:rPr>
            </w:pPr>
            <w:r>
              <w:rPr>
                <w:rFonts w:ascii="Arial" w:cs="Arial" w:eastAsia="Arial" w:hAnsi="Arial"/>
                <w:sz w:val="16"/>
                <w:szCs w:val="16"/>
                <w:color w:val="auto"/>
              </w:rPr>
              <w:t>108,843</w:t>
            </w:r>
          </w:p>
        </w:tc>
        <w:tc>
          <w:tcPr>
            <w:tcW w:w="12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6,977,762</w:t>
            </w:r>
          </w:p>
        </w:tc>
      </w:tr>
      <w:tr>
        <w:trPr>
          <w:trHeight w:val="196"/>
        </w:trPr>
        <w:tc>
          <w:tcPr>
            <w:tcW w:w="398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Krishna Shivram</w:t>
            </w:r>
          </w:p>
        </w:tc>
        <w:tc>
          <w:tcPr>
            <w:tcW w:w="4240" w:type="dxa"/>
            <w:vAlign w:val="bottom"/>
            <w:tcBorders>
              <w:bottom w:val="single" w:sz="8" w:color="818284"/>
            </w:tcBorders>
          </w:tcPr>
          <w:p>
            <w:pPr>
              <w:jc w:val="right"/>
              <w:ind w:right="339"/>
              <w:spacing w:after="0"/>
              <w:rPr>
                <w:sz w:val="20"/>
                <w:szCs w:val="20"/>
                <w:color w:val="auto"/>
              </w:rPr>
            </w:pPr>
            <w:r>
              <w:rPr>
                <w:rFonts w:ascii="Arial" w:cs="Arial" w:eastAsia="Arial" w:hAnsi="Arial"/>
                <w:sz w:val="16"/>
                <w:szCs w:val="16"/>
                <w:color w:val="auto"/>
              </w:rPr>
              <w:t>2,538,506</w:t>
            </w:r>
          </w:p>
        </w:tc>
        <w:tc>
          <w:tcPr>
            <w:tcW w:w="1960" w:type="dxa"/>
            <w:vAlign w:val="bottom"/>
            <w:tcBorders>
              <w:bottom w:val="single" w:sz="8" w:color="818284"/>
            </w:tcBorders>
          </w:tcPr>
          <w:p>
            <w:pPr>
              <w:jc w:val="right"/>
              <w:ind w:right="359"/>
              <w:spacing w:after="0"/>
              <w:rPr>
                <w:sz w:val="20"/>
                <w:szCs w:val="20"/>
                <w:color w:val="auto"/>
              </w:rPr>
            </w:pPr>
            <w:r>
              <w:rPr>
                <w:rFonts w:ascii="Arial" w:cs="Arial" w:eastAsia="Arial" w:hAnsi="Arial"/>
                <w:sz w:val="16"/>
                <w:szCs w:val="16"/>
                <w:color w:val="auto"/>
              </w:rPr>
              <w:t>40,313</w:t>
            </w:r>
          </w:p>
        </w:tc>
        <w:tc>
          <w:tcPr>
            <w:tcW w:w="12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2,578,819</w:t>
            </w:r>
          </w:p>
        </w:tc>
      </w:tr>
      <w:tr>
        <w:trPr>
          <w:trHeight w:val="196"/>
        </w:trPr>
        <w:tc>
          <w:tcPr>
            <w:tcW w:w="398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Dharmesh Mehta</w:t>
            </w:r>
          </w:p>
        </w:tc>
        <w:tc>
          <w:tcPr>
            <w:tcW w:w="4240" w:type="dxa"/>
            <w:vAlign w:val="bottom"/>
            <w:tcBorders>
              <w:bottom w:val="single" w:sz="8" w:color="818284"/>
            </w:tcBorders>
          </w:tcPr>
          <w:p>
            <w:pPr>
              <w:jc w:val="right"/>
              <w:ind w:right="339"/>
              <w:spacing w:after="0"/>
              <w:rPr>
                <w:sz w:val="20"/>
                <w:szCs w:val="20"/>
                <w:color w:val="auto"/>
              </w:rPr>
            </w:pPr>
            <w:r>
              <w:rPr>
                <w:rFonts w:ascii="Arial" w:cs="Arial" w:eastAsia="Arial" w:hAnsi="Arial"/>
                <w:sz w:val="16"/>
                <w:szCs w:val="16"/>
                <w:color w:val="auto"/>
              </w:rPr>
              <w:t>2,552,929</w:t>
            </w:r>
          </w:p>
        </w:tc>
        <w:tc>
          <w:tcPr>
            <w:tcW w:w="1960" w:type="dxa"/>
            <w:vAlign w:val="bottom"/>
            <w:tcBorders>
              <w:bottom w:val="single" w:sz="8" w:color="818284"/>
            </w:tcBorders>
          </w:tcPr>
          <w:p>
            <w:pPr>
              <w:jc w:val="right"/>
              <w:ind w:right="359"/>
              <w:spacing w:after="0"/>
              <w:rPr>
                <w:sz w:val="20"/>
                <w:szCs w:val="20"/>
                <w:color w:val="auto"/>
              </w:rPr>
            </w:pPr>
            <w:r>
              <w:rPr>
                <w:rFonts w:ascii="Arial" w:cs="Arial" w:eastAsia="Arial" w:hAnsi="Arial"/>
                <w:sz w:val="16"/>
                <w:szCs w:val="16"/>
                <w:color w:val="auto"/>
              </w:rPr>
              <w:t>40,313</w:t>
            </w:r>
          </w:p>
        </w:tc>
        <w:tc>
          <w:tcPr>
            <w:tcW w:w="12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2,593,242</w:t>
            </w:r>
          </w:p>
        </w:tc>
      </w:tr>
      <w:tr>
        <w:trPr>
          <w:trHeight w:val="203"/>
        </w:trPr>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Douglas Mills</w:t>
            </w:r>
          </w:p>
        </w:tc>
        <w:tc>
          <w:tcPr>
            <w:tcW w:w="4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890,832</w:t>
            </w:r>
          </w:p>
        </w:tc>
        <w:tc>
          <w:tcPr>
            <w:tcW w:w="1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14,039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904,871</w:t>
            </w:r>
          </w:p>
        </w:tc>
      </w:tr>
    </w:tbl>
    <w:p>
      <w:pPr>
        <w:spacing w:after="0" w:line="59"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accrued vacation, prorated bonus and Salary and Bonus Payment.</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contractual interest on payments deferred for six months in accordance with Section 409A.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payments set forth above, the NEO would also receive:</w:t>
      </w:r>
    </w:p>
    <w:p>
      <w:pPr>
        <w:spacing w:after="0" w:line="194"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any unpaid salary through the date of termination;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all compensation set forth in the Non-Cash Compensation Table (Healthcare Benefit reduced to one year);</w:t>
      </w:r>
    </w:p>
    <w:p>
      <w:pPr>
        <w:spacing w:after="0" w:line="194" w:lineRule="exact"/>
        <w:rPr>
          <w:rFonts w:ascii="Arial" w:cs="Arial" w:eastAsia="Arial" w:hAnsi="Arial"/>
          <w:sz w:val="16"/>
          <w:szCs w:val="16"/>
          <w:color w:val="CE0D41"/>
        </w:rPr>
      </w:pPr>
    </w:p>
    <w:p>
      <w:pPr>
        <w:ind w:left="280" w:right="300" w:hanging="272"/>
        <w:spacing w:after="0" w:line="260" w:lineRule="auto"/>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in the event of an NEO’s death, his estate would be entitled to the following life insurance proceeds: Dr. Duroc-Danner $2,000,000, Mr. Shivram and Mr. Mehta $750,000, Mr. Mills $350,000.</w:t>
      </w:r>
    </w:p>
    <w:p>
      <w:pPr>
        <w:spacing w:after="0" w:line="168" w:lineRule="exact"/>
        <w:rPr>
          <w:rFonts w:ascii="Arial" w:cs="Arial" w:eastAsia="Arial" w:hAnsi="Arial"/>
          <w:sz w:val="16"/>
          <w:szCs w:val="16"/>
          <w:color w:val="CE0D41"/>
        </w:rPr>
      </w:pPr>
    </w:p>
    <w:p>
      <w:pPr>
        <w:ind w:left="280" w:right="300" w:hanging="272"/>
        <w:spacing w:after="0" w:line="260" w:lineRule="auto"/>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in the event of an NEO’s accidental death or dismemberment due to employment, the NEO or his estate would be entitled to the following proceeds: Dr. Duroc-Danner $2,000,000, Mr. Shivram and Mr. Mehta $1,500,000, Mr. Mills $700,000; and</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in the event of an NEO’s death due to an accident while traveling on company business, his estate would be entitled to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2" w:lineRule="exact"/>
        <w:rPr>
          <w:sz w:val="20"/>
          <w:szCs w:val="20"/>
          <w:color w:val="auto"/>
        </w:rPr>
      </w:pPr>
    </w:p>
    <w:p>
      <w:pPr>
        <w:ind w:right="2240"/>
        <w:spacing w:after="0" w:line="281" w:lineRule="auto"/>
        <w:rPr>
          <w:sz w:val="20"/>
          <w:szCs w:val="20"/>
          <w:color w:val="auto"/>
        </w:rPr>
      </w:pPr>
      <w:r>
        <w:rPr>
          <w:rFonts w:ascii="Arial" w:cs="Arial" w:eastAsia="Arial" w:hAnsi="Arial"/>
          <w:sz w:val="43"/>
          <w:szCs w:val="43"/>
          <w:b w:val="1"/>
          <w:bCs w:val="1"/>
          <w:color w:val="818284"/>
        </w:rPr>
        <w:t>TERMINATION FOR CAUSE OR VOLUNTARY TERMINATION</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No special or additional payments are payable to any of the NEOs under the Executive Employment Agreements in the event of a termination for “cause” or voluntary termination of employment by the NEO for other than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3" w:name="page84"/>
    <w:bookmarkEnd w:id="83"/>
    <w:p>
      <w:pPr>
        <w:ind w:right="1480"/>
        <w:spacing w:after="0" w:line="250" w:lineRule="auto"/>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 – APPROVE AMENDMENT TO THE WEATHERFORD 2010 OMNIBUS INCENTIVE PLAN</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The Board of Directors recommends that you vote “FOR” this proposal.</w:t>
      </w:r>
    </w:p>
    <w:p>
      <w:pPr>
        <w:spacing w:after="0" w:line="21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We are asking our shareholders to approve an amendment to our 2010 Omnibus Incentive Plan, as amended and restated on June 17, 2014 (the “Plan”), as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 to, among other things, replenish the pool of Weatherford ordinary shares available for issuance under the Plan by adding 15,000,000 shares. Amending the Plan has been approved by our Board, upon the recommendation of the Compensation Committee. A vote for this proposal will also constitute approval of the material terms of the performance goals set forth in the discussion of the Plan below for purposes of Code Section 162(m).</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Plan was approved by shareholders at our 2010 annual general meeting and reserved 10,144,000 shares for issuance thereunder. In 2012, shareholders approved an amendment to the Plan to increase the number of shares available thereunder to 28,144,000. The Plan was amended and restated in June 2014 to make technical modifications reflecting the change in the legal parent entity following our redomestication to Ireland. For the last five years, we have made annual long-term incentive awards and other grants to our officers and employees and annual grants to our non-employee directors under our Plan. We believe that this type of equity compensation is an effective means of attracting and retaining qualified key personnel with a focus on maximizing long-term shareholder value. However, we also recognize that it is important to strike a balance between concerns regarding the potential dilutive effect of equity awards and our ability to attract and retain key employees. In connection with the proposed amendment, the Compensation Committee evaluated the Company’s three-year average annual burn rate of 1.25%, which is well below the Institutional Shareholder Services (ISS) 2015 industry burn rate cap of 5.03%.</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On April 8, 2015, we granted approximately </w:t>
      </w:r>
      <w:r>
        <w:rPr>
          <w:rFonts w:ascii="Arial" w:cs="Arial" w:eastAsia="Arial" w:hAnsi="Arial"/>
          <w:sz w:val="16"/>
          <w:szCs w:val="16"/>
          <w:color w:val="00A85A"/>
        </w:rPr>
        <w:t>3.5 million</w:t>
      </w:r>
      <w:r>
        <w:rPr>
          <w:rFonts w:ascii="Arial" w:cs="Arial" w:eastAsia="Arial" w:hAnsi="Arial"/>
          <w:sz w:val="16"/>
          <w:szCs w:val="16"/>
          <w:color w:val="auto"/>
        </w:rPr>
        <w:t xml:space="preserve"> shares to over </w:t>
      </w:r>
      <w:r>
        <w:rPr>
          <w:rFonts w:ascii="Arial" w:cs="Arial" w:eastAsia="Arial" w:hAnsi="Arial"/>
          <w:sz w:val="16"/>
          <w:szCs w:val="16"/>
          <w:color w:val="00A85A"/>
        </w:rPr>
        <w:t>2,000</w:t>
      </w:r>
      <w:r>
        <w:rPr>
          <w:rFonts w:ascii="Arial" w:cs="Arial" w:eastAsia="Arial" w:hAnsi="Arial"/>
          <w:sz w:val="16"/>
          <w:szCs w:val="16"/>
          <w:color w:val="auto"/>
        </w:rPr>
        <w:t xml:space="preserve"> employees working in over 50 countries. In July of 2015 we expect to make an additional employee grant of </w:t>
      </w:r>
      <w:r>
        <w:rPr>
          <w:rFonts w:ascii="Arial" w:cs="Arial" w:eastAsia="Arial" w:hAnsi="Arial"/>
          <w:sz w:val="16"/>
          <w:szCs w:val="16"/>
          <w:color w:val="00A85A"/>
        </w:rPr>
        <w:t>2.9 million</w:t>
      </w:r>
      <w:r>
        <w:rPr>
          <w:rFonts w:ascii="Arial" w:cs="Arial" w:eastAsia="Arial" w:hAnsi="Arial"/>
          <w:sz w:val="16"/>
          <w:szCs w:val="16"/>
          <w:color w:val="auto"/>
        </w:rPr>
        <w:t xml:space="preserve"> shares. We believe that this grant ensures that we are compensating our employees in a manner that is consistent with our competitors, where equity grants are customary and widespread practice. We believe this broad-based grant strengthens the relationship between the long-term value of our shares and the potential financial gain for our employees.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As of April 15, 2015, a total of approximately </w:t>
      </w:r>
      <w:r>
        <w:rPr>
          <w:rFonts w:ascii="Arial" w:cs="Arial" w:eastAsia="Arial" w:hAnsi="Arial"/>
          <w:sz w:val="16"/>
          <w:szCs w:val="16"/>
          <w:color w:val="00A85A"/>
        </w:rPr>
        <w:t>2.4 million</w:t>
      </w:r>
      <w:r>
        <w:rPr>
          <w:rFonts w:ascii="Arial" w:cs="Arial" w:eastAsia="Arial" w:hAnsi="Arial"/>
          <w:sz w:val="16"/>
          <w:szCs w:val="16"/>
          <w:color w:val="auto"/>
        </w:rPr>
        <w:t xml:space="preserve"> shares remained available for issuance under the Plan. Although the number of shares required for each annual or other grant varies based on a number of factors, including our share price at the time of the grant and the size of individual grants awarded, we do not believe that we have sufficient shares available under the 2010 Stock Plan for grants beyond the first quarter of 2016 with the broad-based employee grant described above. The closing price of our shares as reported on the NYSE on April 15, 2015 was $</w:t>
      </w:r>
      <w:r>
        <w:rPr>
          <w:rFonts w:ascii="Arial" w:cs="Arial" w:eastAsia="Arial" w:hAnsi="Arial"/>
          <w:sz w:val="16"/>
          <w:szCs w:val="16"/>
          <w:color w:val="00A85A"/>
        </w:rPr>
        <w:t>[•]</w:t>
      </w:r>
      <w:r>
        <w:rPr>
          <w:rFonts w:ascii="Arial" w:cs="Arial" w:eastAsia="Arial" w:hAnsi="Arial"/>
          <w:sz w:val="16"/>
          <w:szCs w:val="16"/>
          <w:color w:val="auto"/>
        </w:rPr>
        <w:t>. We believe that making additional shares available for grant in 2015 and in future years by way of the amendment is necessary to provide incentive opportunities to our officers, directors and employees and to align their interests with the interests of our shareholders. We anticipate that the additional shares that will be available for issuance by way of the amendment to the Plan (if the amendment is approved at the Annual General Meeting) will be sufficient to meet our needs for approximately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additional information regarding our outstanding and available equity under all of the Company’s equity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As of April 15, 2015</w:t>
            </w:r>
          </w:p>
        </w:tc>
      </w:tr>
      <w:tr>
        <w:trPr>
          <w:trHeight w:val="189"/>
        </w:trPr>
        <w:tc>
          <w:tcPr>
            <w:tcW w:w="75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Total Stock Options Outstanding</w:t>
            </w:r>
          </w:p>
        </w:tc>
        <w:tc>
          <w:tcPr>
            <w:tcW w:w="392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[6,477,312]</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Restricted Stock Awards and Unit Awards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[10,540,777]</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Performance Units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[3,132,334]</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Common Stock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[774,681,386]</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Weighted-Average Exercise Price of Stock Options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[$9.58]</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Weighted-Average Remaining Duration of Stock Options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[0.94 years]</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Shares Available for Grant under the 2006 Plan</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[2,962,993]</w:t>
            </w:r>
          </w:p>
        </w:tc>
      </w:tr>
      <w:tr>
        <w:trPr>
          <w:trHeight w:val="190"/>
        </w:trPr>
        <w:tc>
          <w:tcPr>
            <w:tcW w:w="7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Shares Available for Grant under the 2010 Plan</w:t>
            </w:r>
          </w:p>
        </w:tc>
        <w:tc>
          <w:tcPr>
            <w:tcW w:w="3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[2,540,699]</w:t>
            </w:r>
          </w:p>
        </w:tc>
      </w:tr>
    </w:tbl>
    <w:p>
      <w:pPr>
        <w:spacing w:after="0" w:line="191"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In addition to increasing the number of shares available for issuance under the Plan, the amendment includes revisions to certain Plan provisions to further protect shareholder interests and appropriately reflect our compensation philosophy and developments in compensation practices, as well as certain other technical amendments, including:</w:t>
      </w:r>
    </w:p>
    <w:p>
      <w:pPr>
        <w:spacing w:after="0" w:line="174"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amending the Plan’s definition of change of control so that it may not be made less restrictive via an award agreement under the Plan;</w:t>
      </w:r>
    </w:p>
    <w:p>
      <w:pPr>
        <w:spacing w:after="0" w:line="194" w:lineRule="exact"/>
        <w:rPr>
          <w:rFonts w:ascii="Arial" w:cs="Arial" w:eastAsia="Arial" w:hAnsi="Arial"/>
          <w:sz w:val="16"/>
          <w:szCs w:val="16"/>
          <w:color w:val="CE0D41"/>
        </w:rPr>
      </w:pPr>
    </w:p>
    <w:p>
      <w:pPr>
        <w:ind w:left="180" w:right="220" w:hanging="172"/>
        <w:spacing w:after="0" w:line="260" w:lineRule="auto"/>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reducing the number of incumbent board members (currently “at least two-thirds”) that would trigger the change of control provision to “at least a majority,” which we believe is the more shareholder-favorable approach;</w:t>
      </w:r>
    </w:p>
    <w:p>
      <w:pPr>
        <w:spacing w:after="0" w:line="168" w:lineRule="exact"/>
        <w:rPr>
          <w:rFonts w:ascii="Arial" w:cs="Arial" w:eastAsia="Arial" w:hAnsi="Arial"/>
          <w:sz w:val="16"/>
          <w:szCs w:val="16"/>
          <w:color w:val="CE0D41"/>
        </w:rPr>
      </w:pPr>
    </w:p>
    <w:p>
      <w:pPr>
        <w:ind w:left="180" w:right="20" w:hanging="172"/>
        <w:spacing w:after="0" w:line="260" w:lineRule="auto"/>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eliminating an inconsistent provision relating to the granting of awards, or their recipients, by the Compensation Committee that was originally included which we were a Swiss company; and</w:t>
      </w:r>
    </w:p>
    <w:p>
      <w:pPr>
        <w:spacing w:after="0" w:line="152" w:lineRule="exact"/>
        <w:rPr>
          <w:rFonts w:ascii="Arial" w:cs="Arial" w:eastAsia="Arial" w:hAnsi="Arial"/>
          <w:sz w:val="16"/>
          <w:szCs w:val="16"/>
          <w:color w:val="CE0D41"/>
        </w:rPr>
      </w:pPr>
    </w:p>
    <w:p>
      <w:pPr>
        <w:ind w:left="180" w:hanging="172"/>
        <w:spacing w:after="0"/>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prohibiting the cancellation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“buying out”) of “underwater” stock options or SARs in exchange for cash or any other award without shareholder approval.</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a simple majority of the votes cast “For” or “Against,” in person or by proxy, provided a quorum is present) is required to approve this proposal under Irish law. If you properly give a proxy but do not indicate how you wish to vote, the persons named on the proxy card will vote for the proposal. Under Irish law abstentions and “broker non-votes” will not affect the voting results. However, under NYSE rules, abstentions will be considered votes cast. As a result, abstentions will have the effect of a vote against this proposal under NYSE rules. “Broker non-votes” will not affect the voting results for this proposal under Irish law or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72" w:gutter="0" w:footer="0" w:header="0"/>
        </w:sectPr>
      </w:pPr>
    </w:p>
    <w:bookmarkStart w:id="84" w:name="page85"/>
    <w:bookmarkEnd w:id="8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the amendment is not approved by our shareholders, we will continue to make awards under the Plan and our Weatherford International plc 2006 Omnibus Incentive Plan, as amended and restated (the “2006 Plan”), however, the awards will not be qualified performance-based compensation under Code Section 162(m). In the event that we have insufficient shares available for issuance under the Plan and the 2006 Plan to cover our projected grants beyond 2015, we may be required to significantly increase the cash component of our executive compensation program in order to remain competitive and adequately compensate our employees. Replacing equity awards with cash awards may not align the interests of our executive officers with the interests of our shareholders and would increase our cash compensation expense and necessitate the use of cash that we could otherwise utilize in our operations. In no event does this proposal limit Weatherford’s right to pay compensation that does not qualify as performance-based compensation for purposes of Code Section 162(m).</w:t>
      </w:r>
    </w:p>
    <w:p>
      <w:pPr>
        <w:spacing w:after="0" w:line="3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Following is a summary of the material terms of the Plan and of certain tax effects of participation in the Plan. The summary does not purport to be complete and is subject to, and qualified in its entirety by reference to, the complete text of the Plan, and the proposed amendment. The Plan and proposed amendment are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To the extent that there is a conflict between this summary and the Plan, the terms of the Plan will govern.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Plan Provisions</w:t>
      </w:r>
    </w:p>
    <w:p>
      <w:pPr>
        <w:spacing w:after="0" w:line="2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noted above, the Plan includes several provisions designed to protect shareholders’ interests and to reflect our compensation philosophy and developments we have made in improving our compensation practices, including:</w:t>
      </w:r>
    </w:p>
    <w:p>
      <w:pPr>
        <w:spacing w:after="0" w:line="149" w:lineRule="exact"/>
        <w:rPr>
          <w:sz w:val="20"/>
          <w:szCs w:val="20"/>
          <w:color w:val="auto"/>
        </w:rPr>
      </w:pPr>
    </w:p>
    <w:p>
      <w:pPr>
        <w:ind w:left="280" w:right="12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Broad-Based Grants: </w:t>
      </w:r>
      <w:r>
        <w:rPr>
          <w:rFonts w:ascii="Arial" w:cs="Arial" w:eastAsia="Arial" w:hAnsi="Arial"/>
          <w:sz w:val="16"/>
          <w:szCs w:val="16"/>
          <w:color w:val="auto"/>
        </w:rPr>
        <w:t>The plan permits us to grant equity incentives to a broad group of employees, not only to executives and directors. We believe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broad-based approach provides a variety of benefits, including by aligning employees’ interests with those of our shareholders.</w:t>
      </w:r>
    </w:p>
    <w:p>
      <w:pPr>
        <w:spacing w:after="0" w:line="128" w:lineRule="exact"/>
        <w:rPr>
          <w:rFonts w:ascii="Arial" w:cs="Arial" w:eastAsia="Arial" w:hAnsi="Arial"/>
          <w:sz w:val="16"/>
          <w:szCs w:val="16"/>
          <w:color w:val="CE0D41"/>
        </w:rPr>
      </w:pPr>
    </w:p>
    <w:p>
      <w:pPr>
        <w:ind w:left="280" w:right="32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No Stock Option Repricing/Exchange: </w:t>
      </w:r>
      <w:r>
        <w:rPr>
          <w:rFonts w:ascii="Arial" w:cs="Arial" w:eastAsia="Arial" w:hAnsi="Arial"/>
          <w:sz w:val="16"/>
          <w:szCs w:val="16"/>
          <w:color w:val="auto"/>
        </w:rPr>
        <w:t>The Plan does not permit the repricing of options or SARs or the exchange of underwater options or SARs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other awards without shareholder approval.</w:t>
      </w:r>
    </w:p>
    <w:p>
      <w:pPr>
        <w:spacing w:after="0" w:line="128" w:lineRule="exact"/>
        <w:rPr>
          <w:rFonts w:ascii="Arial" w:cs="Arial" w:eastAsia="Arial" w:hAnsi="Arial"/>
          <w:sz w:val="16"/>
          <w:szCs w:val="16"/>
          <w:color w:val="CE0D41"/>
        </w:rPr>
      </w:pPr>
    </w:p>
    <w:p>
      <w:pPr>
        <w:ind w:left="280" w:hanging="272"/>
        <w:spacing w:after="0"/>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No Discounted Awards: </w:t>
      </w:r>
      <w:r>
        <w:rPr>
          <w:rFonts w:ascii="Arial" w:cs="Arial" w:eastAsia="Arial" w:hAnsi="Arial"/>
          <w:sz w:val="16"/>
          <w:szCs w:val="16"/>
          <w:color w:val="auto"/>
        </w:rPr>
        <w:t>Awards having an exercise price will not be granted with an exercise price less than the fair market value on the date of grant.</w:t>
      </w:r>
    </w:p>
    <w:p>
      <w:pPr>
        <w:spacing w:after="0" w:line="194" w:lineRule="exact"/>
        <w:rPr>
          <w:rFonts w:ascii="Arial" w:cs="Arial" w:eastAsia="Arial" w:hAnsi="Arial"/>
          <w:sz w:val="16"/>
          <w:szCs w:val="16"/>
          <w:color w:val="CE0D41"/>
        </w:rPr>
      </w:pPr>
    </w:p>
    <w:p>
      <w:pPr>
        <w:ind w:left="280" w:right="32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No “Evergreen” Provision: </w:t>
      </w:r>
      <w:r>
        <w:rPr>
          <w:rFonts w:ascii="Arial" w:cs="Arial" w:eastAsia="Arial" w:hAnsi="Arial"/>
          <w:sz w:val="16"/>
          <w:szCs w:val="16"/>
          <w:color w:val="auto"/>
        </w:rPr>
        <w:t>The Plan fixes the number of shares available for future grants (43,144,000, if the proposed amendment is approved)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provide an annual or automatic increase in the number of shares available for future grants.</w:t>
      </w:r>
    </w:p>
    <w:p>
      <w:pPr>
        <w:spacing w:after="0" w:line="128" w:lineRule="exact"/>
        <w:rPr>
          <w:rFonts w:ascii="Arial" w:cs="Arial" w:eastAsia="Arial" w:hAnsi="Arial"/>
          <w:sz w:val="16"/>
          <w:szCs w:val="16"/>
          <w:color w:val="CE0D41"/>
        </w:rPr>
      </w:pPr>
    </w:p>
    <w:p>
      <w:pPr>
        <w:ind w:left="280" w:right="80" w:hanging="272"/>
        <w:spacing w:after="0" w:line="259"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Strict Change of Control Definition: </w:t>
      </w:r>
      <w:r>
        <w:rPr>
          <w:rFonts w:ascii="Arial" w:cs="Arial" w:eastAsia="Arial" w:hAnsi="Arial"/>
          <w:sz w:val="16"/>
          <w:szCs w:val="16"/>
          <w:color w:val="auto"/>
        </w:rPr>
        <w:t>No change of control would be triggered by mere shareholder approval of a business combination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transaction, but only upon consummation of such a transaction. In addition, if the amendment is approved, no change of control would be triggered unless the incumbent members of the Board fail to constitute at least a majority of the Board (excluding the election of any such individual whose nomination or election was approved by two-thirds of the then incumbent Board).</w:t>
      </w:r>
    </w:p>
    <w:p>
      <w:pPr>
        <w:spacing w:after="0" w:line="151" w:lineRule="exact"/>
        <w:rPr>
          <w:rFonts w:ascii="Arial" w:cs="Arial" w:eastAsia="Arial" w:hAnsi="Arial"/>
          <w:sz w:val="16"/>
          <w:szCs w:val="16"/>
          <w:color w:val="CE0D41"/>
        </w:rPr>
      </w:pPr>
    </w:p>
    <w:p>
      <w:pPr>
        <w:ind w:left="280" w:right="100" w:hanging="272"/>
        <w:spacing w:after="0" w:line="26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Limitation on Reuse of Shares: </w:t>
      </w:r>
      <w:r>
        <w:rPr>
          <w:rFonts w:ascii="Arial" w:cs="Arial" w:eastAsia="Arial" w:hAnsi="Arial"/>
          <w:sz w:val="16"/>
          <w:szCs w:val="16"/>
          <w:color w:val="auto"/>
        </w:rPr>
        <w:t>The Plan does not allow shares to be added back to the aggregate number of shares that may be issued under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such shares were withheld, deducted or delivered in connection with required withholding tax payments, the exercise price of an option, the payment of the purchase price for restricted share awards, RSUs, performance share awards and PUs or the settlement of SARs.</w:t>
      </w:r>
    </w:p>
    <w:p>
      <w:pPr>
        <w:spacing w:after="0" w:line="144" w:lineRule="exact"/>
        <w:rPr>
          <w:rFonts w:ascii="Arial" w:cs="Arial" w:eastAsia="Arial" w:hAnsi="Arial"/>
          <w:sz w:val="16"/>
          <w:szCs w:val="16"/>
          <w:color w:val="CE0D41"/>
        </w:rPr>
      </w:pPr>
    </w:p>
    <w:p>
      <w:pPr>
        <w:ind w:left="280" w:right="40" w:hanging="272"/>
        <w:spacing w:after="0" w:line="259"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Minimum Vesting and Performance Period: </w:t>
      </w:r>
      <w:r>
        <w:rPr>
          <w:rFonts w:ascii="Arial" w:cs="Arial" w:eastAsia="Arial" w:hAnsi="Arial"/>
          <w:sz w:val="16"/>
          <w:szCs w:val="16"/>
          <w:color w:val="auto"/>
        </w:rPr>
        <w:t>Restricted share awards, RSUs and other share-based awards that are not subject to performance goals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minimum vesting period of three years, except (i) on certain terminations of employment, (ii) in connection with restricted share awards made in lieu of salary, cash bonuses or a non-employee director’s annual compensation or (iii) upon a change of control. Performance share awards and PUs that are subject to performance goals have a minimum performance period of one year, except on certain terminations of employment or upon a change of control.</w:t>
      </w:r>
    </w:p>
    <w:p>
      <w:pPr>
        <w:spacing w:after="0" w:line="151" w:lineRule="exact"/>
        <w:rPr>
          <w:rFonts w:ascii="Arial" w:cs="Arial" w:eastAsia="Arial" w:hAnsi="Arial"/>
          <w:sz w:val="16"/>
          <w:szCs w:val="16"/>
          <w:color w:val="CE0D41"/>
        </w:rPr>
      </w:pPr>
    </w:p>
    <w:p>
      <w:pPr>
        <w:ind w:left="280" w:hanging="272"/>
        <w:spacing w:after="0" w:line="26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Limit on Awards without Restriction: </w:t>
      </w:r>
      <w:r>
        <w:rPr>
          <w:rFonts w:ascii="Arial" w:cs="Arial" w:eastAsia="Arial" w:hAnsi="Arial"/>
          <w:sz w:val="16"/>
          <w:szCs w:val="16"/>
          <w:color w:val="auto"/>
        </w:rPr>
        <w:t>Restricted share awards, RSUs and other share-based awards that are not subject to minimum vesting periods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share awards and PUs that are not subject to minimum performance periods are limited to 5% of the total number of shares that may be issued or delivered under the Plan.</w:t>
      </w:r>
    </w:p>
    <w:p>
      <w:pPr>
        <w:spacing w:after="0" w:line="144" w:lineRule="exact"/>
        <w:rPr>
          <w:rFonts w:ascii="Arial" w:cs="Arial" w:eastAsia="Arial" w:hAnsi="Arial"/>
          <w:sz w:val="16"/>
          <w:szCs w:val="16"/>
          <w:color w:val="CE0D41"/>
        </w:rPr>
      </w:pPr>
    </w:p>
    <w:p>
      <w:pPr>
        <w:ind w:left="280" w:right="64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Independent Committee Administration: </w:t>
      </w:r>
      <w:r>
        <w:rPr>
          <w:rFonts w:ascii="Arial" w:cs="Arial" w:eastAsia="Arial" w:hAnsi="Arial"/>
          <w:sz w:val="16"/>
          <w:szCs w:val="16"/>
          <w:color w:val="auto"/>
        </w:rPr>
        <w:t>The Plan is administered by our Compensation Committee, which is composed entirely of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also have in place various policies that help align the interests of our directors and officers with those of our shareholders, including our share ownership guidelines for our NEOs, our policy prohibiting Section 280G or Section 409A tax gross-ups and our clawback policy that allows us to recover performance based compensation. These policies are described in the “Compensation Discussion and Analysis” beginning on page 26.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20"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aggregate number of shares available for grant under the Plan, as proposed to be amended, will be 43,144,000 million. Each share that is subject to an award counts as one share against the aggregate number. The maximum number of shares subject to an option or share appreciation rights that may be granted under the Plan to an employee of Weatherford or any of its affiliates during any fiscal year is two million.</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Generally, if an award granted under the Plan is forfeited or cancelled for any reason without the payment of consideration, the shares allocable to the forfeited or cancelled portion of the award are added back to the aggregate available for grant under the Plan and may again be subject to an award granted under the Plan. If shares are delivered or tendered to Weatherford for repurchase to satisfy the exercise price of any option award, those shares will not be added back to the aggregate number of shares available for grant under the Plan. If any shares are withheld from issuance to satisfy tax obligations associated with any award, those shares will count against the aggregate number of shares available for grant under the Plan.</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(or other committee of the Board of Directors, as provided in the Plan) (“as used in this section, the Committee”) will administer the Plan and has the exclusive power, authority and discretion to interpret the terms of the Plan and correct any defect or supply any omission or reconcile any inconsistency. Any employee, non-employee director or other individual service providers (including consultants) of Weatherford or one of its affiliates is eligible for awards under the Plan. The Plan provides for awards of options, SARs, restricted shares, restricted share units, performance share awards, performance unit awards, other share-based awards and cash-based awards. An executive officer who, at the time of any grant of an award, is considered to be a “named executive officer” under the Exchange Act, may only be granted options, SARs, performance share awards, performance unit awards and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85" w:name="page86"/>
    <w:bookmarkEnd w:id="85"/>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currently have over 50,000 employees and nine non-employee directors. Any discretionary awards to non-employee directors must be approved by the Committee. The Committee may from time to time authorize our chief executive officer to grant awards to employees who are not, or prospective employees who will not be, executive officers or directors of the Company.</w:t>
      </w:r>
    </w:p>
    <w:p>
      <w:pPr>
        <w:spacing w:after="0" w:line="17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Board of Directors may amend the terms of the Plan at any time, subject to the shareholder approval requirements of the NYSE and other rules and regulations applicable to Weatherford.</w:t>
      </w:r>
    </w:p>
    <w:p>
      <w:pPr>
        <w:spacing w:after="0" w:line="169"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Awards granted under the Plan are generally non-transferable by the holder other than by will or under the laws of descent and distribution, and awards are generally exercisable during the holder’s lifetime only by the holder.</w:t>
      </w:r>
    </w:p>
    <w:p>
      <w:pPr>
        <w:spacing w:after="0" w:line="16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case of certain corporate acquisitions by Weatherford, awards may be granted under the Plan in substitution for share options or other awards held by employees or other service providers of other entities who are about to become employees or other service providers of Weatherford or its affiliates. The terms and conditions of such substitute awards may vary from the terms and conditions set forth in the Plan to such extent as the Committee may deem appropriate to conform to the provisions of the award for which the substitution is being granted.</w:t>
      </w:r>
    </w:p>
    <w:p>
      <w:pPr>
        <w:spacing w:after="0" w:line="17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Committee may establish certain performance goals applicable to certain awards, including performance share awards and performance unit awards granted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Plan will continue indefinitely until it is terminated pursuant to its terms.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Awards and Performance Unit Awards</w:t>
      </w:r>
    </w:p>
    <w:p>
      <w:pPr>
        <w:spacing w:after="0" w:line="2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Committee determines the material terms of performance awards, including the amount of the award, any vesting or transferability restrictions, and the performance period over which the performance goal of such award will be measured, subject to the terms of the Plan. The maximum number of shares that may be granted as subject to a performance share award or performance unit award denominated in shares is two million shares per fiscal year for any holder. The maximum amount payable to any holder in respect of a performance unit award that is not denominated in shares with respect to any fiscal year in the performance period is $25 million per fiscal year.</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Committee may, in its sole discretion, grant performance share awards and performance unit awards that are either intended to qualify as “performance-based compensation,” within the meaning of Section 162(m) of the Code, or are not intended to so qualify. To the extent that a performance share award or performance unit award is intended to qualify as “performance-based compensation,” within the meaning of Section 162(m) of the Code, such award must be based on the attainment of one or more performance goals. A performance goal must be objective such that a third party having knowledge of the relevant facts could, at the end of the measurement period, determine whether the goal has been met in fact. Such a performance goal may be based on one or more business criteria that apply to the holder and may include business criteria for one or more business units of Weatherford, or Weatherford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will be calculated in accordance with (i) amounts reflected in Weatherford’s financial statements,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Weatherford’s accounting policies and practices in effect on the date the performance goal is established. Prior to the payment of any compensation based on the achievement of performance goals, the Committee must certify in writing that applicable performance goals and any of the material terms thereof were, in fact, satisfied.</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Performance share awards and performance unit awards that are not intended to be “performance-based compensation,” within the meaning of Section 162(m) of the Code, may be based on other quantifiable business criteria.</w:t>
      </w:r>
    </w:p>
    <w:p>
      <w:pPr>
        <w:spacing w:after="0" w:line="169"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All performance share awards and performance unit awards are generally subject to a minimum performance period of not less than one year, except for performance share awards and performance unit awards made in lieu of salary, cash bonuses or a non-employee director’s annual compensation. The Committee may also accelerate the vesting of performance share awards and performance unit awards in certain circumstances.</w:t>
      </w:r>
    </w:p>
    <w:p>
      <w:pPr>
        <w:spacing w:after="0" w:line="17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Performance unit awards are payable in cash or shares, or a combination of cash and shares, as specified in the applicable award agreement. Any payment under a performance unit award will be made either (i) by a date that is no later than two and one-half months after the end of the fiscal year in which the performance unit award payment is no longer subject to a “substantial risk of forfeiture” (as that term is defined in the Plan) or (ii) at a time that is permissible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6" w:name="page87"/>
    <w:bookmarkEnd w:id="8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Each holder of a performance share award will have all the rights of a shareholder with respect to the shares issued to the holder pursuant to the award during any period in which such issued shares are subject to forfeiture (including the right of Weatherford to repurchase such shares) and restrictions on transfer. These rights include the right to vote such shares. Holders of performance unit awards do not have any rights of a shareholder.</w:t>
      </w:r>
    </w:p>
    <w:p>
      <w:pPr>
        <w:spacing w:after="0" w:line="17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Any performance goal for a particular performance share award or performance unit award must be established by the Committee prior to the earlier of (i) 90 days after the commencement of the period of service to which such performance goal relates or (ii) the lapse of 25% of the period of service (the “Performance Goal Establishment Date”). In any event, the performance goal must be established while the outcome is substantially uncertain.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Other terms and conditions applicable to performance awards may be determined by the Committee at the time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Committee may grant restricted shares to any eligible persons selected by it. The amount of an award of restricted shares, and any vesting or transferability provisions relating to such an award, are determined by the Committee in its sole discretion, subject to the terms of the Plan. Restricted share awards are generally subject to a minimum vesting period of not less than three years, except for restricted share awards made in lieu of salary, cash bonuses or a non-employee director’s annual compensation. The Committee may also accelerate the vesting of restricted share awards in certain circumstances.</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Each recipient of a restricted share award will have the rights of a shareholder of Weatherford with respect to the restricted shares included in the restricted share award during any period of restriction established for the restricted share award. Dividends paid with respect to restricted shares (other than dividends paid by means of shares or rights to acquire shares) will be paid to the holder of restricted shares currently. Dividends paid in shares or rights to acquire shares will be added to and become a part of the holder’s restricted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Unit Awards</w:t>
      </w:r>
    </w:p>
    <w:p>
      <w:pPr>
        <w:spacing w:after="0" w:line="20"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Committee determines the material terms of restricted share unit awards, including the vesting schedule (subject to the terms of the Plan) and any transferability restrictions or other conditions applicable to the award. Restricted share unit awards are generally subject to a minimum vesting period of not less than three years, except for restricted share unit awards made in lieu of salary, cash bonuses or a non-employee director’s annual compensation. The Committee may also accelerate the vesting of restricted share unit awards in certain circumstances.</w:t>
      </w:r>
    </w:p>
    <w:p>
      <w:pPr>
        <w:spacing w:after="0" w:line="176"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A restricted share unit award is similar in nature to a restricted share award except that in the case of a restricted share unit, no shares are actually issued or transferred to the holder until a later date as specified in the applicable award agreement. As a result, a recipient of a restricted share unit award will not have the rights of a shareholder of Weatherford until such date as the shares are issued or transferred to the recipient. Each restricted share unit will have a value equal to the fair market value of a share.</w:t>
      </w:r>
    </w:p>
    <w:p>
      <w:pPr>
        <w:spacing w:after="0" w:line="1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Payment under a restricted share unit award will be made in either cash and/or shares, as specified in the applicable award agreement. Any payment under a restricted share unit award will be made either (i) by a date that is no later than two and one-half months after the end of the fiscal year in which the restricted share unit is no longer subject to a “substantial risk of forfeiture” (as that term is defined in the Plan) or (ii) at a time that is permissible under Section 409A of the Code.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its discretion, the Committee may specify that the holder of a restricted share unit award is entitled to the payment of dividend equivalents under the award.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terms and conditions applicable to restricted share units may be determined by the Committee at the time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0"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For options granted under the Plan, the Committee will specify the option price, size and term (which cannot exceed 10 years), and will further determine the option’s vesting schedule and any exercise restrictions. Other terms and conditions applicable to options may be determined by the Committee at the time of grant.</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exercise price for options may be paid (i) by cash, certified check, bank draft or money order, (ii) by means of a cashless exercise through a registered broker-dealer (subject to certain pre-approval requirements), or (iii) in any other form of payment that is acceptable to the Committee. The Committee may permit a holder to pay the option price and any applicable tax withholding by authorizing a third-party broker to sell all or a portion of the shares acquired upon exercise of the option and remit to Weatherford a sufficient portion of the sale proceeds to pay the option price and applicable tax withholding.</w:t>
      </w:r>
    </w:p>
    <w:p>
      <w:pPr>
        <w:spacing w:after="0" w:line="176"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All options granted under the Plan are granted with an exercise price equal to or greater than the fair market value of the shares at the time the option is granted. Options may be granted either as incentive stock options (“ISOs”) or non-qualified stock options. The principal difference between ISOs and non-qualified stock options is their tax treatment. See “Federal Income Tax Consequences” below.</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Plan prohibits any repricing of options after their grant, other than in connection with a share split, payment of a share dividend or certain other corporate transactions. The Plan also prohibits the cancellation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“buying out”) of “underwater” stock options in exchange for cash or any other award without shareholder approval.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 options have been granted under the Plan since its inception in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2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Subject to the terms and conditions of the Plan, a SAR provides its holder with the right to receive an amount equal to the excess of (i) the fair market value of one share of Weatherford on the date of exercise of the SAR over (ii) the grant price of the SAR. All SARs granted under the Plan must have a grant price equal to or greater than the fair market value of the shares at the time the SAR is granted.</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Committee may determine the term of any SAR, so long as the term does not exceed 10 years. With respect to exercise of a SAR, the Committee, in its sole discretion, may also impose whatever terms and conditions it deems advisable, including any vesting or transferability provisions. The Committee will also determine the extent to which any holder of a SAR will have the right to exercise the SAR following such holder’s termination of employment or other severance of service with Weatherford.</w:t>
      </w:r>
    </w:p>
    <w:p>
      <w:pPr>
        <w:spacing w:after="0" w:line="17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Upon the exercise of a SAR, a holder will be entitled to receive payment in an amount determined by multiplying (i) the excess of the fair market value of a share on the date of exercise over the grant price of the SAR by (ii) the number of shares with respect to which the SAR is exercised.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079" w:gutter="0" w:footer="0" w:header="0"/>
        </w:sectPr>
      </w:pPr>
    </w:p>
    <w:bookmarkStart w:id="87" w:name="page88"/>
    <w:bookmarkEnd w:id="87"/>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discretion of the Committee, this payment may be in cash, in shares of equivalent value, in some combination thereof, or in any other form that may be approved by the Committee.</w:t>
      </w:r>
    </w:p>
    <w:p>
      <w:pPr>
        <w:spacing w:after="0" w:line="16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 Plan prohibits any re-pricing of SARs after their grant, other than in connection with a share split, payment of a share dividend or certain other corporate transactions. The Plan also prohibits the cancellation (i.e., “buying out”) of “underwater” SARs in exchange for cash or any other award without shareholder approval.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Share-Based Awards</w:t>
      </w:r>
    </w:p>
    <w:p>
      <w:pPr>
        <w:spacing w:after="0" w:line="20"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Committee may also grant other types of equity-based or equity-related awards not otherwise described by the terms and provisions of the Plan in such amounts, and subject to such terms and conditions, as the Committee shall determine. These awards may involve the issuance or transfer of shares to holders, or payment in cash or otherwise of amounts based on the value of our shares, and may include awards designed to comply with or take advantage of the applicable local laws of jurisdictions other than the United States. Other share-based awards granted under the Plan are generally subject to a minimum vesting period of not less than three years, except for such other share-based awards made in lieu of salary, cash bonuses or a non-employee director’s annual compensation. The Committee may also accelerate the vesting of such other share-based awards in certain circumstances.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Each other share-based award will be expressed in terms of our shares or units based on shares, as determined by the Committee. Other terms and conditions applicable to other share-based awards may be determined by the Committee at the time of grant.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Cash-Based Awards</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may grant cash-based awards in such amounts and upon such terms as the Committee may determine. Any payment with respect to a cash-based award will be made in cash. The maximum amount payable to any holder in respect of any cash-based award that is intended to qualify as “performance-based compensation” under Section 162(m) of the Code, when aggregated with such holder’s performance unit awards that are not denominated in shares, if any, with respect to any fiscal year in the performance period, is $25 million per fiscal year. The Committee also may establish performance goals relating to cash-based awards based on the business criteria that apply to performance goals for performance share awards and performance unit awards. If the Committee decides to establish performance goals, the cash-based awards that will be paid out to the holder will depend on the extent to which the performance goals are met.</w:t>
      </w:r>
    </w:p>
    <w:p>
      <w:pPr>
        <w:spacing w:after="0" w:line="18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Committee will determine the extent to which a holder’s rights under a cash-based award will be affected by the holder’s termination of employment or other severance from service with Weatherford. Other terms and conditions applicable to cash-based awards may be determined by the Committee at the time of grant.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Certain Transactions and Change of Control</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Plan provides that appropriate substitutions and adjustments shall be made by the Committee, in its sole discretion, to any outstanding award in case of any change in our issued and outstanding shares by reason of any share dividend or split, reverse split, recapitalization, reorganization, reincorporation, redomestication, merger, amalgamation, consolidation, plan or scheme of arrangement, exchange offer, business combination or similar transaction of Weatherford, or exchange of shares or other corporate exchange, or any distribution to shareholders of shares (including share dividends) other than regular cash dividends, or any transaction similar to the foregoing. For any award granted under the Plan, the Committee may specify the effect of a Change of Control (as defined in the Plan or an award agreement) of Weatherford with respect to that award.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following discussion summarizes certain federal income tax consequences of the issuance and receipt of awards pursuant to the Plan under the law as in effect on the date of this Proxy Statement.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Plan, nor does it address state, local, or non-U.S. taxes. The Plan is not qualified under the provisions of Section 401(a) of the Code, and is not subject to any of the provisions of the Employee Retirement Income Security Act of 1974.</w:t>
      </w:r>
    </w:p>
    <w:p>
      <w:pPr>
        <w:spacing w:after="0" w:line="16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i w:val="1"/>
          <w:iCs w:val="1"/>
          <w:color w:val="auto"/>
        </w:rPr>
        <w:t>Options, SARs, Performance Unit Awards, Restricted Share Unit Awards and Other Share-Based Awards</w:t>
      </w:r>
      <w:r>
        <w:rPr>
          <w:rFonts w:ascii="Arial" w:cs="Arial" w:eastAsia="Arial" w:hAnsi="Arial"/>
          <w:sz w:val="16"/>
          <w:szCs w:val="16"/>
          <w:color w:val="auto"/>
        </w:rPr>
        <w:t>. A participant generally is not required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on the grant of an option, SAR, restricted share unit award, performance unit award or other share-based award. Instead, ordinary income generally is required to be recognized on the date the option (see ISO discussion below) or SAR is exercised, or in the case of restricted share unit awards, performance unit awards or other share-based awards, upon the issuance of shares and/or the payment of cash pursuant to the terms of the award when the award vests. In general, the amount of ordinary income required to be recognized is: (a) in the case of an option, an amount equal to the excess, if any, of the fair market value of the shares on the exercise date over the exercise price; (b) in the case of a SAR, the fair market value of any shares or cash received upon exercise; and (c) in the case of restricted share unit awards, performance unit awards or other share-based awards, the amount of cash and/or the fair market value of any shares received in respect thereof.</w:t>
      </w:r>
    </w:p>
    <w:p>
      <w:pPr>
        <w:spacing w:after="0" w:line="162"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ISOs. </w:t>
      </w:r>
      <w:r>
        <w:rPr>
          <w:rFonts w:ascii="Arial" w:cs="Arial" w:eastAsia="Arial" w:hAnsi="Arial"/>
          <w:sz w:val="16"/>
          <w:szCs w:val="16"/>
          <w:color w:val="auto"/>
        </w:rPr>
        <w:t>When a participant is granted an ISO, or when the participant exercises the ISO, the participant will generally not recognize taxable income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alternative minimum tax).</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If the participant holds the shares for at least two years from the date of grant, and one year from the date of exercise, then any gain or loss will be treated as long-term capital gain or loss. If, however, the shares are disposed of during this period, the option will be treated as a non-qualified stock option, and the participant will recognize ordinary income equal to the lesser of the fair market value of the shares on the exercise date minus the exercise price or the amount realized on disposition minus the exercise price. Any gain in excess of the ordinary income portion will be taxable as long-term or short-term capital gain.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Cash-Based Awards</w:t>
      </w:r>
      <w:r>
        <w:rPr>
          <w:rFonts w:ascii="Arial" w:cs="Arial" w:eastAsia="Arial" w:hAnsi="Arial"/>
          <w:sz w:val="16"/>
          <w:szCs w:val="16"/>
          <w:color w:val="auto"/>
        </w:rPr>
        <w:t>. Upon payment of a cash-based award, a participant is required to recognize ordinary income in the amount of the award.</w:t>
      </w:r>
    </w:p>
    <w:p>
      <w:pPr>
        <w:spacing w:after="0" w:line="19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Restricted Shares and Performance Share Awards</w:t>
      </w:r>
      <w:r>
        <w:rPr>
          <w:rFonts w:ascii="Arial" w:cs="Arial" w:eastAsia="Arial" w:hAnsi="Arial"/>
          <w:sz w:val="16"/>
          <w:szCs w:val="16"/>
          <w:color w:val="auto"/>
        </w:rPr>
        <w:t>. Unless a participant who receives an award of restricted shares or an award of performance shares makes</w:t>
      </w:r>
      <w:r>
        <w:rPr>
          <w:rFonts w:ascii="Arial" w:cs="Arial" w:eastAsia="Arial" w:hAnsi="Arial"/>
          <w:sz w:val="16"/>
          <w:szCs w:val="16"/>
          <w:i w:val="1"/>
          <w:iCs w:val="1"/>
          <w:color w:val="auto"/>
        </w:rPr>
        <w:t xml:space="preserve"> </w:t>
      </w:r>
      <w:r>
        <w:rPr>
          <w:rFonts w:ascii="Arial" w:cs="Arial" w:eastAsia="Arial" w:hAnsi="Arial"/>
          <w:sz w:val="16"/>
          <w:szCs w:val="16"/>
          <w:color w:val="auto"/>
        </w:rPr>
        <w:t>an election under Section 83(b) of the Code as described below, the participant generally is not required to recognize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1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income on the award of restricted shares or performance shares. Instead, on the date the shares vest (</w:t>
      </w:r>
      <w:r>
        <w:rPr>
          <w:rFonts w:ascii="Arial" w:cs="Arial" w:eastAsia="Arial" w:hAnsi="Arial"/>
          <w:sz w:val="16"/>
          <w:szCs w:val="16"/>
          <w:i w:val="1"/>
          <w:iCs w:val="1"/>
          <w:color w:val="auto"/>
        </w:rPr>
        <w:t>i.e.</w:t>
      </w:r>
      <w:r>
        <w:rPr>
          <w:rFonts w:ascii="Arial" w:cs="Arial" w:eastAsia="Arial" w:hAnsi="Arial"/>
          <w:sz w:val="16"/>
          <w:szCs w:val="16"/>
          <w:color w:val="auto"/>
        </w:rPr>
        <w:t>, become transferable and no longer subject to forfeiture), the participant will be required to recognize ordinary income in an amount equal to the excess, if any, of the fair market value of the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a loss can only be recognized up to the amount the participant paid, if any, for the shares.</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Gain or Loss on Sale or Exchange of Shares </w:t>
      </w:r>
      <w:r>
        <w:rPr>
          <w:rFonts w:ascii="Arial" w:cs="Arial" w:eastAsia="Arial" w:hAnsi="Arial"/>
          <w:sz w:val="16"/>
          <w:szCs w:val="16"/>
          <w:color w:val="auto"/>
        </w:rPr>
        <w:t>. In general, gain or loss from the sale or exchange of shares granted or awarded under the Plan will be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 or loss, provided that the shares are held as capital assets at the time of the sale or exchange.</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Deductibility by Weatherford</w:t>
      </w:r>
      <w:r>
        <w:rPr>
          <w:rFonts w:ascii="Arial" w:cs="Arial" w:eastAsia="Arial" w:hAnsi="Arial"/>
          <w:sz w:val="16"/>
          <w:szCs w:val="16"/>
          <w:color w:val="auto"/>
        </w:rPr>
        <w:t>. To the extent that a participant recognizes ordinary income in the circumstances described above, Weatherford or the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“Performance Based Compensation” and “Parachute Payments” below).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Based Compensation</w:t>
      </w:r>
      <w:r>
        <w:rPr>
          <w:rFonts w:ascii="Arial" w:cs="Arial" w:eastAsia="Arial" w:hAnsi="Arial"/>
          <w:sz w:val="16"/>
          <w:szCs w:val="16"/>
          <w:color w:val="auto"/>
        </w:rPr>
        <w:t>. With certain exceptions, Code Section 162(m) limits our U.S. corporate tax deduction for compensation in excess of</w:t>
      </w:r>
    </w:p>
    <w:p>
      <w:pPr>
        <w:spacing w:after="0" w:line="2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$1,000,000 paid to our CEO and three other highest-paid executive officers (other than the principal financial officer). Compensation paid to these “covered employees” is not subject to the deduction limitation if it is considered “qualified performance-based compensation” within the meaning of Code Section 162(m). By approving the proposed amendment, shareholders also will be approving the eligibility of executive officers and others to participate in the Plan, the per-person limitations, and the general business criteria on which performance objectives for performance-based awards under the Plan may be based. The Plan imposes per-person limitations, as described above. If shareholders approve the amendment, we intend that performance compensation awards (intended to be treated as qualified performance-based compensation as defined in Code Section 162(m)) granted to covered employees under the Plan will satisfy the requirements of qualified performance-based compensation under Code Section 162(m) in which case we will be entitled to a U.S. corporate tax deduction with respect to the payment of these awards. However, with respect to awards that are not intended to be treated as qualified performance-based compensation as defined in the Code, the deduction that we might otherwise receive with respect to awards to covered employees may be disallowed. As a multi-national Irish company, this U.S. corporate tax deduction limitation may have a reduced impact on the Company.</w:t>
      </w:r>
    </w:p>
    <w:p>
      <w:pPr>
        <w:spacing w:after="0" w:line="163"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i w:val="1"/>
          <w:iCs w:val="1"/>
          <w:color w:val="auto"/>
        </w:rPr>
        <w:t>Parachute Payments</w:t>
      </w:r>
      <w:r>
        <w:rPr>
          <w:rFonts w:ascii="Arial" w:cs="Arial" w:eastAsia="Arial" w:hAnsi="Arial"/>
          <w:sz w:val="16"/>
          <w:szCs w:val="16"/>
          <w:color w:val="auto"/>
        </w:rPr>
        <w:t>. Under the so-called “golden parachute” provisions of the Code, the accelerated vesting of options and benefits paid under other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Awards under the Plan may be subject to tax withholding. When an award results in income subject to withholding, Weatherford may require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 remit the withholding amount to Weatherford or cause our shares to be withheld from issuance or sold in order to satisfy the tax withholding obligations.</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Section 409A of the Code applies to compensation plans providing deferred compensation to employees, directors and consultants,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potentially could apply to the different awards available under the Plan. Generally, to the extent that deferrals of these awards fail to meet certain requirements under Section 409A of the Code, such awards will be subject to immediate taxation and tax penalties in the year they vest unless the requirements of Section 409A of the Code are satisfied. It is the intent of Weatherford that awards under the Plan will be structured and administered in a manner that either complies with or is exempt from the requirements of Section 409A of the 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As of the date of this Proxy Statement, no awards have been made with respect to the additional shares proposed to be approved for future grants of awards under the Plan. Future benefits under the Plan are not yet determinable. Any grants of awards under the Plan, and the terms and conditions of those awards, will be made in the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9" w:name="page90"/>
    <w:bookmarkEnd w:id="89"/>
    <w:p>
      <w:pPr>
        <w:jc w:val="both"/>
        <w:ind w:right="300"/>
        <w:spacing w:after="0" w:line="262" w:lineRule="auto"/>
        <w:rPr>
          <w:sz w:val="20"/>
          <w:szCs w:val="20"/>
          <w:color w:val="auto"/>
        </w:rPr>
      </w:pPr>
      <w:r>
        <w:rPr>
          <w:rFonts w:ascii="Arial" w:cs="Arial" w:eastAsia="Arial" w:hAnsi="Arial"/>
          <w:sz w:val="64"/>
          <w:szCs w:val="64"/>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5 – AUTHORIZATION TO HOLD 2016 ANNUAL GENERAL MEETING OUTSIDE OF IRELAND</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CE0E41"/>
        </w:rPr>
        <w:t>The Board of Directors recommends that you vote “FOR” this proposal.</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Section 140 of the Irish Companies Act, 1963, and in accordance with Article 48 of the Company’s Articles of Association, the shareholders of the Company may authorize the holding of any annual general meeting of Shareholders at a location outside of Ireland. The Board may determine to hold the 2016 Annual General Meeting outside of Ireland, and is therefore asking our shareholders to authorize holding the 2016 Annual General Meeting at a location outside of Ireland.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resolution in respect of Proposal 5 is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Annual General Meeting of Shareholders for 2016 may be held at such place outside Ireland as may be determined by the Directors.”</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a simple majority of the votes cast “For” or “Against,” in person or by proxy, provided a quorum is present) is required to approve this proposal. If you properly give a proxy but do not indicate how you wish to vote, the persons named on the proxy card will vote for the proposal.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90" w:name="page91"/>
    <w:bookmarkEnd w:id="90"/>
    <w:p>
      <w:pPr>
        <w:spacing w:after="0"/>
        <w:rPr>
          <w:sz w:val="20"/>
          <w:szCs w:val="20"/>
          <w:color w:val="auto"/>
        </w:rPr>
      </w:pPr>
      <w:r>
        <w:rPr>
          <w:rFonts w:ascii="Arial" w:cs="Arial" w:eastAsia="Arial" w:hAnsi="Arial"/>
          <w:sz w:val="65"/>
          <w:szCs w:val="65"/>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40"/>
        <w:spacing w:after="0" w:line="281" w:lineRule="auto"/>
        <w:rPr>
          <w:sz w:val="20"/>
          <w:szCs w:val="20"/>
          <w:color w:val="auto"/>
        </w:rPr>
      </w:pPr>
      <w:r>
        <w:rPr>
          <w:rFonts w:ascii="Arial" w:cs="Arial" w:eastAsia="Arial" w:hAnsi="Arial"/>
          <w:sz w:val="43"/>
          <w:szCs w:val="43"/>
          <w:b w:val="1"/>
          <w:bCs w:val="1"/>
          <w:color w:val="666666"/>
        </w:rPr>
        <w:t>SHARES OWNED BY DIRECTORS AND EXECUTIVE OFFICERS</w:t>
      </w:r>
    </w:p>
    <w:p>
      <w:pPr>
        <w:spacing w:after="0" w:line="207"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This table shows the number and percentage of ordinary shares beneficially owned by each of our directors, each of the current and former executive officers named in the Summary Compensation Table that appears under “Executive Compensation Tables” in this Proxy Statement and all of our directors and current executive officers as a group. Share ownership information of our directors and current executive officers is as of April 10, 2015. Each person has sole voting and investment power for the shares shown below, unless otherwise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Amount and Nature of Shares Beneficially Owned</w:t>
            </w:r>
          </w:p>
        </w:tc>
      </w:tr>
      <w:tr>
        <w:trPr>
          <w:trHeight w:val="184"/>
        </w:trPr>
        <w:tc>
          <w:tcPr>
            <w:tcW w:w="3540" w:type="dxa"/>
            <w:vAlign w:val="bottom"/>
          </w:tcPr>
          <w:p>
            <w:pPr>
              <w:spacing w:after="0"/>
              <w:rPr>
                <w:sz w:val="16"/>
                <w:szCs w:val="16"/>
                <w:color w:val="auto"/>
              </w:rPr>
            </w:pP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Number of Shares</w:t>
            </w:r>
          </w:p>
        </w:tc>
        <w:tc>
          <w:tcPr>
            <w:tcW w:w="1920" w:type="dxa"/>
            <w:vAlign w:val="bottom"/>
          </w:tcPr>
          <w:p>
            <w:pPr>
              <w:spacing w:after="0"/>
              <w:rPr>
                <w:sz w:val="16"/>
                <w:szCs w:val="16"/>
                <w:color w:val="auto"/>
              </w:rPr>
            </w:pP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Total Shares</w:t>
            </w:r>
          </w:p>
        </w:tc>
        <w:tc>
          <w:tcPr>
            <w:tcW w:w="1800" w:type="dxa"/>
            <w:vAlign w:val="bottom"/>
          </w:tcPr>
          <w:p>
            <w:pPr>
              <w:jc w:val="right"/>
              <w:spacing w:after="0"/>
              <w:rPr>
                <w:sz w:val="20"/>
                <w:szCs w:val="20"/>
                <w:color w:val="auto"/>
              </w:rPr>
            </w:pPr>
            <w:r>
              <w:rPr>
                <w:rFonts w:ascii="Arial" w:cs="Arial" w:eastAsia="Arial" w:hAnsi="Arial"/>
                <w:sz w:val="16"/>
                <w:szCs w:val="16"/>
                <w:color w:val="auto"/>
              </w:rPr>
              <w:t>Percent of</w:t>
            </w:r>
          </w:p>
        </w:tc>
      </w:tr>
      <w:tr>
        <w:trPr>
          <w:trHeight w:val="19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Owned</w:t>
            </w: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Right to Acquire(1)</w:t>
            </w:r>
          </w:p>
        </w:tc>
        <w:tc>
          <w:tcPr>
            <w:tcW w:w="2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Beneficially Owned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Outstanding Shares</w:t>
            </w: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Mohamed A. Awad</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David J. Butters(2)</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283,442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302,831</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586,273</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Bernard J. Duroc-Danner</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1,261,450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6,040,490</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7,301,940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John D. Gass</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11,700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11,700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Emyr Jones Parry</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46,212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46,212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Francis S. Kalman</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3,200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3,200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William E. Macaulay(3)</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942,890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10,710</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953,600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Dharmesh Mehta</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409,444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3,370</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412,814</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Douglas Mills</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87,454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7,544</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94,998</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Robert K. Moses, Jr.</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609,422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11,441</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620,863</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Guillermo Ortiz</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56,862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56,862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Robert A. Rayne(4)</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284,045</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261,767</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545,812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Krishna Shivram</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160,616</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160,616</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All directors and current executive officers as a</w:t>
            </w:r>
          </w:p>
        </w:tc>
        <w:tc>
          <w:tcPr>
            <w:tcW w:w="2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9"/>
        </w:trPr>
        <w:tc>
          <w:tcPr>
            <w:tcW w:w="3540" w:type="dxa"/>
            <w:vAlign w:val="bottom"/>
          </w:tcPr>
          <w:p>
            <w:pPr>
              <w:ind w:left="180"/>
              <w:spacing w:after="0"/>
              <w:rPr>
                <w:sz w:val="20"/>
                <w:szCs w:val="20"/>
                <w:color w:val="auto"/>
              </w:rPr>
            </w:pPr>
            <w:r>
              <w:rPr>
                <w:rFonts w:ascii="Arial" w:cs="Arial" w:eastAsia="Arial" w:hAnsi="Arial"/>
                <w:sz w:val="16"/>
                <w:szCs w:val="16"/>
                <w:color w:val="auto"/>
              </w:rPr>
              <w:t>group (15 persons)</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4,326,794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6,638,153</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10,964,947</w:t>
            </w: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Nicholas W. Gee(5) (former executive officer)</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355,218</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355,218</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B. Jacobson(6) (former executive officer)</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303,977</w:t>
            </w: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303,977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69" w:lineRule="exact"/>
        <w:rPr>
          <w:sz w:val="20"/>
          <w:szCs w:val="20"/>
          <w:color w:val="auto"/>
        </w:rPr>
      </w:pPr>
    </w:p>
    <w:p>
      <w:pPr>
        <w:ind w:left="280" w:hanging="272"/>
        <w:spacing w:after="0" w:line="245"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share options exercisable through, and restricted share units that vest on or before, June 9, 2015. Also includes ordinary shares that can be acquired as a result of distributions pursuant to our Non-Employee Director Deferred Compensation Plan, or our Executive Deferred Compensation Stock Ownership Plan as applicable, based on the number of units allocated to each participant’s account as of April 10, 2015. In the case of Dr. Duroc-Danner, also includes notional share units representing the right to receive ordinary shares under our discontinued supplemental executive retirement plan. See “Retirement Plans – Discontinued Executive Retirement Plan” in the Compensation Discussion and Analysis section in this Proxy Statement.</w:t>
      </w:r>
    </w:p>
    <w:p>
      <w:pPr>
        <w:spacing w:after="0" w:line="56" w:lineRule="exact"/>
        <w:rPr>
          <w:rFonts w:ascii="Arial" w:cs="Arial" w:eastAsia="Arial" w:hAnsi="Arial"/>
          <w:sz w:val="14"/>
          <w:szCs w:val="14"/>
          <w:color w:val="auto"/>
        </w:rPr>
      </w:pPr>
    </w:p>
    <w:p>
      <w:pPr>
        <w:ind w:left="280" w:hanging="272"/>
        <w:spacing w:after="0"/>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55,088 shares held by Mr. Butters’ wife, over which he has no voting or dispositive power and as to which he disclaims beneficial ownership.</w:t>
      </w:r>
    </w:p>
    <w:p>
      <w:pPr>
        <w:spacing w:after="0" w:line="68" w:lineRule="exact"/>
        <w:rPr>
          <w:rFonts w:ascii="Arial" w:cs="Arial" w:eastAsia="Arial" w:hAnsi="Arial"/>
          <w:sz w:val="14"/>
          <w:szCs w:val="14"/>
          <w:color w:val="auto"/>
        </w:rPr>
      </w:pPr>
    </w:p>
    <w:p>
      <w:pPr>
        <w:ind w:left="280" w:right="46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45" w:lineRule="exact"/>
        <w:rPr>
          <w:rFonts w:ascii="Arial" w:cs="Arial" w:eastAsia="Arial" w:hAnsi="Arial"/>
          <w:sz w:val="14"/>
          <w:szCs w:val="14"/>
          <w:color w:val="auto"/>
        </w:rPr>
      </w:pPr>
    </w:p>
    <w:p>
      <w:pPr>
        <w:ind w:left="280" w:right="40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Excludes 1,845,000 shares beneficially owned by LMS Capital, of which Mr. Rayne serves as a non-executive director, and affiliates of LMS Capital. Mr. Rayne disclaims beneficial ownership of all of the shares beneficially owned by LMS Capital.</w:t>
      </w:r>
    </w:p>
    <w:p>
      <w:pPr>
        <w:spacing w:after="0" w:line="45" w:lineRule="exact"/>
        <w:rPr>
          <w:rFonts w:ascii="Arial" w:cs="Arial" w:eastAsia="Arial" w:hAnsi="Arial"/>
          <w:sz w:val="14"/>
          <w:szCs w:val="14"/>
          <w:color w:val="auto"/>
        </w:rPr>
      </w:pPr>
    </w:p>
    <w:p>
      <w:pPr>
        <w:ind w:left="280" w:right="50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 ownership information that is presented for Mr. Gee is based on his last-filed Form 4 dated February 15, 2014, and corporate records of shares distributed to him subsequent to his departure from the Company in February 2014.</w:t>
      </w:r>
    </w:p>
    <w:p>
      <w:pPr>
        <w:spacing w:after="0" w:line="45" w:lineRule="exact"/>
        <w:rPr>
          <w:rFonts w:ascii="Arial" w:cs="Arial" w:eastAsia="Arial" w:hAnsi="Arial"/>
          <w:sz w:val="14"/>
          <w:szCs w:val="14"/>
          <w:color w:val="auto"/>
        </w:rPr>
      </w:pPr>
    </w:p>
    <w:p>
      <w:pPr>
        <w:ind w:left="280" w:right="6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 ownership for Mr. Jacobson is based on his last-filed Form 4 dated July 3, 2014 and corporate records of shares distributed to him in connection with his departure from the Company in July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6" w:lineRule="exact"/>
        <w:rPr>
          <w:sz w:val="20"/>
          <w:szCs w:val="20"/>
          <w:color w:val="auto"/>
        </w:rPr>
      </w:pPr>
    </w:p>
    <w:p>
      <w:pPr>
        <w:ind w:left="380" w:hanging="358"/>
        <w:spacing w:after="0"/>
        <w:tabs>
          <w:tab w:leader="none" w:pos="380" w:val="left"/>
        </w:tabs>
        <w:numPr>
          <w:ilvl w:val="0"/>
          <w:numId w:val="109"/>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SHARES OWNED BY CERTAIN BENEFICIAL HOLDERS</w:t>
      </w:r>
    </w:p>
    <w:p>
      <w:pPr>
        <w:spacing w:after="0" w:line="37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This table shows information for each person who may be deemed to beneficially own 5% or more of our outstanding ordinary shares as of April 10, 2015, as contained in filings made by the shareholder with the SEC.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Arial" w:cs="Arial" w:eastAsia="Arial" w:hAnsi="Arial"/>
                <w:sz w:val="16"/>
                <w:szCs w:val="16"/>
                <w:color w:val="auto"/>
              </w:rPr>
              <w:t>Percent of Outstanding</w:t>
            </w:r>
          </w:p>
        </w:tc>
      </w:tr>
      <w:tr>
        <w:trPr>
          <w:trHeight w:val="194"/>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 and Address of Beneficial Owner</w:t>
            </w:r>
          </w:p>
        </w:tc>
        <w:tc>
          <w:tcPr>
            <w:tcW w:w="41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Number of Shares</w:t>
            </w:r>
          </w:p>
        </w:tc>
        <w:tc>
          <w:tcPr>
            <w:tcW w:w="2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Shares(1)</w:t>
            </w:r>
          </w:p>
        </w:tc>
      </w:tr>
      <w:tr>
        <w:trPr>
          <w:trHeight w:val="191"/>
        </w:trPr>
        <w:tc>
          <w:tcPr>
            <w:tcW w:w="4840" w:type="dxa"/>
            <w:vAlign w:val="bottom"/>
          </w:tcPr>
          <w:p>
            <w:pPr>
              <w:spacing w:after="0"/>
              <w:rPr>
                <w:sz w:val="20"/>
                <w:szCs w:val="20"/>
                <w:color w:val="auto"/>
              </w:rPr>
            </w:pPr>
            <w:r>
              <w:rPr>
                <w:rFonts w:ascii="Arial" w:cs="Arial" w:eastAsia="Arial" w:hAnsi="Arial"/>
                <w:sz w:val="16"/>
                <w:szCs w:val="16"/>
                <w:color w:val="auto"/>
              </w:rPr>
              <w:t>ClearBridge Investments, LLC</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77,580,277(2)</w:t>
            </w:r>
          </w:p>
        </w:tc>
        <w:tc>
          <w:tcPr>
            <w:tcW w:w="24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620 8th Avenue</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New York, New York 10018</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7"/>
        </w:trPr>
        <w:tc>
          <w:tcPr>
            <w:tcW w:w="4840" w:type="dxa"/>
            <w:vAlign w:val="bottom"/>
          </w:tcPr>
          <w:p>
            <w:pPr>
              <w:spacing w:after="0"/>
              <w:rPr>
                <w:sz w:val="20"/>
                <w:szCs w:val="20"/>
                <w:color w:val="auto"/>
              </w:rPr>
            </w:pPr>
            <w:r>
              <w:rPr>
                <w:rFonts w:ascii="Arial" w:cs="Arial" w:eastAsia="Arial" w:hAnsi="Arial"/>
                <w:sz w:val="16"/>
                <w:szCs w:val="16"/>
                <w:color w:val="auto"/>
              </w:rPr>
              <w:t>Dodge &amp; Cox</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75,010,077(3)</w:t>
            </w:r>
          </w:p>
        </w:tc>
        <w:tc>
          <w:tcPr>
            <w:tcW w:w="24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32"/>
        </w:trPr>
        <w:tc>
          <w:tcPr>
            <w:tcW w:w="4840" w:type="dxa"/>
            <w:vAlign w:val="bottom"/>
          </w:tcPr>
          <w:p>
            <w:pPr>
              <w:ind w:left="180"/>
              <w:spacing w:after="0" w:line="232" w:lineRule="exact"/>
              <w:rPr>
                <w:sz w:val="20"/>
                <w:szCs w:val="20"/>
                <w:color w:val="auto"/>
              </w:rPr>
            </w:pPr>
            <w:r>
              <w:rPr>
                <w:rFonts w:ascii="Arial" w:cs="Arial" w:eastAsia="Arial" w:hAnsi="Arial"/>
                <w:sz w:val="16"/>
                <w:szCs w:val="16"/>
                <w:color w:val="auto"/>
              </w:rPr>
              <w:t>555 California Street,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4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San Francisco, California 94104</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Capital World Investors</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57,800,000(4)</w:t>
            </w:r>
          </w:p>
        </w:tc>
        <w:tc>
          <w:tcPr>
            <w:tcW w:w="24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333 South Hope Street</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Los Angeles, California 90071</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The Vanguard Group</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44,339,646(5)</w:t>
            </w:r>
          </w:p>
        </w:tc>
        <w:tc>
          <w:tcPr>
            <w:tcW w:w="24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100 Vanguard Blvd.</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94"/>
        </w:trPr>
        <w:tc>
          <w:tcPr>
            <w:tcW w:w="4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Malvern, Pennsylvania 19355</w:t>
            </w:r>
          </w:p>
        </w:tc>
        <w:tc>
          <w:tcPr>
            <w:tcW w:w="4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bl>
    <w:p>
      <w:pPr>
        <w:spacing w:after="0" w:line="72"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percentage indicated is based on 774,681,386 outstanding shares as of April 10, 2015.</w:t>
      </w:r>
    </w:p>
    <w:p>
      <w:pPr>
        <w:spacing w:after="0" w:line="68" w:lineRule="exact"/>
        <w:rPr>
          <w:rFonts w:ascii="Arial" w:cs="Arial" w:eastAsia="Arial" w:hAnsi="Arial"/>
          <w:sz w:val="14"/>
          <w:szCs w:val="14"/>
          <w:color w:val="auto"/>
        </w:rPr>
      </w:pPr>
    </w:p>
    <w:p>
      <w:pPr>
        <w:ind w:left="360" w:right="220" w:hanging="352"/>
        <w:spacing w:after="0" w:line="25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filed with the SEC on February 17, 2015. According to the filing, (i) the beneficial owner has sole voting power over 75,348,578, shares and sole dispositive power over all shares, and (ii) the beneficial owner does not have shared voting or dispositive power over any of the shares.</w:t>
      </w:r>
    </w:p>
    <w:p>
      <w:pPr>
        <w:spacing w:after="0" w:line="45" w:lineRule="exact"/>
        <w:rPr>
          <w:rFonts w:ascii="Arial" w:cs="Arial" w:eastAsia="Arial" w:hAnsi="Arial"/>
          <w:sz w:val="14"/>
          <w:szCs w:val="14"/>
          <w:color w:val="auto"/>
        </w:rPr>
      </w:pPr>
    </w:p>
    <w:p>
      <w:pPr>
        <w:ind w:left="360" w:hanging="352"/>
        <w:spacing w:after="0" w:line="25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filed with the SEC on February 13, 2015. According to the filing, (i) the beneficial owner reports sole voting power over 72,714,327 shares and sole dispositive power over all shares, and (ii) the beneficial owner does not have shared voting or dispositive power over any of the shares.</w:t>
      </w:r>
    </w:p>
    <w:p>
      <w:pPr>
        <w:spacing w:after="0" w:line="45" w:lineRule="exact"/>
        <w:rPr>
          <w:rFonts w:ascii="Arial" w:cs="Arial" w:eastAsia="Arial" w:hAnsi="Arial"/>
          <w:sz w:val="14"/>
          <w:szCs w:val="14"/>
          <w:color w:val="auto"/>
        </w:rPr>
      </w:pPr>
    </w:p>
    <w:p>
      <w:pPr>
        <w:ind w:left="360" w:right="160" w:hanging="352"/>
        <w:spacing w:after="0" w:line="247"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13, 2015 by Capital World Investors, a division of Capital Research and Management Company (“CRMC”). CRMC act as investment adviser to various investment companies registered under Section 8 of the Investment Company Act of 1940 and disclaims beneficial ownership of the shares pursuant to Rule 13d-4. According to the filing, (i) the beneficial owner reports sole voting and sole dispositive power over all shares, and (ii) the beneficial owner does not have shared voting or dispositive power over any of the shares.</w:t>
      </w:r>
    </w:p>
    <w:p>
      <w:pPr>
        <w:spacing w:after="0" w:line="53" w:lineRule="exact"/>
        <w:rPr>
          <w:rFonts w:ascii="Arial" w:cs="Arial" w:eastAsia="Arial" w:hAnsi="Arial"/>
          <w:sz w:val="14"/>
          <w:szCs w:val="14"/>
          <w:color w:val="auto"/>
        </w:rPr>
      </w:pPr>
    </w:p>
    <w:p>
      <w:pPr>
        <w:ind w:left="360" w:right="280" w:hanging="352"/>
        <w:spacing w:after="0" w:line="250"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10, 2015. According to the filing, (i) the beneficial owner (including wholly-owned subsidiaries) reports sole voting power over 632,626 shares and sole dispositive power over 43,775,989 shares, and (ii) the beneficial owner does not have shared voting power over any of the shares and has shared dispositive power over 563,657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92" w:name="page93"/>
    <w:bookmarkEnd w:id="9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9" w:lineRule="exact"/>
        <w:rPr>
          <w:sz w:val="20"/>
          <w:szCs w:val="20"/>
          <w:color w:val="auto"/>
        </w:rPr>
      </w:pPr>
    </w:p>
    <w:p>
      <w:pPr>
        <w:ind w:right="2180"/>
        <w:spacing w:after="0" w:line="281" w:lineRule="auto"/>
        <w:rPr>
          <w:sz w:val="20"/>
          <w:szCs w:val="20"/>
          <w:color w:val="auto"/>
        </w:rPr>
      </w:pPr>
      <w:r>
        <w:rPr>
          <w:rFonts w:ascii="Arial" w:cs="Arial" w:eastAsia="Arial" w:hAnsi="Arial"/>
          <w:sz w:val="43"/>
          <w:szCs w:val="43"/>
          <w:b w:val="1"/>
          <w:bCs w:val="1"/>
          <w:color w:val="818284"/>
        </w:rPr>
        <w:t>MANDATORY MINIMUM SHARE OWNERSHIP GUIDELINES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Chief Executive Officer</w:t>
            </w:r>
          </w:p>
        </w:tc>
        <w:tc>
          <w:tcPr>
            <w:tcW w:w="4920" w:type="dxa"/>
            <w:vAlign w:val="bottom"/>
            <w:tcBorders>
              <w:top w:val="single" w:sz="8" w:color="auto"/>
            </w:tcBorders>
          </w:tcPr>
          <w:p>
            <w:pPr>
              <w:ind w:left="4740"/>
              <w:spacing w:after="0"/>
              <w:rPr>
                <w:sz w:val="20"/>
                <w:szCs w:val="20"/>
                <w:color w:val="auto"/>
              </w:rPr>
            </w:pPr>
            <w:r>
              <w:rPr>
                <w:rFonts w:ascii="Arial" w:cs="Arial" w:eastAsia="Arial" w:hAnsi="Arial"/>
                <w:sz w:val="16"/>
                <w:szCs w:val="16"/>
                <w:color w:val="auto"/>
                <w:w w:val="94"/>
              </w:rPr>
              <w:t>6x</w:t>
            </w:r>
          </w:p>
        </w:tc>
      </w:tr>
      <w:tr>
        <w:trPr>
          <w:trHeight w:val="378"/>
        </w:trPr>
        <w:tc>
          <w:tcPr>
            <w:tcW w:w="6500" w:type="dxa"/>
            <w:vAlign w:val="bottom"/>
          </w:tcPr>
          <w:p>
            <w:pPr>
              <w:spacing w:after="0"/>
              <w:rPr>
                <w:sz w:val="20"/>
                <w:szCs w:val="20"/>
                <w:color w:val="auto"/>
              </w:rPr>
            </w:pPr>
            <w:r>
              <w:rPr>
                <w:rFonts w:ascii="Arial" w:cs="Arial" w:eastAsia="Arial" w:hAnsi="Arial"/>
                <w:sz w:val="16"/>
                <w:szCs w:val="16"/>
                <w:color w:val="auto"/>
              </w:rPr>
              <w:t>Other Executive Officers</w:t>
            </w:r>
          </w:p>
        </w:tc>
        <w:tc>
          <w:tcPr>
            <w:tcW w:w="4920" w:type="dxa"/>
            <w:vAlign w:val="bottom"/>
          </w:tcPr>
          <w:p>
            <w:pPr>
              <w:ind w:left="4740"/>
              <w:spacing w:after="0"/>
              <w:rPr>
                <w:sz w:val="20"/>
                <w:szCs w:val="20"/>
                <w:color w:val="auto"/>
              </w:rPr>
            </w:pPr>
            <w:r>
              <w:rPr>
                <w:rFonts w:ascii="Arial" w:cs="Arial" w:eastAsia="Arial" w:hAnsi="Arial"/>
                <w:sz w:val="16"/>
                <w:szCs w:val="16"/>
                <w:color w:val="auto"/>
                <w:w w:val="94"/>
              </w:rPr>
              <w:t>3x</w:t>
            </w:r>
          </w:p>
        </w:tc>
      </w:tr>
      <w:tr>
        <w:trPr>
          <w:trHeight w:val="378"/>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Directors</w:t>
            </w:r>
          </w:p>
        </w:tc>
        <w:tc>
          <w:tcPr>
            <w:tcW w:w="4920" w:type="dxa"/>
            <w:vAlign w:val="bottom"/>
            <w:tcBorders>
              <w:bottom w:val="single" w:sz="8" w:color="auto"/>
            </w:tcBorders>
          </w:tcPr>
          <w:p>
            <w:pPr>
              <w:ind w:left="4740"/>
              <w:spacing w:after="0"/>
              <w:rPr>
                <w:sz w:val="20"/>
                <w:szCs w:val="20"/>
                <w:color w:val="auto"/>
              </w:rPr>
            </w:pPr>
            <w:r>
              <w:rPr>
                <w:rFonts w:ascii="Arial" w:cs="Arial" w:eastAsia="Arial" w:hAnsi="Arial"/>
                <w:sz w:val="16"/>
                <w:szCs w:val="16"/>
                <w:color w:val="auto"/>
                <w:w w:val="94"/>
              </w:rPr>
              <w:t>5x</w:t>
            </w:r>
          </w:p>
        </w:tc>
      </w:tr>
    </w:tbl>
    <w:p>
      <w:pPr>
        <w:spacing w:after="0" w:line="19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 transition period of two years is allowed for new directors to achieve the ownership amount. Executive officers are required to achieve ownership amounts within three years of hire or appointment.</w:t>
      </w:r>
    </w:p>
    <w:p>
      <w:pPr>
        <w:spacing w:after="0" w:line="16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Committee has reviewed the share ownership of our executive officers and directors and, subject to the transition periods described above, determined that they meet or exceed these share ownership guidelines. For example, our CEO currently owns more than 10 times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ind w:right="100"/>
        <w:spacing w:after="0" w:line="281"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All of our executive officers and directors are required to file initial reports of share ownership and reports of changes in ownership with the SEC pursuant to Section 16(a) of the Exchange Act.</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have reviewed these reports, including any amendments, and written representations from the executive officers and directors of the Company. Based on this review, we believe that, except as set forth below, all filing requirements were met for the executive officers subject to Section 16(a) and our directors during 2014. Due to an administrative error, a Form 4 for Mr. Dharmesh Mehta related to a withholding of a portion of vested restricted share units to satisfy tax withholding obligations upon vesting that was required to be filed by February 4, 2014 was not filed until February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INCORPORATION BY REFERENCE</w:t>
      </w:r>
    </w:p>
    <w:p>
      <w:pPr>
        <w:spacing w:after="0" w:line="37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3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The Company’s Irish Statutory Accounts for the fiscal year ended December 31, 2014, including the reports of the Directors and auditors thereon, will be presented at the Annual General Meeting.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6"/>
          <w:szCs w:val="16"/>
          <w:i w:val="1"/>
          <w:iCs w:val="1"/>
          <w:color w:val="auto"/>
        </w:rPr>
        <w:t>www.weatherfordannualmeeting.com</w:t>
      </w:r>
      <w:r>
        <w:rPr>
          <w:rFonts w:ascii="Arial" w:cs="Arial" w:eastAsia="Arial" w:hAnsi="Arial"/>
          <w:sz w:val="16"/>
          <w:szCs w:val="16"/>
          <w:color w:val="auto"/>
        </w:rPr>
        <w:t xml:space="preserve"> and in the Investor Relations section of the Company’s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PROPOSALS BY SHAREHOLDERS</w:t>
      </w:r>
    </w:p>
    <w:p>
      <w:pPr>
        <w:spacing w:after="0" w:line="37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2016 Annual General Meeting, your proposals must be received by us by January 2, 2016, and must otherwise comply with Rule 14a-8. Any proposal received after such date will be considered untimely.</w:t>
      </w:r>
    </w:p>
    <w:p>
      <w:pPr>
        <w:spacing w:after="0" w:line="17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If you desire to bring a matter before the 2016 Annual General Meeting and the proposal is submitted outside the process of Rule 14a-8, you may use the procedures set forth in our Articles. Our Articles provide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60" w:hanging="352"/>
        <w:spacing w:after="0"/>
        <w:tabs>
          <w:tab w:leader="none" w:pos="360" w:val="left"/>
        </w:tabs>
        <w:numPr>
          <w:ilvl w:val="0"/>
          <w:numId w:val="11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06" w:gutter="0" w:footer="0" w:header="0"/>
        </w:sectPr>
      </w:pPr>
    </w:p>
    <w:bookmarkStart w:id="93" w:name="page94"/>
    <w:bookmarkEnd w:id="93"/>
    <w:p>
      <w:pPr>
        <w:ind w:left="87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w:t>
      </w:r>
    </w:p>
    <w:p>
      <w:pPr>
        <w:spacing w:after="0" w:line="4" w:lineRule="exact"/>
        <w:rPr>
          <w:sz w:val="20"/>
          <w:szCs w:val="20"/>
          <w:color w:val="auto"/>
        </w:rPr>
      </w:pPr>
    </w:p>
    <w:p>
      <w:pPr>
        <w:spacing w:after="0" w:line="207" w:lineRule="auto"/>
        <w:rPr>
          <w:sz w:val="20"/>
          <w:szCs w:val="20"/>
          <w:color w:val="auto"/>
        </w:rPr>
      </w:pPr>
      <w:r>
        <w:rPr>
          <w:rFonts w:ascii="Arial" w:cs="Arial" w:eastAsia="Arial" w:hAnsi="Arial"/>
          <w:sz w:val="16"/>
          <w:szCs w:val="16"/>
          <w:color w:val="auto"/>
        </w:rPr>
        <w:t>timely must be so received not later than the close of business on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after the date on which public announcement or other notification to the shareholders of the date of the contemplated annual general meeting is first made by the Company.</w:t>
      </w:r>
    </w:p>
    <w:p>
      <w:pPr>
        <w:spacing w:after="0" w:line="18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recommend that any shareholder desiring to make a nomination or submit a proposal for consideration obtain a copy of our Articles. They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“Memorandum and Articles of Association.” Shareholders also may obtain a copy of these documents free of charge by submitting a written request to our Corporate Secretary at Bahnhofstrasse 1, 6340 Baar, Switzerland.</w:t>
      </w:r>
    </w:p>
    <w:p>
      <w:pPr>
        <w:spacing w:after="0" w:line="176"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OTHER BUSINESS</w:t>
      </w:r>
    </w:p>
    <w:p>
      <w:pPr>
        <w:spacing w:after="0" w:line="37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HOUSEHOLDING</w:t>
      </w:r>
    </w:p>
    <w:p>
      <w:pPr>
        <w:spacing w:after="0" w:line="3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ADDITIONAL INFORMATION AVAILABLE</w:t>
      </w:r>
    </w:p>
    <w:p>
      <w:pPr>
        <w:spacing w:after="0" w:line="37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The 2014 Annual Report on Form 10-K and the audited consolidated financial statements of Weatherford for the year ended December 31, 2014 and accompanying auditor’s reports have been filed with the SEC.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1, 2015</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121920</wp:posOffset>
            </wp:positionV>
            <wp:extent cx="1715135" cy="5060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51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920"/>
        <w:spacing w:after="0"/>
        <w:rPr>
          <w:sz w:val="20"/>
          <w:szCs w:val="20"/>
          <w:color w:val="auto"/>
        </w:rPr>
      </w:pPr>
      <w:r>
        <w:rPr>
          <w:rFonts w:ascii="Arial" w:cs="Arial" w:eastAsia="Arial" w:hAnsi="Arial"/>
          <w:sz w:val="16"/>
          <w:szCs w:val="16"/>
          <w:i w:val="1"/>
          <w:iCs w:val="1"/>
          <w:color w:val="auto"/>
        </w:rPr>
        <w:t>Natalia G. Shehadeh</w:t>
      </w:r>
    </w:p>
    <w:p>
      <w:pPr>
        <w:spacing w:after="0" w:line="100"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802" w:gutter="0" w:footer="0" w:header="0"/>
        </w:sectPr>
      </w:pPr>
    </w:p>
    <w:bookmarkStart w:id="94" w:name="page95"/>
    <w:bookmarkEnd w:id="94"/>
    <w:p>
      <w:pPr>
        <w:ind w:right="420"/>
        <w:spacing w:after="0" w:line="250" w:lineRule="auto"/>
        <w:rPr>
          <w:sz w:val="20"/>
          <w:szCs w:val="20"/>
          <w:color w:val="auto"/>
        </w:rPr>
      </w:pPr>
      <w:r>
        <w:rPr>
          <w:rFonts w:ascii="Arial" w:cs="Arial" w:eastAsia="Arial" w:hAnsi="Arial"/>
          <w:sz w:val="65"/>
          <w:szCs w:val="65"/>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ANNEX A – FIRST AMENDMENT TO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RECITALS</w:t>
      </w:r>
    </w:p>
    <w:p>
      <w:pPr>
        <w:spacing w:after="0" w:line="371" w:lineRule="exact"/>
        <w:rPr>
          <w:sz w:val="20"/>
          <w:szCs w:val="20"/>
          <w:color w:val="auto"/>
        </w:rPr>
      </w:pPr>
    </w:p>
    <w:p>
      <w:pPr>
        <w:ind w:left="340" w:right="520" w:hanging="332"/>
        <w:spacing w:after="0" w:line="260" w:lineRule="auto"/>
        <w:tabs>
          <w:tab w:leader="none" w:pos="340" w:val="left"/>
        </w:tabs>
        <w:numPr>
          <w:ilvl w:val="0"/>
          <w:numId w:val="112"/>
        </w:numPr>
        <w:rPr>
          <w:rFonts w:ascii="Arial" w:cs="Arial" w:eastAsia="Arial" w:hAnsi="Arial"/>
          <w:sz w:val="16"/>
          <w:szCs w:val="16"/>
          <w:color w:val="CE0D41"/>
        </w:rPr>
      </w:pPr>
      <w:r>
        <w:rPr>
          <w:rFonts w:ascii="Arial" w:cs="Arial" w:eastAsia="Arial" w:hAnsi="Arial"/>
          <w:sz w:val="16"/>
          <w:szCs w:val="16"/>
          <w:color w:val="auto"/>
        </w:rPr>
        <w:t>Weatherford International plc, an Irish public limited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previously adopted the Weatherford International plc 2010 Omnibus Incentive Plan, as amended and restated on June 17, 2014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68" w:lineRule="exact"/>
        <w:rPr>
          <w:rFonts w:ascii="Arial" w:cs="Arial" w:eastAsia="Arial" w:hAnsi="Arial"/>
          <w:sz w:val="16"/>
          <w:szCs w:val="16"/>
          <w:color w:val="CE0D41"/>
        </w:rPr>
      </w:pPr>
    </w:p>
    <w:p>
      <w:pPr>
        <w:ind w:left="340" w:right="140" w:hanging="332"/>
        <w:spacing w:after="0" w:line="253" w:lineRule="auto"/>
        <w:tabs>
          <w:tab w:leader="none" w:pos="340" w:val="left"/>
        </w:tabs>
        <w:numPr>
          <w:ilvl w:val="0"/>
          <w:numId w:val="112"/>
        </w:numPr>
        <w:rPr>
          <w:rFonts w:ascii="Arial" w:cs="Arial" w:eastAsia="Arial" w:hAnsi="Arial"/>
          <w:sz w:val="16"/>
          <w:szCs w:val="16"/>
          <w:color w:val="CE0D41"/>
        </w:rPr>
      </w:pPr>
      <w:r>
        <w:rPr>
          <w:rFonts w:ascii="Arial" w:cs="Arial" w:eastAsia="Arial" w:hAnsi="Arial"/>
          <w:sz w:val="16"/>
          <w:szCs w:val="16"/>
          <w:color w:val="auto"/>
        </w:rPr>
        <w:t>Article XIV of the Plan provides that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may amend or modify the Plan at any time, in whole or in part, provided that no amendment or modification of the Plan shall be made without shareholder approval if shareholder approval is required by applicable law or stock exchange rules;</w:t>
      </w:r>
    </w:p>
    <w:p>
      <w:pPr>
        <w:spacing w:after="0" w:line="174" w:lineRule="exact"/>
        <w:rPr>
          <w:rFonts w:ascii="Arial" w:cs="Arial" w:eastAsia="Arial" w:hAnsi="Arial"/>
          <w:sz w:val="16"/>
          <w:szCs w:val="16"/>
          <w:color w:val="CE0D41"/>
        </w:rPr>
      </w:pPr>
    </w:p>
    <w:p>
      <w:pPr>
        <w:ind w:left="340" w:right="220" w:hanging="332"/>
        <w:spacing w:after="0" w:line="250" w:lineRule="auto"/>
        <w:tabs>
          <w:tab w:leader="none" w:pos="340" w:val="left"/>
        </w:tabs>
        <w:numPr>
          <w:ilvl w:val="0"/>
          <w:numId w:val="112"/>
        </w:numPr>
        <w:rPr>
          <w:rFonts w:ascii="Arial" w:cs="Arial" w:eastAsia="Arial" w:hAnsi="Arial"/>
          <w:sz w:val="16"/>
          <w:szCs w:val="16"/>
          <w:color w:val="CE0D41"/>
        </w:rPr>
      </w:pPr>
      <w:r>
        <w:rPr>
          <w:rFonts w:ascii="Arial" w:cs="Arial" w:eastAsia="Arial" w:hAnsi="Arial"/>
          <w:sz w:val="16"/>
          <w:szCs w:val="16"/>
          <w:color w:val="auto"/>
        </w:rPr>
        <w:t>The Board, upon the recommendation of the Compensation Committee of the Board and subject to the approval of the Company’s shareholders, has determined that it is advisable to amend the Plan to: (i) increase the number of shares available for awards under the Plan; (ii) update certain definitions and amend the definition of “Change of Control” ; (iii) amending and restating Section 3.2; and (iv) expressly prohibit the replacement of underwater options or share appreciation rights granted under the Plan with options or share appreciation rights having a lower exercise price, any other award or cash without shareholder approval;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effective for new awards granted under the Plan on or after the date on which this amendment is approved by the shareholders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Company, the Plan is hereby amended as follows:</w:t>
      </w:r>
    </w:p>
    <w:p>
      <w:pPr>
        <w:spacing w:after="0" w:line="228" w:lineRule="exact"/>
        <w:rPr>
          <w:sz w:val="20"/>
          <w:szCs w:val="20"/>
          <w:color w:val="auto"/>
        </w:rPr>
      </w:pPr>
    </w:p>
    <w:p>
      <w:pPr>
        <w:ind w:left="660" w:right="4360" w:hanging="328"/>
        <w:spacing w:after="0" w:line="493" w:lineRule="auto"/>
        <w:tabs>
          <w:tab w:leader="none" w:pos="660" w:val="left"/>
        </w:tabs>
        <w:numPr>
          <w:ilvl w:val="0"/>
          <w:numId w:val="11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By amending and restating Section 2.1 of the Plan in its entirety to read as follows: </w:t>
      </w:r>
      <w:r>
        <w:rPr>
          <w:rFonts w:ascii="Arial" w:cs="Arial" w:eastAsia="Arial" w:hAnsi="Arial"/>
          <w:sz w:val="16"/>
          <w:szCs w:val="16"/>
          <w:color w:val="auto"/>
        </w:rPr>
        <w:t>“</w:t>
      </w:r>
      <w:r>
        <w:rPr>
          <w:rFonts w:ascii="Arial" w:cs="Arial" w:eastAsia="Arial" w:hAnsi="Arial"/>
          <w:sz w:val="16"/>
          <w:szCs w:val="16"/>
          <w:b w:val="1"/>
          <w:bCs w:val="1"/>
          <w:color w:val="auto"/>
        </w:rPr>
        <w:t>Act</w:t>
      </w:r>
      <w:r>
        <w:rPr>
          <w:rFonts w:ascii="Arial" w:cs="Arial" w:eastAsia="Arial" w:hAnsi="Arial"/>
          <w:sz w:val="16"/>
          <w:szCs w:val="16"/>
          <w:color w:val="auto"/>
        </w:rPr>
        <w:t xml:space="preserve"> ” means the Companies Act 2014 of Ireland.</w:t>
      </w:r>
    </w:p>
    <w:p>
      <w:pPr>
        <w:ind w:left="660" w:hanging="328"/>
        <w:spacing w:after="0"/>
        <w:tabs>
          <w:tab w:leader="none" w:pos="660" w:val="left"/>
        </w:tabs>
        <w:numPr>
          <w:ilvl w:val="0"/>
          <w:numId w:val="113"/>
        </w:numPr>
        <w:rPr>
          <w:rFonts w:ascii="Arial" w:cs="Arial" w:eastAsia="Arial" w:hAnsi="Arial"/>
          <w:sz w:val="16"/>
          <w:szCs w:val="16"/>
          <w:color w:val="CE0D41"/>
        </w:rPr>
      </w:pPr>
      <w:r>
        <w:rPr>
          <w:rFonts w:ascii="Arial" w:cs="Arial" w:eastAsia="Arial" w:hAnsi="Arial"/>
          <w:sz w:val="16"/>
          <w:szCs w:val="16"/>
          <w:b w:val="1"/>
          <w:bCs w:val="1"/>
          <w:i w:val="1"/>
          <w:iCs w:val="1"/>
          <w:color w:val="auto"/>
        </w:rPr>
        <w:t>By amending and restating Section 2.8 of the Plan in its entirety to read as follows:</w:t>
      </w:r>
    </w:p>
    <w:p>
      <w:pPr>
        <w:spacing w:after="0" w:line="194" w:lineRule="exact"/>
        <w:rPr>
          <w:rFonts w:ascii="Arial" w:cs="Arial" w:eastAsia="Arial" w:hAnsi="Arial"/>
          <w:sz w:val="16"/>
          <w:szCs w:val="16"/>
          <w:color w:val="CE0D41"/>
        </w:rPr>
      </w:pPr>
    </w:p>
    <w:p>
      <w:pPr>
        <w:ind w:left="660" w:right="20"/>
        <w:spacing w:after="0" w:line="286" w:lineRule="auto"/>
        <w:rPr>
          <w:rFonts w:ascii="Arial" w:cs="Arial" w:eastAsia="Arial" w:hAnsi="Arial"/>
          <w:sz w:val="16"/>
          <w:szCs w:val="16"/>
          <w:color w:val="CE0D41"/>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means, unless otherwise set forth in an Award Agreement containing more restrictive language, the occurrence of any event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any one of the following paragraphs:</w:t>
      </w:r>
    </w:p>
    <w:p>
      <w:pPr>
        <w:spacing w:after="0" w:line="148" w:lineRule="exact"/>
        <w:rPr>
          <w:rFonts w:ascii="Arial" w:cs="Arial" w:eastAsia="Arial" w:hAnsi="Arial"/>
          <w:sz w:val="16"/>
          <w:szCs w:val="16"/>
          <w:color w:val="CE0D41"/>
        </w:rPr>
      </w:pPr>
    </w:p>
    <w:p>
      <w:pPr>
        <w:ind w:left="980" w:right="80" w:hanging="324"/>
        <w:spacing w:after="0" w:line="251" w:lineRule="auto"/>
        <w:tabs>
          <w:tab w:leader="none" w:pos="980" w:val="left"/>
        </w:tabs>
        <w:numPr>
          <w:ilvl w:val="1"/>
          <w:numId w:val="113"/>
        </w:numPr>
        <w:rPr>
          <w:rFonts w:ascii="Arial" w:cs="Arial" w:eastAsia="Arial" w:hAnsi="Arial"/>
          <w:sz w:val="16"/>
          <w:szCs w:val="16"/>
          <w:color w:val="CE0D41"/>
        </w:rPr>
      </w:pPr>
      <w:r>
        <w:rPr>
          <w:rFonts w:ascii="Arial" w:cs="Arial" w:eastAsia="Arial" w:hAnsi="Arial"/>
          <w:sz w:val="16"/>
          <w:szCs w:val="16"/>
          <w:color w:val="auto"/>
        </w:rPr>
        <w:t>any Person is or becomes the Beneficial Owner, directly or indirectly, of twenty percent (20%) or more of either (i) the then outstanding Ordinary Shares of the Company (the “</w:t>
      </w:r>
      <w:r>
        <w:rPr>
          <w:rFonts w:ascii="Arial" w:cs="Arial" w:eastAsia="Arial" w:hAnsi="Arial"/>
          <w:sz w:val="16"/>
          <w:szCs w:val="16"/>
          <w:b w:val="1"/>
          <w:bCs w:val="1"/>
          <w:i w:val="1"/>
          <w:iCs w:val="1"/>
          <w:color w:val="auto"/>
        </w:rPr>
        <w:t>Outstanding Company Ordinary Shares</w:t>
      </w:r>
      <w:r>
        <w:rPr>
          <w:rFonts w:ascii="Arial" w:cs="Arial" w:eastAsia="Arial" w:hAnsi="Arial"/>
          <w:sz w:val="16"/>
          <w:szCs w:val="16"/>
          <w:color w:val="auto"/>
        </w:rPr>
        <w:t>”) or (ii) the combined voting power of the then outstanding voting securities of the Company entitled to vote generally in the election of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xml:space="preserve"> ”), excluding any Person who becomes such a Beneficial Owner in connection with a transaction that complies with clauses (i), (ii) and (iii) of paragraph (c) below;</w:t>
      </w:r>
    </w:p>
    <w:p>
      <w:pPr>
        <w:spacing w:after="0" w:line="155" w:lineRule="exact"/>
        <w:rPr>
          <w:rFonts w:ascii="Arial" w:cs="Arial" w:eastAsia="Arial" w:hAnsi="Arial"/>
          <w:sz w:val="16"/>
          <w:szCs w:val="16"/>
          <w:color w:val="CE0D41"/>
        </w:rPr>
      </w:pPr>
    </w:p>
    <w:p>
      <w:pPr>
        <w:ind w:left="980" w:hanging="324"/>
        <w:spacing w:after="0" w:line="254" w:lineRule="auto"/>
        <w:tabs>
          <w:tab w:leader="none" w:pos="980" w:val="left"/>
        </w:tabs>
        <w:numPr>
          <w:ilvl w:val="1"/>
          <w:numId w:val="113"/>
        </w:numPr>
        <w:rPr>
          <w:rFonts w:ascii="Arial" w:cs="Arial" w:eastAsia="Arial" w:hAnsi="Arial"/>
          <w:sz w:val="16"/>
          <w:szCs w:val="16"/>
          <w:color w:val="CE0D41"/>
        </w:rPr>
      </w:pPr>
      <w:r>
        <w:rPr>
          <w:rFonts w:ascii="Arial" w:cs="Arial" w:eastAsia="Arial" w:hAnsi="Arial"/>
          <w:sz w:val="16"/>
          <w:szCs w:val="16"/>
          <w:color w:val="auto"/>
        </w:rPr>
        <w:t>individuals, who, as of the Effective Date,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75" w:lineRule="exact"/>
        <w:rPr>
          <w:rFonts w:ascii="Arial" w:cs="Arial" w:eastAsia="Arial" w:hAnsi="Arial"/>
          <w:sz w:val="16"/>
          <w:szCs w:val="16"/>
          <w:color w:val="CE0D41"/>
        </w:rPr>
      </w:pPr>
    </w:p>
    <w:p>
      <w:pPr>
        <w:ind w:left="980" w:right="20" w:hanging="324"/>
        <w:spacing w:after="0" w:line="247" w:lineRule="auto"/>
        <w:tabs>
          <w:tab w:leader="none" w:pos="980" w:val="left"/>
        </w:tabs>
        <w:numPr>
          <w:ilvl w:val="1"/>
          <w:numId w:val="113"/>
        </w:numPr>
        <w:rPr>
          <w:rFonts w:ascii="Arial" w:cs="Arial" w:eastAsia="Arial" w:hAnsi="Arial"/>
          <w:sz w:val="16"/>
          <w:szCs w:val="16"/>
          <w:color w:val="CE0D41"/>
        </w:rPr>
      </w:pPr>
      <w:r>
        <w:rPr>
          <w:rFonts w:ascii="Arial" w:cs="Arial" w:eastAsia="Arial" w:hAnsi="Arial"/>
          <w:sz w:val="16"/>
          <w:szCs w:val="16"/>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70" w:right="259" w:bottom="1440" w:gutter="0" w:footer="0" w:header="0"/>
        </w:sectPr>
      </w:pPr>
    </w:p>
    <w:bookmarkStart w:id="95" w:name="page96"/>
    <w:bookmarkEnd w:id="95"/>
    <w:p>
      <w:pPr>
        <w:jc w:val="right"/>
        <w:ind w:left="228"/>
        <w:spacing w:after="0" w:line="288" w:lineRule="auto"/>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ANNEX A – FIRST AMENDMENT TO WEATHERFORD INTERNATIONAL PLC 2010 OMNIBUS INCENTIVE PLAN</w:t>
      </w:r>
    </w:p>
    <w:p>
      <w:pPr>
        <w:spacing w:after="0" w:line="126" w:lineRule="exact"/>
        <w:rPr>
          <w:sz w:val="20"/>
          <w:szCs w:val="20"/>
          <w:color w:val="auto"/>
        </w:rPr>
      </w:pPr>
    </w:p>
    <w:p>
      <w:pPr>
        <w:ind w:left="648" w:right="100"/>
        <w:spacing w:after="0" w:line="251" w:lineRule="auto"/>
        <w:rPr>
          <w:sz w:val="20"/>
          <w:szCs w:val="20"/>
          <w:color w:val="auto"/>
        </w:rPr>
      </w:pPr>
      <w:r>
        <w:rPr>
          <w:rFonts w:ascii="Arial" w:cs="Arial" w:eastAsia="Arial" w:hAnsi="Arial"/>
          <w:sz w:val="16"/>
          <w:szCs w:val="16"/>
          <w:color w:val="auto"/>
        </w:rPr>
        <w:t>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a majority of the members of the board of directors (or other governing body) of the Entity resulting from such Corporate Transaction were members of the Incumbent Board at the time of the approval of such Corporate Transaction; or</w:t>
      </w:r>
    </w:p>
    <w:p>
      <w:pPr>
        <w:spacing w:after="0" w:line="176" w:lineRule="exact"/>
        <w:rPr>
          <w:sz w:val="20"/>
          <w:szCs w:val="20"/>
          <w:color w:val="auto"/>
        </w:rPr>
      </w:pPr>
    </w:p>
    <w:p>
      <w:pPr>
        <w:ind w:left="648" w:right="360" w:hanging="324"/>
        <w:spacing w:after="0" w:line="253" w:lineRule="auto"/>
        <w:tabs>
          <w:tab w:leader="none" w:pos="648" w:val="left"/>
        </w:tabs>
        <w:numPr>
          <w:ilvl w:val="1"/>
          <w:numId w:val="115"/>
        </w:numPr>
        <w:rPr>
          <w:rFonts w:ascii="Arial" w:cs="Arial" w:eastAsia="Arial" w:hAnsi="Arial"/>
          <w:sz w:val="16"/>
          <w:szCs w:val="16"/>
          <w:color w:val="CE0D41"/>
        </w:rPr>
      </w:pPr>
      <w:r>
        <w:rPr>
          <w:rFonts w:ascii="Arial" w:cs="Arial" w:eastAsia="Arial" w:hAnsi="Arial"/>
          <w:sz w:val="16"/>
          <w:szCs w:val="16"/>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w:t>
      </w:r>
    </w:p>
    <w:p>
      <w:pPr>
        <w:spacing w:after="0" w:line="154"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deleting the first sentence of Section 2.47 of the Plan and inserting the following language in lieu thereof:</w:t>
      </w:r>
    </w:p>
    <w:p>
      <w:pPr>
        <w:spacing w:after="0" w:line="194" w:lineRule="exact"/>
        <w:rPr>
          <w:rFonts w:ascii="Arial" w:cs="Arial" w:eastAsia="Arial" w:hAnsi="Arial"/>
          <w:sz w:val="16"/>
          <w:szCs w:val="16"/>
          <w:color w:val="CE0D41"/>
        </w:rPr>
      </w:pPr>
    </w:p>
    <w:p>
      <w:pPr>
        <w:ind w:left="328" w:right="160"/>
        <w:spacing w:after="0" w:line="286" w:lineRule="auto"/>
        <w:rPr>
          <w:rFonts w:ascii="Arial" w:cs="Arial" w:eastAsia="Arial" w:hAnsi="Arial"/>
          <w:sz w:val="16"/>
          <w:szCs w:val="16"/>
          <w:color w:val="CE0D41"/>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or “</w:t>
      </w:r>
      <w:r>
        <w:rPr>
          <w:rFonts w:ascii="Arial" w:cs="Arial" w:eastAsia="Arial" w:hAnsi="Arial"/>
          <w:sz w:val="16"/>
          <w:szCs w:val="16"/>
          <w:b w:val="1"/>
          <w:bCs w:val="1"/>
          <w:color w:val="auto"/>
        </w:rPr>
        <w:t>Subsidiaries</w:t>
      </w:r>
      <w:r>
        <w:rPr>
          <w:rFonts w:ascii="Arial" w:cs="Arial" w:eastAsia="Arial" w:hAnsi="Arial"/>
          <w:sz w:val="16"/>
          <w:szCs w:val="16"/>
          <w:color w:val="auto"/>
        </w:rPr>
        <w:t>” or “</w:t>
      </w:r>
      <w:r>
        <w:rPr>
          <w:rFonts w:ascii="Arial" w:cs="Arial" w:eastAsia="Arial" w:hAnsi="Arial"/>
          <w:sz w:val="16"/>
          <w:szCs w:val="16"/>
          <w:b w:val="1"/>
          <w:bCs w:val="1"/>
          <w:color w:val="auto"/>
        </w:rPr>
        <w:t>Subsidiary Corporation</w:t>
      </w:r>
      <w:r>
        <w:rPr>
          <w:rFonts w:ascii="Arial" w:cs="Arial" w:eastAsia="Arial" w:hAnsi="Arial"/>
          <w:sz w:val="16"/>
          <w:szCs w:val="16"/>
          <w:color w:val="auto"/>
        </w:rPr>
        <w:t>” means any Entity or Entities which is a subsidiary, or are subsidiaries, of the Company within the meaning of Section 7 of the Act.</w:t>
      </w:r>
    </w:p>
    <w:p>
      <w:pPr>
        <w:spacing w:after="0" w:line="128"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amending and restating Section 3.2 of the Plan in its entirety to read as follows:</w:t>
      </w:r>
    </w:p>
    <w:p>
      <w:pPr>
        <w:spacing w:after="0" w:line="194" w:lineRule="exact"/>
        <w:rPr>
          <w:rFonts w:ascii="Arial" w:cs="Arial" w:eastAsia="Arial" w:hAnsi="Arial"/>
          <w:sz w:val="16"/>
          <w:szCs w:val="16"/>
          <w:color w:val="CE0D41"/>
        </w:rPr>
      </w:pPr>
    </w:p>
    <w:p>
      <w:pPr>
        <w:ind w:left="328" w:right="320"/>
        <w:spacing w:after="0" w:line="286" w:lineRule="auto"/>
        <w:rPr>
          <w:rFonts w:ascii="Arial" w:cs="Arial" w:eastAsia="Arial" w:hAnsi="Arial"/>
          <w:sz w:val="16"/>
          <w:szCs w:val="16"/>
          <w:color w:val="CE0D41"/>
        </w:rPr>
      </w:pPr>
      <w:r>
        <w:rPr>
          <w:rFonts w:ascii="Arial" w:cs="Arial" w:eastAsia="Arial" w:hAnsi="Arial"/>
          <w:sz w:val="16"/>
          <w:szCs w:val="16"/>
          <w:b w:val="1"/>
          <w:bCs w:val="1"/>
          <w:color w:val="auto"/>
        </w:rPr>
        <w:t xml:space="preserve">Participation. </w:t>
      </w:r>
      <w:r>
        <w:rPr>
          <w:rFonts w:ascii="Arial" w:cs="Arial" w:eastAsia="Arial" w:hAnsi="Arial"/>
          <w:sz w:val="16"/>
          <w:szCs w:val="16"/>
          <w:color w:val="211D1E"/>
        </w:rPr>
        <w:t>Subject to the terms and provisions of the Plan, the Committee may, from time to time, select the persons to whom Awards shall be</w:t>
      </w:r>
      <w:r>
        <w:rPr>
          <w:rFonts w:ascii="Arial" w:cs="Arial" w:eastAsia="Arial" w:hAnsi="Arial"/>
          <w:sz w:val="16"/>
          <w:szCs w:val="16"/>
          <w:b w:val="1"/>
          <w:bCs w:val="1"/>
          <w:color w:val="auto"/>
        </w:rPr>
        <w:t xml:space="preserve"> </w:t>
      </w:r>
      <w:r>
        <w:rPr>
          <w:rFonts w:ascii="Arial" w:cs="Arial" w:eastAsia="Arial" w:hAnsi="Arial"/>
          <w:sz w:val="16"/>
          <w:szCs w:val="16"/>
          <w:color w:val="211D1E"/>
        </w:rPr>
        <w:t>granted and shall determine the nature and amount of each Award. No person shall have any right to be granted an Award pursuant to the Plan.</w:t>
      </w:r>
    </w:p>
    <w:p>
      <w:pPr>
        <w:spacing w:after="0" w:line="128"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deleting the first sentence of Section 4.2 of the Plan and inserting the following language in lieu thereof:</w:t>
      </w:r>
    </w:p>
    <w:p>
      <w:pPr>
        <w:spacing w:after="0" w:line="214" w:lineRule="exact"/>
        <w:rPr>
          <w:rFonts w:ascii="Arial" w:cs="Arial" w:eastAsia="Arial" w:hAnsi="Arial"/>
          <w:sz w:val="16"/>
          <w:szCs w:val="16"/>
          <w:color w:val="CE0D41"/>
        </w:rPr>
      </w:pPr>
    </w:p>
    <w:p>
      <w:pPr>
        <w:ind w:left="328" w:right="160"/>
        <w:spacing w:after="0" w:line="260" w:lineRule="auto"/>
        <w:rPr>
          <w:rFonts w:ascii="Arial" w:cs="Arial" w:eastAsia="Arial" w:hAnsi="Arial"/>
          <w:sz w:val="16"/>
          <w:szCs w:val="16"/>
          <w:color w:val="CE0D41"/>
        </w:rPr>
      </w:pPr>
      <w:r>
        <w:rPr>
          <w:rFonts w:ascii="Arial" w:cs="Arial" w:eastAsia="Arial" w:hAnsi="Arial"/>
          <w:sz w:val="16"/>
          <w:szCs w:val="16"/>
          <w:color w:val="auto"/>
        </w:rPr>
        <w:t>The aggregate number of Shares with respect to which Awards may be granted under the Plan (including any substitute Awards granted pursuant to Article XII) is 43,144,000.</w:t>
      </w:r>
    </w:p>
    <w:p>
      <w:pPr>
        <w:spacing w:after="0" w:line="148"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amending and restating Section 14.1 of the Plan in its entirety to read as follows:</w:t>
      </w:r>
    </w:p>
    <w:p>
      <w:pPr>
        <w:spacing w:after="0" w:line="194" w:lineRule="exact"/>
        <w:rPr>
          <w:rFonts w:ascii="Arial" w:cs="Arial" w:eastAsia="Arial" w:hAnsi="Arial"/>
          <w:sz w:val="16"/>
          <w:szCs w:val="16"/>
          <w:color w:val="CE0D41"/>
        </w:rPr>
      </w:pPr>
    </w:p>
    <w:p>
      <w:pPr>
        <w:ind w:left="328" w:right="80"/>
        <w:spacing w:after="0" w:line="254" w:lineRule="auto"/>
        <w:rPr>
          <w:rFonts w:ascii="Arial" w:cs="Arial" w:eastAsia="Arial" w:hAnsi="Arial"/>
          <w:sz w:val="16"/>
          <w:szCs w:val="16"/>
          <w:color w:val="CE0D41"/>
        </w:rPr>
      </w:pPr>
      <w:r>
        <w:rPr>
          <w:rFonts w:ascii="Arial" w:cs="Arial" w:eastAsia="Arial" w:hAnsi="Arial"/>
          <w:sz w:val="16"/>
          <w:szCs w:val="16"/>
          <w:b w:val="1"/>
          <w:bCs w:val="1"/>
          <w:color w:val="auto"/>
        </w:rPr>
        <w:t xml:space="preserve">Amendment, Modification, Suspension, and Termination. </w:t>
      </w:r>
      <w:r>
        <w:rPr>
          <w:rFonts w:ascii="Arial" w:cs="Arial" w:eastAsia="Arial" w:hAnsi="Arial"/>
          <w:sz w:val="16"/>
          <w:szCs w:val="16"/>
          <w:color w:val="auto"/>
        </w:rPr>
        <w:t>Subject to Section 14.2, the Board may, at any time and from time to time, alter, amend,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or cancel any outstanding Option or outstanding SAR in exchange for a replacement Option or SAR having a lower exercise price, any other Award or cash; and no amendment or modification of the Plan shall be made without shareholder approval if shareholder approval is required by applicable law or stock exchange rules.</w:t>
      </w:r>
    </w:p>
    <w:p>
      <w:pPr>
        <w:spacing w:after="0" w:line="344" w:lineRule="exact"/>
        <w:rPr>
          <w:rFonts w:ascii="Arial" w:cs="Arial" w:eastAsia="Arial" w:hAnsi="Arial"/>
          <w:sz w:val="16"/>
          <w:szCs w:val="16"/>
          <w:color w:val="CE0D41"/>
        </w:rPr>
      </w:pPr>
    </w:p>
    <w:p>
      <w:pPr>
        <w:ind w:left="5088"/>
        <w:spacing w:after="0"/>
        <w:rPr>
          <w:rFonts w:ascii="Arial" w:cs="Arial" w:eastAsia="Arial" w:hAnsi="Arial"/>
          <w:sz w:val="16"/>
          <w:szCs w:val="16"/>
          <w:color w:val="CE0D41"/>
        </w:rPr>
      </w:pPr>
      <w:r>
        <w:rPr>
          <w:rFonts w:ascii="Arial" w:cs="Arial" w:eastAsia="Arial" w:hAnsi="Arial"/>
          <w:sz w:val="16"/>
          <w:szCs w:val="16"/>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134620</wp:posOffset>
            </wp:positionV>
            <wp:extent cx="72466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ind w:left="6788"/>
        <w:spacing w:after="0"/>
        <w:tabs>
          <w:tab w:leader="none" w:pos="10887"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168910</wp:posOffset>
            </wp:positionV>
            <wp:extent cx="7246620" cy="342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514" w:right="239" w:bottom="1440" w:gutter="0" w:footer="0" w:header="0"/>
        </w:sectPr>
      </w:pPr>
    </w:p>
    <w:bookmarkStart w:id="96" w:name="page97"/>
    <w:bookmarkEnd w:id="96"/>
    <w:p>
      <w:pPr>
        <w:spacing w:after="0" w:line="288" w:lineRule="auto"/>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ANNEX A – FIRST AMENDMENT TO WEATHERFORD INTERNATIONAL PLC 2010 OMNIBUS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Except as expressly amended hereby, in all other respects, the Plan remains unchanged.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foregoing amendment was approved and adopted by the Board on March 19, 2015.</w:t>
      </w:r>
    </w:p>
    <w:p>
      <w:pPr>
        <w:spacing w:after="0" w:line="174"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WEATHERFORD INTERNATIONAL PLC</w:t>
      </w:r>
    </w:p>
    <w:p>
      <w:pPr>
        <w:spacing w:after="0" w:line="214"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1905</wp:posOffset>
            </wp:positionV>
            <wp:extent cx="2349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1905</wp:posOffset>
            </wp:positionV>
            <wp:extent cx="220408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1905</wp:posOffset>
            </wp:positionV>
            <wp:extent cx="227266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240" w:top="514" w:right="77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20"/>
        <w:spacing w:after="0" w:line="255" w:lineRule="auto"/>
        <w:rPr>
          <w:sz w:val="20"/>
          <w:szCs w:val="20"/>
          <w:color w:val="auto"/>
        </w:rPr>
      </w:pPr>
      <w:r>
        <w:rPr>
          <w:rFonts w:ascii="Arial" w:cs="Arial" w:eastAsia="Arial" w:hAnsi="Arial"/>
          <w:sz w:val="38"/>
          <w:szCs w:val="38"/>
          <w:b w:val="1"/>
          <w:bCs w:val="1"/>
          <w:color w:val="auto"/>
        </w:rPr>
        <w:t>WEATHERFORD INTERNATIONAL PLC 2010 OMNIBUS INCENTIVE PLAN (AS AMENDED AND RESTATED ON JUNE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32385</wp:posOffset>
            </wp:positionV>
            <wp:extent cx="72466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2682240</wp:posOffset>
            </wp:positionV>
            <wp:extent cx="72466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24662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00"/>
          </w:cols>
          <w:pgMar w:left="1360" w:top="1440" w:right="239" w:bottom="1440" w:gutter="0" w:footer="0" w:header="0"/>
        </w:sectPr>
      </w:pPr>
    </w:p>
    <w:bookmarkStart w:id="98" w:name="page99"/>
    <w:bookmarkEnd w:id="98"/>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sectPr>
      </w:pPr>
    </w:p>
    <w:p>
      <w:pPr>
        <w:spacing w:after="0" w:line="275" w:lineRule="exact"/>
        <w:rPr>
          <w:sz w:val="20"/>
          <w:szCs w:val="20"/>
          <w:color w:val="auto"/>
        </w:rPr>
      </w:pPr>
    </w:p>
    <w:p>
      <w:pPr>
        <w:spacing w:after="0"/>
        <w:rPr>
          <w:rFonts w:ascii="Arial" w:cs="Arial" w:eastAsia="Arial" w:hAnsi="Arial"/>
          <w:sz w:val="43"/>
          <w:szCs w:val="43"/>
          <w:b w:val="1"/>
          <w:bCs w:val="1"/>
          <w:u w:val="single" w:color="auto"/>
          <w:color w:val="auto"/>
        </w:rPr>
      </w:pPr>
      <w:hyperlink w:anchor="page104">
        <w:r>
          <w:rPr>
            <w:rFonts w:ascii="Arial" w:cs="Arial" w:eastAsia="Arial" w:hAnsi="Arial"/>
            <w:sz w:val="43"/>
            <w:szCs w:val="43"/>
            <w:b w:val="1"/>
            <w:bCs w:val="1"/>
            <w:u w:val="single" w:color="auto"/>
            <w:color w:val="auto"/>
          </w:rPr>
          <w:t>ARTICLE I</w:t>
        </w:r>
      </w:hyperlink>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Borders>
              <w:bottom w:val="single" w:sz="8" w:color="CE0E41"/>
            </w:tcBorders>
          </w:tcPr>
          <w:p>
            <w:pPr>
              <w:spacing w:after="0"/>
              <w:rPr>
                <w:rFonts w:ascii="Arial" w:cs="Arial" w:eastAsia="Arial" w:hAnsi="Arial"/>
                <w:sz w:val="22"/>
                <w:szCs w:val="22"/>
                <w:b w:val="1"/>
                <w:bCs w:val="1"/>
                <w:color w:val="CE0E41"/>
                <w:w w:val="97"/>
              </w:rPr>
            </w:pPr>
            <w:hyperlink w:anchor="page104">
              <w:r>
                <w:rPr>
                  <w:rFonts w:ascii="Arial" w:cs="Arial" w:eastAsia="Arial" w:hAnsi="Arial"/>
                  <w:sz w:val="22"/>
                  <w:szCs w:val="22"/>
                  <w:b w:val="1"/>
                  <w:bCs w:val="1"/>
                  <w:color w:val="CE0E41"/>
                  <w:w w:val="97"/>
                </w:rPr>
                <w:t>Purpose and Duration</w:t>
              </w:r>
            </w:hyperlink>
          </w:p>
        </w:tc>
        <w:tc>
          <w:tcPr>
            <w:tcW w:w="5920" w:type="dxa"/>
            <w:vAlign w:val="bottom"/>
          </w:tcPr>
          <w:p>
            <w:pPr>
              <w:ind w:left="5580"/>
              <w:spacing w:after="0"/>
              <w:rPr>
                <w:sz w:val="20"/>
                <w:szCs w:val="20"/>
                <w:color w:val="auto"/>
              </w:rPr>
            </w:pPr>
            <w:r>
              <w:rPr>
                <w:rFonts w:ascii="Arial" w:cs="Arial" w:eastAsia="Arial" w:hAnsi="Arial"/>
                <w:sz w:val="22"/>
                <w:szCs w:val="22"/>
                <w:b w:val="1"/>
                <w:bCs w:val="1"/>
                <w:color w:val="auto"/>
                <w:w w:val="90"/>
              </w:rPr>
              <w:t>A-7</w:t>
            </w:r>
          </w:p>
        </w:tc>
      </w:tr>
    </w:tbl>
    <w:p>
      <w:pPr>
        <w:spacing w:after="0" w:line="424" w:lineRule="exact"/>
        <w:rPr>
          <w:sz w:val="20"/>
          <w:szCs w:val="20"/>
          <w:color w:val="auto"/>
        </w:rPr>
      </w:pPr>
    </w:p>
    <w:p>
      <w:pPr>
        <w:sectPr>
          <w:pgSz w:w="11900" w:h="16838" w:orient="portrait"/>
          <w:cols w:equalWidth="0" w:num="2">
            <w:col w:w="2520" w:space="720"/>
            <w:col w:w="8180"/>
          </w:cols>
          <w:pgMar w:left="240" w:top="451" w:right="239" w:bottom="1440" w:gutter="0" w:footer="0" w:header="0"/>
          <w:type w:val="continuous"/>
        </w:sectPr>
      </w:pPr>
    </w:p>
    <w:p>
      <w:pPr>
        <w:spacing w:after="0" w:line="51"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00" w:type="dxa"/>
            <w:vAlign w:val="bottom"/>
            <w:tcBorders>
              <w:bottom w:val="single" w:sz="8" w:color="CE0D41"/>
            </w:tcBorders>
          </w:tcPr>
          <w:p>
            <w:pPr>
              <w:jc w:val="right"/>
              <w:spacing w:after="0"/>
              <w:rPr>
                <w:rFonts w:ascii="Arial" w:cs="Arial" w:eastAsia="Arial" w:hAnsi="Arial"/>
                <w:sz w:val="22"/>
                <w:szCs w:val="22"/>
                <w:color w:val="CE0D41"/>
                <w:w w:val="91"/>
              </w:rPr>
            </w:pPr>
            <w:hyperlink w:anchor="page104">
              <w:r>
                <w:rPr>
                  <w:rFonts w:ascii="Arial" w:cs="Arial" w:eastAsia="Arial" w:hAnsi="Arial"/>
                  <w:sz w:val="22"/>
                  <w:szCs w:val="22"/>
                  <w:color w:val="CE0D41"/>
                  <w:w w:val="91"/>
                </w:rPr>
                <w:t>1.</w:t>
              </w:r>
              <w:r>
                <w:rPr>
                  <w:rFonts w:ascii="Arial" w:cs="Arial" w:eastAsia="Arial" w:hAnsi="Arial"/>
                  <w:sz w:val="22"/>
                  <w:szCs w:val="22"/>
                  <w:u w:val="single" w:color="auto"/>
                  <w:color w:val="CE0D41"/>
                  <w:w w:val="91"/>
                </w:rPr>
                <w:t>1</w:t>
              </w:r>
            </w:hyperlink>
          </w:p>
        </w:tc>
        <w:tc>
          <w:tcPr>
            <w:tcW w:w="740" w:type="dxa"/>
            <w:vAlign w:val="bottom"/>
          </w:tcPr>
          <w:p>
            <w:pPr>
              <w:spacing w:after="0"/>
              <w:rPr>
                <w:sz w:val="21"/>
                <w:szCs w:val="21"/>
                <w:color w:val="auto"/>
              </w:rPr>
            </w:pPr>
          </w:p>
        </w:tc>
        <w:tc>
          <w:tcPr>
            <w:tcW w:w="1900" w:type="dxa"/>
            <w:vAlign w:val="bottom"/>
            <w:tcBorders>
              <w:bottom w:val="single" w:sz="8" w:color="auto"/>
            </w:tcBorders>
            <w:gridSpan w:val="2"/>
          </w:tcPr>
          <w:p>
            <w:pPr>
              <w:spacing w:after="0"/>
              <w:rPr>
                <w:rFonts w:ascii="Arial" w:cs="Arial" w:eastAsia="Arial" w:hAnsi="Arial"/>
                <w:sz w:val="22"/>
                <w:szCs w:val="22"/>
                <w:color w:val="auto"/>
                <w:w w:val="97"/>
              </w:rPr>
            </w:pPr>
            <w:hyperlink w:anchor="page104">
              <w:r>
                <w:rPr>
                  <w:rFonts w:ascii="Arial" w:cs="Arial" w:eastAsia="Arial" w:hAnsi="Arial"/>
                  <w:sz w:val="22"/>
                  <w:szCs w:val="22"/>
                  <w:color w:val="auto"/>
                  <w:w w:val="97"/>
                </w:rPr>
                <w:t>Purpose of the Plan</w:t>
              </w:r>
            </w:hyperlink>
          </w:p>
        </w:tc>
        <w:tc>
          <w:tcPr>
            <w:tcW w:w="7720" w:type="dxa"/>
            <w:vAlign w:val="bottom"/>
          </w:tcPr>
          <w:p>
            <w:pPr>
              <w:ind w:left="7380"/>
              <w:spacing w:after="0"/>
              <w:rPr>
                <w:sz w:val="20"/>
                <w:szCs w:val="20"/>
                <w:color w:val="auto"/>
              </w:rPr>
            </w:pPr>
            <w:r>
              <w:rPr>
                <w:rFonts w:ascii="Arial" w:cs="Arial" w:eastAsia="Arial" w:hAnsi="Arial"/>
                <w:sz w:val="22"/>
                <w:szCs w:val="22"/>
                <w:color w:val="auto"/>
                <w:w w:val="93"/>
              </w:rPr>
              <w:t>A-7</w:t>
            </w:r>
          </w:p>
        </w:tc>
      </w:tr>
      <w:tr>
        <w:trPr>
          <w:trHeight w:val="304"/>
        </w:trPr>
        <w:tc>
          <w:tcPr>
            <w:tcW w:w="300" w:type="dxa"/>
            <w:vAlign w:val="bottom"/>
            <w:tcBorders>
              <w:bottom w:val="single" w:sz="8" w:color="CE0D41"/>
            </w:tcBorders>
          </w:tcPr>
          <w:p>
            <w:pPr>
              <w:jc w:val="right"/>
              <w:spacing w:after="0"/>
              <w:rPr>
                <w:rFonts w:ascii="Arial" w:cs="Arial" w:eastAsia="Arial" w:hAnsi="Arial"/>
                <w:sz w:val="22"/>
                <w:szCs w:val="22"/>
                <w:color w:val="CE0D41"/>
                <w:w w:val="91"/>
              </w:rPr>
            </w:pPr>
            <w:hyperlink w:anchor="page104">
              <w:r>
                <w:rPr>
                  <w:rFonts w:ascii="Arial" w:cs="Arial" w:eastAsia="Arial" w:hAnsi="Arial"/>
                  <w:sz w:val="22"/>
                  <w:szCs w:val="22"/>
                  <w:color w:val="CE0D41"/>
                  <w:w w:val="91"/>
                </w:rPr>
                <w:t>1.</w:t>
              </w:r>
              <w:r>
                <w:rPr>
                  <w:rFonts w:ascii="Arial" w:cs="Arial" w:eastAsia="Arial" w:hAnsi="Arial"/>
                  <w:sz w:val="22"/>
                  <w:szCs w:val="22"/>
                  <w:u w:val="single" w:color="auto"/>
                  <w:color w:val="CE0D41"/>
                  <w:w w:val="91"/>
                </w:rPr>
                <w:t>2</w:t>
              </w:r>
            </w:hyperlink>
          </w:p>
        </w:tc>
        <w:tc>
          <w:tcPr>
            <w:tcW w:w="740" w:type="dxa"/>
            <w:vAlign w:val="bottom"/>
          </w:tcPr>
          <w:p>
            <w:pPr>
              <w:spacing w:after="0"/>
              <w:rPr>
                <w:sz w:val="24"/>
                <w:szCs w:val="24"/>
                <w:color w:val="auto"/>
              </w:rPr>
            </w:pPr>
          </w:p>
        </w:tc>
        <w:tc>
          <w:tcPr>
            <w:tcW w:w="1560" w:type="dxa"/>
            <w:vAlign w:val="bottom"/>
            <w:tcBorders>
              <w:bottom w:val="single" w:sz="8" w:color="auto"/>
            </w:tcBorders>
          </w:tcPr>
          <w:p>
            <w:pPr>
              <w:spacing w:after="0"/>
              <w:rPr>
                <w:rFonts w:ascii="Arial" w:cs="Arial" w:eastAsia="Arial" w:hAnsi="Arial"/>
                <w:sz w:val="22"/>
                <w:szCs w:val="22"/>
                <w:color w:val="auto"/>
                <w:w w:val="97"/>
              </w:rPr>
            </w:pPr>
            <w:hyperlink w:anchor="page104">
              <w:r>
                <w:rPr>
                  <w:rFonts w:ascii="Arial" w:cs="Arial" w:eastAsia="Arial" w:hAnsi="Arial"/>
                  <w:sz w:val="22"/>
                  <w:szCs w:val="22"/>
                  <w:color w:val="auto"/>
                  <w:w w:val="97"/>
                </w:rPr>
                <w:t>Duration of Plan</w:t>
              </w:r>
            </w:hyperlink>
          </w:p>
        </w:tc>
        <w:tc>
          <w:tcPr>
            <w:tcW w:w="340" w:type="dxa"/>
            <w:vAlign w:val="bottom"/>
          </w:tcPr>
          <w:p>
            <w:pPr>
              <w:spacing w:after="0"/>
              <w:rPr>
                <w:sz w:val="24"/>
                <w:szCs w:val="24"/>
                <w:color w:val="auto"/>
              </w:rPr>
            </w:pPr>
          </w:p>
        </w:tc>
        <w:tc>
          <w:tcPr>
            <w:tcW w:w="7720" w:type="dxa"/>
            <w:vAlign w:val="bottom"/>
          </w:tcPr>
          <w:p>
            <w:pPr>
              <w:ind w:left="7380"/>
              <w:spacing w:after="0"/>
              <w:rPr>
                <w:sz w:val="20"/>
                <w:szCs w:val="20"/>
                <w:color w:val="auto"/>
              </w:rPr>
            </w:pPr>
            <w:r>
              <w:rPr>
                <w:rFonts w:ascii="Arial" w:cs="Arial" w:eastAsia="Arial" w:hAnsi="Arial"/>
                <w:sz w:val="22"/>
                <w:szCs w:val="22"/>
                <w:color w:val="auto"/>
                <w:w w:val="93"/>
              </w:rPr>
              <w:t>A-7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spacing w:after="0"/>
        <w:rPr>
          <w:rFonts w:ascii="Arial" w:cs="Arial" w:eastAsia="Arial" w:hAnsi="Arial"/>
          <w:sz w:val="43"/>
          <w:szCs w:val="43"/>
          <w:b w:val="1"/>
          <w:bCs w:val="1"/>
          <w:u w:val="single" w:color="auto"/>
          <w:color w:val="auto"/>
        </w:rPr>
      </w:pPr>
      <w:hyperlink w:anchor="page104">
        <w:r>
          <w:rPr>
            <w:rFonts w:ascii="Arial" w:cs="Arial" w:eastAsia="Arial" w:hAnsi="Arial"/>
            <w:sz w:val="43"/>
            <w:szCs w:val="43"/>
            <w:b w:val="1"/>
            <w:bCs w:val="1"/>
            <w:u w:val="single" w:color="auto"/>
            <w:color w:val="auto"/>
          </w:rPr>
          <w:t>ARTICLE II</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Borders>
              <w:bottom w:val="single" w:sz="8" w:color="CE0E41"/>
            </w:tcBorders>
          </w:tcPr>
          <w:p>
            <w:pPr>
              <w:spacing w:after="0"/>
              <w:rPr>
                <w:rFonts w:ascii="Arial" w:cs="Arial" w:eastAsia="Arial" w:hAnsi="Arial"/>
                <w:sz w:val="22"/>
                <w:szCs w:val="22"/>
                <w:b w:val="1"/>
                <w:bCs w:val="1"/>
                <w:color w:val="CE0E41"/>
                <w:w w:val="96"/>
              </w:rPr>
            </w:pPr>
            <w:hyperlink w:anchor="page104">
              <w:r>
                <w:rPr>
                  <w:rFonts w:ascii="Arial" w:cs="Arial" w:eastAsia="Arial" w:hAnsi="Arial"/>
                  <w:sz w:val="22"/>
                  <w:szCs w:val="22"/>
                  <w:b w:val="1"/>
                  <w:bCs w:val="1"/>
                  <w:color w:val="CE0E41"/>
                  <w:w w:val="96"/>
                </w:rPr>
                <w:t>Definitions</w:t>
              </w:r>
            </w:hyperlink>
          </w:p>
        </w:tc>
        <w:tc>
          <w:tcPr>
            <w:tcW w:w="7060" w:type="dxa"/>
            <w:vAlign w:val="bottom"/>
          </w:tcPr>
          <w:p>
            <w:pPr>
              <w:ind w:left="6720"/>
              <w:spacing w:after="0"/>
              <w:rPr>
                <w:sz w:val="20"/>
                <w:szCs w:val="20"/>
                <w:color w:val="auto"/>
              </w:rPr>
            </w:pPr>
            <w:r>
              <w:rPr>
                <w:rFonts w:ascii="Arial" w:cs="Arial" w:eastAsia="Arial" w:hAnsi="Arial"/>
                <w:sz w:val="22"/>
                <w:szCs w:val="22"/>
                <w:b w:val="1"/>
                <w:bCs w:val="1"/>
                <w:color w:val="auto"/>
                <w:w w:val="90"/>
              </w:rPr>
              <w:t>A-7</w:t>
            </w:r>
          </w:p>
        </w:tc>
      </w:tr>
    </w:tbl>
    <w:p>
      <w:pPr>
        <w:spacing w:after="0" w:line="424" w:lineRule="exact"/>
        <w:rPr>
          <w:sz w:val="20"/>
          <w:szCs w:val="20"/>
          <w:color w:val="auto"/>
        </w:rPr>
      </w:pPr>
    </w:p>
    <w:p>
      <w:pPr>
        <w:sectPr>
          <w:pgSz w:w="11900" w:h="16838" w:orient="portrait"/>
          <w:cols w:equalWidth="0" w:num="2">
            <w:col w:w="2520" w:space="720"/>
            <w:col w:w="8180"/>
          </w:cols>
          <w:pgMar w:left="240" w:top="451" w:right="239" w:bottom="1440" w:gutter="0" w:footer="0" w:header="0"/>
          <w:type w:val="continuous"/>
        </w:sectPr>
      </w:pPr>
    </w:p>
    <w:p>
      <w:pPr>
        <w:spacing w:after="0" w:line="51"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w:t>
              </w:r>
            </w:hyperlink>
          </w:p>
        </w:tc>
        <w:tc>
          <w:tcPr>
            <w:tcW w:w="60" w:type="dxa"/>
            <w:vAlign w:val="bottom"/>
          </w:tcPr>
          <w:p>
            <w:pPr>
              <w:spacing w:after="0"/>
              <w:rPr>
                <w:sz w:val="21"/>
                <w:szCs w:val="21"/>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“Act”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“Affiliate”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3</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“Award”</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4</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“Award Agreement”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5</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“Beneficial Owner”</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6</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“Board”</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7</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“Cash-Based Award”</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8</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“Change of Control”</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9</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5">
              <w:r>
                <w:rPr>
                  <w:rFonts w:ascii="Arial" w:cs="Arial" w:eastAsia="Arial" w:hAnsi="Arial"/>
                  <w:sz w:val="22"/>
                  <w:szCs w:val="22"/>
                  <w:color w:val="auto"/>
                </w:rPr>
                <w:t>“Code”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10</w:t>
              </w:r>
            </w:hyperlink>
          </w:p>
        </w:tc>
        <w:tc>
          <w:tcPr>
            <w:tcW w:w="680" w:type="dxa"/>
            <w:vAlign w:val="bottom"/>
          </w:tcPr>
          <w:p>
            <w:pPr>
              <w:spacing w:after="0"/>
              <w:rPr>
                <w:sz w:val="24"/>
                <w:szCs w:val="24"/>
                <w:color w:val="auto"/>
              </w:rPr>
            </w:pPr>
          </w:p>
        </w:tc>
        <w:tc>
          <w:tcPr>
            <w:tcW w:w="1200" w:type="dxa"/>
            <w:vAlign w:val="bottom"/>
            <w:tcBorders>
              <w:bottom w:val="single" w:sz="8" w:color="auto"/>
            </w:tcBorders>
            <w:gridSpan w:val="12"/>
          </w:tcPr>
          <w:p>
            <w:pPr>
              <w:spacing w:after="0"/>
              <w:rPr>
                <w:rFonts w:ascii="Arial" w:cs="Arial" w:eastAsia="Arial" w:hAnsi="Arial"/>
                <w:sz w:val="22"/>
                <w:szCs w:val="22"/>
                <w:color w:val="auto"/>
                <w:w w:val="97"/>
              </w:rPr>
            </w:pPr>
            <w:hyperlink w:anchor="page105">
              <w:r>
                <w:rPr>
                  <w:rFonts w:ascii="Arial" w:cs="Arial" w:eastAsia="Arial" w:hAnsi="Arial"/>
                  <w:sz w:val="22"/>
                  <w:szCs w:val="22"/>
                  <w:color w:val="auto"/>
                  <w:w w:val="97"/>
                </w:rPr>
                <w:t>“Committee”</w:t>
              </w:r>
            </w:hyperlink>
          </w:p>
        </w:tc>
        <w:tc>
          <w:tcPr>
            <w:tcW w:w="2440" w:type="dxa"/>
            <w:vAlign w:val="bottom"/>
            <w:gridSpan w:val="10"/>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11</w:t>
              </w:r>
            </w:hyperlink>
          </w:p>
        </w:tc>
        <w:tc>
          <w:tcPr>
            <w:tcW w:w="680" w:type="dxa"/>
            <w:vAlign w:val="bottom"/>
          </w:tcPr>
          <w:p>
            <w:pPr>
              <w:spacing w:after="0"/>
              <w:rPr>
                <w:sz w:val="24"/>
                <w:szCs w:val="24"/>
                <w:color w:val="auto"/>
              </w:rPr>
            </w:pPr>
          </w:p>
        </w:tc>
        <w:tc>
          <w:tcPr>
            <w:tcW w:w="1080" w:type="dxa"/>
            <w:vAlign w:val="bottom"/>
            <w:tcBorders>
              <w:bottom w:val="single" w:sz="8" w:color="auto"/>
            </w:tcBorders>
            <w:gridSpan w:val="9"/>
          </w:tcPr>
          <w:p>
            <w:pPr>
              <w:spacing w:after="0"/>
              <w:rPr>
                <w:rFonts w:ascii="Arial" w:cs="Arial" w:eastAsia="Arial" w:hAnsi="Arial"/>
                <w:sz w:val="22"/>
                <w:szCs w:val="22"/>
                <w:color w:val="auto"/>
                <w:w w:val="97"/>
              </w:rPr>
            </w:pPr>
            <w:hyperlink w:anchor="page105">
              <w:r>
                <w:rPr>
                  <w:rFonts w:ascii="Arial" w:cs="Arial" w:eastAsia="Arial" w:hAnsi="Arial"/>
                  <w:sz w:val="22"/>
                  <w:szCs w:val="22"/>
                  <w:color w:val="auto"/>
                  <w:w w:val="97"/>
                </w:rPr>
                <w:t>“Company”</w:t>
              </w:r>
            </w:hyperlink>
          </w:p>
        </w:tc>
        <w:tc>
          <w:tcPr>
            <w:tcW w:w="2560" w:type="dxa"/>
            <w:vAlign w:val="bottom"/>
            <w:gridSpan w:val="13"/>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12</w:t>
              </w:r>
            </w:hyperlink>
          </w:p>
        </w:tc>
        <w:tc>
          <w:tcPr>
            <w:tcW w:w="680" w:type="dxa"/>
            <w:vAlign w:val="bottom"/>
          </w:tcPr>
          <w:p>
            <w:pPr>
              <w:spacing w:after="0"/>
              <w:rPr>
                <w:sz w:val="24"/>
                <w:szCs w:val="24"/>
                <w:color w:val="auto"/>
              </w:rPr>
            </w:pPr>
          </w:p>
        </w:tc>
        <w:tc>
          <w:tcPr>
            <w:tcW w:w="1940" w:type="dxa"/>
            <w:vAlign w:val="bottom"/>
            <w:tcBorders>
              <w:bottom w:val="single" w:sz="8" w:color="auto"/>
            </w:tcBorders>
            <w:gridSpan w:val="18"/>
          </w:tcPr>
          <w:p>
            <w:pPr>
              <w:spacing w:after="0"/>
              <w:rPr>
                <w:rFonts w:ascii="Arial" w:cs="Arial" w:eastAsia="Arial" w:hAnsi="Arial"/>
                <w:sz w:val="22"/>
                <w:szCs w:val="22"/>
                <w:color w:val="auto"/>
                <w:w w:val="97"/>
              </w:rPr>
            </w:pPr>
            <w:hyperlink w:anchor="page105">
              <w:r>
                <w:rPr>
                  <w:rFonts w:ascii="Arial" w:cs="Arial" w:eastAsia="Arial" w:hAnsi="Arial"/>
                  <w:sz w:val="22"/>
                  <w:szCs w:val="22"/>
                  <w:color w:val="auto"/>
                  <w:w w:val="97"/>
                </w:rPr>
                <w:t>“Company’s Assets”</w:t>
              </w:r>
            </w:hyperlink>
          </w:p>
        </w:tc>
        <w:tc>
          <w:tcPr>
            <w:tcW w:w="1700" w:type="dxa"/>
            <w:vAlign w:val="bottom"/>
            <w:gridSpan w:val="4"/>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13</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“Consultant”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14</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“Covered Employee”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top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15</w:t>
              </w:r>
            </w:hyperlink>
          </w:p>
        </w:tc>
        <w:tc>
          <w:tcPr>
            <w:tcW w:w="680" w:type="dxa"/>
            <w:vAlign w:val="bottom"/>
          </w:tcPr>
          <w:p>
            <w:pPr>
              <w:spacing w:after="0"/>
              <w:rPr>
                <w:sz w:val="24"/>
                <w:szCs w:val="24"/>
                <w:color w:val="auto"/>
              </w:rPr>
            </w:pPr>
          </w:p>
        </w:tc>
        <w:tc>
          <w:tcPr>
            <w:tcW w:w="2000" w:type="dxa"/>
            <w:vAlign w:val="bottom"/>
            <w:tcBorders>
              <w:top w:val="single" w:sz="8" w:color="auto"/>
            </w:tcBorders>
            <w:gridSpan w:val="19"/>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“Director”</w:t>
              </w:r>
            </w:hyperlink>
          </w:p>
        </w:tc>
        <w:tc>
          <w:tcPr>
            <w:tcW w:w="1640" w:type="dxa"/>
            <w:vAlign w:val="bottom"/>
            <w:gridSpan w:val="3"/>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16</w:t>
              </w:r>
            </w:hyperlink>
          </w:p>
        </w:tc>
        <w:tc>
          <w:tcPr>
            <w:tcW w:w="680" w:type="dxa"/>
            <w:vAlign w:val="bottom"/>
          </w:tcPr>
          <w:p>
            <w:pPr>
              <w:spacing w:after="0"/>
              <w:rPr>
                <w:sz w:val="24"/>
                <w:szCs w:val="24"/>
                <w:color w:val="auto"/>
              </w:rPr>
            </w:pPr>
          </w:p>
        </w:tc>
        <w:tc>
          <w:tcPr>
            <w:tcW w:w="1020" w:type="dxa"/>
            <w:vAlign w:val="bottom"/>
            <w:tcBorders>
              <w:bottom w:val="single" w:sz="8" w:color="auto"/>
            </w:tcBorders>
            <w:gridSpan w:val="8"/>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“Disability”</w:t>
              </w:r>
            </w:hyperlink>
          </w:p>
        </w:tc>
        <w:tc>
          <w:tcPr>
            <w:tcW w:w="2620" w:type="dxa"/>
            <w:vAlign w:val="bottom"/>
            <w:gridSpan w:val="14"/>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17</w:t>
              </w:r>
            </w:hyperlink>
          </w:p>
        </w:tc>
        <w:tc>
          <w:tcPr>
            <w:tcW w:w="680" w:type="dxa"/>
            <w:vAlign w:val="bottom"/>
          </w:tcPr>
          <w:p>
            <w:pPr>
              <w:spacing w:after="0"/>
              <w:rPr>
                <w:sz w:val="24"/>
                <w:szCs w:val="24"/>
                <w:color w:val="auto"/>
              </w:rPr>
            </w:pPr>
          </w:p>
        </w:tc>
        <w:tc>
          <w:tcPr>
            <w:tcW w:w="2060" w:type="dxa"/>
            <w:vAlign w:val="bottom"/>
            <w:tcBorders>
              <w:bottom w:val="single" w:sz="8" w:color="auto"/>
            </w:tcBorders>
            <w:gridSpan w:val="20"/>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“Dividend Equivalent”</w:t>
              </w:r>
            </w:hyperlink>
          </w:p>
        </w:tc>
        <w:tc>
          <w:tcPr>
            <w:tcW w:w="1580" w:type="dxa"/>
            <w:vAlign w:val="bottom"/>
            <w:gridSpan w:val="2"/>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18</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“Employee”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19</w:t>
              </w:r>
            </w:hyperlink>
          </w:p>
        </w:tc>
        <w:tc>
          <w:tcPr>
            <w:tcW w:w="680" w:type="dxa"/>
            <w:vAlign w:val="bottom"/>
          </w:tcPr>
          <w:p>
            <w:pPr>
              <w:spacing w:after="0"/>
              <w:rPr>
                <w:sz w:val="24"/>
                <w:szCs w:val="24"/>
                <w:color w:val="auto"/>
              </w:rPr>
            </w:pPr>
          </w:p>
        </w:tc>
        <w:tc>
          <w:tcPr>
            <w:tcW w:w="1360" w:type="dxa"/>
            <w:vAlign w:val="bottom"/>
            <w:tcBorders>
              <w:bottom w:val="single" w:sz="8" w:color="auto"/>
            </w:tcBorders>
            <w:gridSpan w:val="14"/>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“Employment”</w:t>
              </w:r>
            </w:hyperlink>
          </w:p>
        </w:tc>
        <w:tc>
          <w:tcPr>
            <w:tcW w:w="2280" w:type="dxa"/>
            <w:vAlign w:val="bottom"/>
            <w:gridSpan w:val="8"/>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20</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“Entity”</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21</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“Exchange Act”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22</w:t>
              </w:r>
            </w:hyperlink>
          </w:p>
        </w:tc>
        <w:tc>
          <w:tcPr>
            <w:tcW w:w="680" w:type="dxa"/>
            <w:vAlign w:val="bottom"/>
          </w:tcPr>
          <w:p>
            <w:pPr>
              <w:spacing w:after="0"/>
              <w:rPr>
                <w:sz w:val="24"/>
                <w:szCs w:val="24"/>
                <w:color w:val="auto"/>
              </w:rPr>
            </w:pPr>
          </w:p>
        </w:tc>
        <w:tc>
          <w:tcPr>
            <w:tcW w:w="1880" w:type="dxa"/>
            <w:vAlign w:val="bottom"/>
            <w:tcBorders>
              <w:bottom w:val="single" w:sz="8" w:color="auto"/>
            </w:tcBorders>
            <w:gridSpan w:val="17"/>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“Fair Market Value”</w:t>
              </w:r>
            </w:hyperlink>
          </w:p>
        </w:tc>
        <w:tc>
          <w:tcPr>
            <w:tcW w:w="1760" w:type="dxa"/>
            <w:vAlign w:val="bottom"/>
            <w:gridSpan w:val="5"/>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23</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“Fiscal Year”</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top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24</w:t>
              </w:r>
            </w:hyperlink>
          </w:p>
        </w:tc>
        <w:tc>
          <w:tcPr>
            <w:tcW w:w="680" w:type="dxa"/>
            <w:vAlign w:val="bottom"/>
          </w:tcPr>
          <w:p>
            <w:pPr>
              <w:spacing w:after="0"/>
              <w:rPr>
                <w:sz w:val="24"/>
                <w:szCs w:val="24"/>
                <w:color w:val="auto"/>
              </w:rPr>
            </w:pPr>
          </w:p>
        </w:tc>
        <w:tc>
          <w:tcPr>
            <w:tcW w:w="1200" w:type="dxa"/>
            <w:vAlign w:val="bottom"/>
            <w:tcBorders>
              <w:top w:val="single" w:sz="8" w:color="auto"/>
            </w:tcBorders>
            <w:gridSpan w:val="1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“Holder”</w:t>
              </w:r>
            </w:hyperlink>
          </w:p>
        </w:tc>
        <w:tc>
          <w:tcPr>
            <w:tcW w:w="2440" w:type="dxa"/>
            <w:vAlign w:val="bottom"/>
            <w:gridSpan w:val="10"/>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top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25</w:t>
              </w:r>
            </w:hyperlink>
          </w:p>
        </w:tc>
        <w:tc>
          <w:tcPr>
            <w:tcW w:w="680" w:type="dxa"/>
            <w:vAlign w:val="bottom"/>
          </w:tcPr>
          <w:p>
            <w:pPr>
              <w:spacing w:after="0"/>
              <w:rPr>
                <w:sz w:val="24"/>
                <w:szCs w:val="24"/>
                <w:color w:val="auto"/>
              </w:rPr>
            </w:pPr>
          </w:p>
        </w:tc>
        <w:tc>
          <w:tcPr>
            <w:tcW w:w="780" w:type="dxa"/>
            <w:vAlign w:val="bottom"/>
            <w:tcBorders>
              <w:top w:val="single" w:sz="8" w:color="auto"/>
            </w:tcBorders>
            <w:gridSpan w:val="5"/>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“ISO”</w:t>
              </w:r>
            </w:hyperlink>
          </w:p>
        </w:tc>
        <w:tc>
          <w:tcPr>
            <w:tcW w:w="2860" w:type="dxa"/>
            <w:vAlign w:val="bottom"/>
            <w:gridSpan w:val="17"/>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26</w:t>
              </w:r>
            </w:hyperlink>
          </w:p>
        </w:tc>
        <w:tc>
          <w:tcPr>
            <w:tcW w:w="68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rFonts w:ascii="Arial" w:cs="Arial" w:eastAsia="Arial" w:hAnsi="Arial"/>
                <w:sz w:val="22"/>
                <w:szCs w:val="22"/>
                <w:color w:val="auto"/>
                <w:w w:val="99"/>
              </w:rPr>
            </w:pPr>
            <w:hyperlink w:anchor="page106">
              <w:r>
                <w:rPr>
                  <w:rFonts w:ascii="Arial" w:cs="Arial" w:eastAsia="Arial" w:hAnsi="Arial"/>
                  <w:sz w:val="22"/>
                  <w:szCs w:val="22"/>
                  <w:color w:val="auto"/>
                  <w:w w:val="99"/>
                </w:rPr>
                <w:t>“NSO”</w:t>
              </w:r>
            </w:hyperlink>
          </w:p>
        </w:tc>
        <w:tc>
          <w:tcPr>
            <w:tcW w:w="2980" w:type="dxa"/>
            <w:vAlign w:val="bottom"/>
            <w:gridSpan w:val="19"/>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27</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“Option”</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28</w:t>
              </w:r>
            </w:hyperlink>
          </w:p>
        </w:tc>
        <w:tc>
          <w:tcPr>
            <w:tcW w:w="680" w:type="dxa"/>
            <w:vAlign w:val="bottom"/>
          </w:tcPr>
          <w:p>
            <w:pPr>
              <w:spacing w:after="0"/>
              <w:rPr>
                <w:sz w:val="24"/>
                <w:szCs w:val="24"/>
                <w:color w:val="auto"/>
              </w:rPr>
            </w:pPr>
          </w:p>
        </w:tc>
        <w:tc>
          <w:tcPr>
            <w:tcW w:w="1340" w:type="dxa"/>
            <w:vAlign w:val="bottom"/>
            <w:tcBorders>
              <w:bottom w:val="single" w:sz="8" w:color="auto"/>
            </w:tcBorders>
            <w:gridSpan w:val="13"/>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“Option Price”</w:t>
              </w:r>
            </w:hyperlink>
          </w:p>
        </w:tc>
        <w:tc>
          <w:tcPr>
            <w:tcW w:w="2300" w:type="dxa"/>
            <w:vAlign w:val="bottom"/>
            <w:gridSpan w:val="9"/>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29</w:t>
              </w:r>
            </w:hyperlink>
          </w:p>
        </w:tc>
        <w:tc>
          <w:tcPr>
            <w:tcW w:w="680" w:type="dxa"/>
            <w:vAlign w:val="bottom"/>
          </w:tcPr>
          <w:p>
            <w:pPr>
              <w:spacing w:after="0"/>
              <w:rPr>
                <w:sz w:val="24"/>
                <w:szCs w:val="24"/>
                <w:color w:val="auto"/>
              </w:rPr>
            </w:pPr>
          </w:p>
        </w:tc>
        <w:tc>
          <w:tcPr>
            <w:tcW w:w="3640" w:type="dxa"/>
            <w:vAlign w:val="bottom"/>
            <w:tcBorders>
              <w:bottom w:val="single" w:sz="8" w:color="auto"/>
            </w:tcBorders>
            <w:gridSpan w:val="22"/>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“Ordinary Share” or “Ordinary Shares”</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30</w:t>
              </w:r>
            </w:hyperlink>
          </w:p>
        </w:tc>
        <w:tc>
          <w:tcPr>
            <w:tcW w:w="680" w:type="dxa"/>
            <w:vAlign w:val="bottom"/>
          </w:tcPr>
          <w:p>
            <w:pPr>
              <w:spacing w:after="0"/>
              <w:rPr>
                <w:sz w:val="24"/>
                <w:szCs w:val="24"/>
                <w:color w:val="auto"/>
              </w:rPr>
            </w:pPr>
          </w:p>
        </w:tc>
        <w:tc>
          <w:tcPr>
            <w:tcW w:w="2680" w:type="dxa"/>
            <w:vAlign w:val="bottom"/>
            <w:tcBorders>
              <w:bottom w:val="single" w:sz="8" w:color="auto"/>
            </w:tcBorders>
            <w:gridSpan w:val="21"/>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“Other Share-Based Award”</w:t>
              </w:r>
            </w:hyperlink>
          </w:p>
        </w:tc>
        <w:tc>
          <w:tcPr>
            <w:tcW w:w="960" w:type="dxa"/>
            <w:vAlign w:val="bottom"/>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0"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A-2</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type w:val="continuous"/>
        </w:sectPr>
      </w:pPr>
    </w:p>
    <w:bookmarkStart w:id="99" w:name="page100"/>
    <w:bookmarkEnd w:id="99"/>
    <w:tbl>
      <w:tblPr>
        <w:tblLayout w:type="fixed"/>
        <w:tblInd w:w="700" w:type="dxa"/>
        <w:tblCellMar>
          <w:top w:w="0" w:type="dxa"/>
          <w:left w:w="0" w:type="dxa"/>
          <w:bottom w:w="0" w:type="dxa"/>
          <w:right w:w="0" w:type="dxa"/>
        </w:tblCellMar>
      </w:tblPr>
      <w:tr>
        <w:trPr>
          <w:trHeight w:val="253"/>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6">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31</w:t>
              </w:r>
            </w:hyperlink>
          </w:p>
        </w:tc>
        <w:tc>
          <w:tcPr>
            <w:tcW w:w="680" w:type="dxa"/>
            <w:vAlign w:val="bottom"/>
          </w:tcPr>
          <w:p>
            <w:pPr>
              <w:spacing w:after="0"/>
              <w:rPr>
                <w:sz w:val="21"/>
                <w:szCs w:val="21"/>
                <w:color w:val="auto"/>
              </w:rPr>
            </w:pPr>
          </w:p>
        </w:tc>
        <w:tc>
          <w:tcPr>
            <w:tcW w:w="1980" w:type="dxa"/>
            <w:vAlign w:val="bottom"/>
            <w:tcBorders>
              <w:bottom w:val="single" w:sz="8" w:color="auto"/>
            </w:tcBorders>
            <w:gridSpan w:val="10"/>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“Parent Corporation”</w:t>
              </w:r>
            </w:hyperlink>
          </w:p>
        </w:tc>
        <w:tc>
          <w:tcPr>
            <w:tcW w:w="3460" w:type="dxa"/>
            <w:vAlign w:val="bottom"/>
            <w:gridSpan w:val="10"/>
          </w:tcPr>
          <w:p>
            <w:pPr>
              <w:spacing w:after="0"/>
              <w:rPr>
                <w:sz w:val="21"/>
                <w:szCs w:val="21"/>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6">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32</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“Performance Goals”</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6">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33</w:t>
              </w:r>
            </w:hyperlink>
          </w:p>
        </w:tc>
        <w:tc>
          <w:tcPr>
            <w:tcW w:w="680" w:type="dxa"/>
            <w:vAlign w:val="bottom"/>
          </w:tcPr>
          <w:p>
            <w:pPr>
              <w:spacing w:after="0"/>
              <w:rPr>
                <w:sz w:val="24"/>
                <w:szCs w:val="24"/>
                <w:color w:val="auto"/>
              </w:rPr>
            </w:pPr>
          </w:p>
        </w:tc>
        <w:tc>
          <w:tcPr>
            <w:tcW w:w="2700" w:type="dxa"/>
            <w:vAlign w:val="bottom"/>
            <w:tcBorders>
              <w:bottom w:val="single" w:sz="8" w:color="auto"/>
            </w:tcBorders>
            <w:gridSpan w:val="16"/>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“Performance Share Award”</w:t>
              </w:r>
            </w:hyperlink>
          </w:p>
        </w:tc>
        <w:tc>
          <w:tcPr>
            <w:tcW w:w="2740" w:type="dxa"/>
            <w:vAlign w:val="bottom"/>
            <w:gridSpan w:val="4"/>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34</w:t>
              </w:r>
            </w:hyperlink>
          </w:p>
        </w:tc>
        <w:tc>
          <w:tcPr>
            <w:tcW w:w="680" w:type="dxa"/>
            <w:vAlign w:val="bottom"/>
          </w:tcPr>
          <w:p>
            <w:pPr>
              <w:spacing w:after="0"/>
              <w:rPr>
                <w:sz w:val="24"/>
                <w:szCs w:val="24"/>
                <w:color w:val="auto"/>
              </w:rPr>
            </w:pPr>
          </w:p>
        </w:tc>
        <w:tc>
          <w:tcPr>
            <w:tcW w:w="2500" w:type="dxa"/>
            <w:vAlign w:val="bottom"/>
            <w:tcBorders>
              <w:bottom w:val="single" w:sz="8" w:color="auto"/>
            </w:tcBorders>
            <w:gridSpan w:val="14"/>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“Performance Unit Award”</w:t>
              </w:r>
            </w:hyperlink>
          </w:p>
        </w:tc>
        <w:tc>
          <w:tcPr>
            <w:tcW w:w="2940" w:type="dxa"/>
            <w:vAlign w:val="bottom"/>
            <w:gridSpan w:val="6"/>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35</w:t>
              </w:r>
            </w:hyperlink>
          </w:p>
        </w:tc>
        <w:tc>
          <w:tcPr>
            <w:tcW w:w="680" w:type="dxa"/>
            <w:vAlign w:val="bottom"/>
          </w:tcPr>
          <w:p>
            <w:pPr>
              <w:spacing w:after="0"/>
              <w:rPr>
                <w:sz w:val="24"/>
                <w:szCs w:val="24"/>
                <w:color w:val="auto"/>
              </w:rPr>
            </w:pPr>
          </w:p>
        </w:tc>
        <w:tc>
          <w:tcPr>
            <w:tcW w:w="2100" w:type="dxa"/>
            <w:vAlign w:val="bottom"/>
            <w:tcBorders>
              <w:bottom w:val="single" w:sz="8" w:color="auto"/>
            </w:tcBorders>
            <w:gridSpan w:val="12"/>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“Period of Restriction”</w:t>
              </w:r>
            </w:hyperlink>
          </w:p>
        </w:tc>
        <w:tc>
          <w:tcPr>
            <w:tcW w:w="3340" w:type="dxa"/>
            <w:vAlign w:val="bottom"/>
            <w:gridSpan w:val="8"/>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36</w:t>
              </w:r>
            </w:hyperlink>
          </w:p>
        </w:tc>
        <w:tc>
          <w:tcPr>
            <w:tcW w:w="68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“Person”</w:t>
              </w:r>
            </w:hyperlink>
          </w:p>
        </w:tc>
        <w:tc>
          <w:tcPr>
            <w:tcW w:w="4600" w:type="dxa"/>
            <w:vAlign w:val="bottom"/>
            <w:gridSpan w:val="16"/>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37</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“Plan”</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38</w:t>
              </w:r>
            </w:hyperlink>
          </w:p>
        </w:tc>
        <w:tc>
          <w:tcPr>
            <w:tcW w:w="680" w:type="dxa"/>
            <w:vAlign w:val="bottom"/>
          </w:tcPr>
          <w:p>
            <w:pPr>
              <w:spacing w:after="0"/>
              <w:rPr>
                <w:sz w:val="24"/>
                <w:szCs w:val="24"/>
                <w:color w:val="auto"/>
              </w:rPr>
            </w:pPr>
          </w:p>
        </w:tc>
        <w:tc>
          <w:tcPr>
            <w:tcW w:w="4440" w:type="dxa"/>
            <w:vAlign w:val="bottom"/>
            <w:tcBorders>
              <w:bottom w:val="single" w:sz="8" w:color="auto"/>
            </w:tcBorders>
            <w:gridSpan w:val="19"/>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“Qualified Performance-Based Compensation”</w:t>
              </w:r>
            </w:hyperlink>
          </w:p>
        </w:tc>
        <w:tc>
          <w:tcPr>
            <w:tcW w:w="100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39</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“Restricted Shares”</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40</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“Restricted Share Award”</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top w:val="single" w:sz="8" w:color="CE0D41"/>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41</w:t>
              </w:r>
            </w:hyperlink>
          </w:p>
        </w:tc>
        <w:tc>
          <w:tcPr>
            <w:tcW w:w="680" w:type="dxa"/>
            <w:vAlign w:val="bottom"/>
          </w:tcPr>
          <w:p>
            <w:pPr>
              <w:spacing w:after="0"/>
              <w:rPr>
                <w:sz w:val="24"/>
                <w:szCs w:val="24"/>
                <w:color w:val="auto"/>
              </w:rPr>
            </w:pPr>
          </w:p>
        </w:tc>
        <w:tc>
          <w:tcPr>
            <w:tcW w:w="620" w:type="dxa"/>
            <w:vAlign w:val="bottom"/>
            <w:tcBorders>
              <w:top w:val="single" w:sz="8" w:color="auto"/>
              <w:bottom w:val="single" w:sz="8" w:color="auto"/>
            </w:tcBorders>
            <w:gridSpan w:val="3"/>
          </w:tcPr>
          <w:p>
            <w:pPr>
              <w:spacing w:after="0"/>
              <w:rPr>
                <w:rFonts w:ascii="Arial" w:cs="Arial" w:eastAsia="Arial" w:hAnsi="Arial"/>
                <w:sz w:val="22"/>
                <w:szCs w:val="22"/>
                <w:color w:val="auto"/>
                <w:w w:val="98"/>
              </w:rPr>
            </w:pPr>
            <w:hyperlink w:anchor="page107">
              <w:r>
                <w:rPr>
                  <w:rFonts w:ascii="Arial" w:cs="Arial" w:eastAsia="Arial" w:hAnsi="Arial"/>
                  <w:sz w:val="22"/>
                  <w:szCs w:val="22"/>
                  <w:color w:val="auto"/>
                  <w:w w:val="98"/>
                </w:rPr>
                <w:t>“RSU”</w:t>
              </w:r>
            </w:hyperlink>
          </w:p>
        </w:tc>
        <w:tc>
          <w:tcPr>
            <w:tcW w:w="1800" w:type="dxa"/>
            <w:vAlign w:val="bottom"/>
            <w:tcBorders>
              <w:top w:val="single" w:sz="8" w:color="auto"/>
            </w:tcBorders>
            <w:gridSpan w:val="10"/>
          </w:tcPr>
          <w:p>
            <w:pPr>
              <w:spacing w:after="0"/>
              <w:rPr>
                <w:sz w:val="24"/>
                <w:szCs w:val="24"/>
                <w:color w:val="auto"/>
              </w:rPr>
            </w:pPr>
          </w:p>
        </w:tc>
        <w:tc>
          <w:tcPr>
            <w:tcW w:w="3020" w:type="dxa"/>
            <w:vAlign w:val="bottom"/>
            <w:gridSpan w:val="7"/>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42</w:t>
              </w:r>
            </w:hyperlink>
          </w:p>
        </w:tc>
        <w:tc>
          <w:tcPr>
            <w:tcW w:w="680" w:type="dxa"/>
            <w:vAlign w:val="bottom"/>
          </w:tcPr>
          <w:p>
            <w:pPr>
              <w:spacing w:after="0"/>
              <w:rPr>
                <w:sz w:val="24"/>
                <w:szCs w:val="24"/>
                <w:color w:val="auto"/>
              </w:rPr>
            </w:pPr>
          </w:p>
        </w:tc>
        <w:tc>
          <w:tcPr>
            <w:tcW w:w="1280" w:type="dxa"/>
            <w:vAlign w:val="bottom"/>
            <w:tcBorders>
              <w:bottom w:val="single" w:sz="8" w:color="auto"/>
            </w:tcBorders>
            <w:gridSpan w:val="5"/>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“RSU Award”</w:t>
              </w:r>
            </w:hyperlink>
          </w:p>
        </w:tc>
        <w:tc>
          <w:tcPr>
            <w:tcW w:w="4160" w:type="dxa"/>
            <w:vAlign w:val="bottom"/>
            <w:gridSpan w:val="15"/>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43</w:t>
              </w:r>
            </w:hyperlink>
          </w:p>
        </w:tc>
        <w:tc>
          <w:tcPr>
            <w:tcW w:w="680" w:type="dxa"/>
            <w:vAlign w:val="bottom"/>
          </w:tcPr>
          <w:p>
            <w:pPr>
              <w:spacing w:after="0"/>
              <w:rPr>
                <w:sz w:val="24"/>
                <w:szCs w:val="24"/>
                <w:color w:val="auto"/>
              </w:rPr>
            </w:pPr>
          </w:p>
        </w:tc>
        <w:tc>
          <w:tcPr>
            <w:tcW w:w="600" w:type="dxa"/>
            <w:vAlign w:val="bottom"/>
            <w:tcBorders>
              <w:bottom w:val="single" w:sz="8" w:color="auto"/>
            </w:tcBorders>
            <w:gridSpan w:val="2"/>
          </w:tcPr>
          <w:p>
            <w:pPr>
              <w:spacing w:after="0"/>
              <w:rPr>
                <w:rFonts w:ascii="Arial" w:cs="Arial" w:eastAsia="Arial" w:hAnsi="Arial"/>
                <w:sz w:val="22"/>
                <w:szCs w:val="22"/>
                <w:color w:val="auto"/>
                <w:w w:val="96"/>
              </w:rPr>
            </w:pPr>
            <w:hyperlink w:anchor="page107">
              <w:r>
                <w:rPr>
                  <w:rFonts w:ascii="Arial" w:cs="Arial" w:eastAsia="Arial" w:hAnsi="Arial"/>
                  <w:sz w:val="22"/>
                  <w:szCs w:val="22"/>
                  <w:color w:val="auto"/>
                  <w:w w:val="96"/>
                </w:rPr>
                <w:t>“SAR”</w:t>
              </w:r>
            </w:hyperlink>
          </w:p>
        </w:tc>
        <w:tc>
          <w:tcPr>
            <w:tcW w:w="4840" w:type="dxa"/>
            <w:vAlign w:val="bottom"/>
            <w:gridSpan w:val="18"/>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44</w:t>
              </w:r>
            </w:hyperlink>
          </w:p>
        </w:tc>
        <w:tc>
          <w:tcPr>
            <w:tcW w:w="680" w:type="dxa"/>
            <w:vAlign w:val="bottom"/>
          </w:tcPr>
          <w:p>
            <w:pPr>
              <w:spacing w:after="0"/>
              <w:rPr>
                <w:sz w:val="24"/>
                <w:szCs w:val="24"/>
                <w:color w:val="auto"/>
              </w:rPr>
            </w:pPr>
          </w:p>
        </w:tc>
        <w:tc>
          <w:tcPr>
            <w:tcW w:w="1440" w:type="dxa"/>
            <w:vAlign w:val="bottom"/>
            <w:tcBorders>
              <w:bottom w:val="single" w:sz="8" w:color="auto"/>
            </w:tcBorders>
            <w:gridSpan w:val="6"/>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“Section 409A”</w:t>
              </w:r>
            </w:hyperlink>
          </w:p>
        </w:tc>
        <w:tc>
          <w:tcPr>
            <w:tcW w:w="4000" w:type="dxa"/>
            <w:vAlign w:val="bottom"/>
            <w:gridSpan w:val="14"/>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45</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“Securities Act”</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7"/>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46</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“Share” or “Shares”</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47</w:t>
              </w:r>
            </w:hyperlink>
          </w:p>
        </w:tc>
        <w:tc>
          <w:tcPr>
            <w:tcW w:w="680" w:type="dxa"/>
            <w:vAlign w:val="bottom"/>
          </w:tcPr>
          <w:p>
            <w:pPr>
              <w:spacing w:after="0"/>
              <w:rPr>
                <w:sz w:val="24"/>
                <w:szCs w:val="24"/>
                <w:color w:val="auto"/>
              </w:rPr>
            </w:pPr>
          </w:p>
        </w:tc>
        <w:tc>
          <w:tcPr>
            <w:tcW w:w="5440" w:type="dxa"/>
            <w:vAlign w:val="bottom"/>
            <w:tcBorders>
              <w:bottom w:val="single" w:sz="8" w:color="auto"/>
            </w:tcBorders>
            <w:gridSpan w:val="20"/>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“Subsidiary” or “Subsidiaries” or “Subsidiary Corporation”</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48</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“Substantial Risk of Forfeiture”</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top w:val="single" w:sz="8" w:color="CE0D41"/>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49</w:t>
              </w:r>
            </w:hyperlink>
          </w:p>
        </w:tc>
        <w:tc>
          <w:tcPr>
            <w:tcW w:w="680" w:type="dxa"/>
            <w:vAlign w:val="bottom"/>
          </w:tcPr>
          <w:p>
            <w:pPr>
              <w:spacing w:after="0"/>
              <w:rPr>
                <w:sz w:val="24"/>
                <w:szCs w:val="24"/>
                <w:color w:val="auto"/>
              </w:rPr>
            </w:pPr>
          </w:p>
        </w:tc>
        <w:tc>
          <w:tcPr>
            <w:tcW w:w="1880" w:type="dxa"/>
            <w:vAlign w:val="bottom"/>
            <w:tcBorders>
              <w:top w:val="single" w:sz="8" w:color="auto"/>
              <w:bottom w:val="single" w:sz="8" w:color="auto"/>
            </w:tcBorders>
            <w:gridSpan w:val="9"/>
          </w:tcPr>
          <w:p>
            <w:pPr>
              <w:spacing w:after="0"/>
              <w:rPr>
                <w:rFonts w:ascii="Arial" w:cs="Arial" w:eastAsia="Arial" w:hAnsi="Arial"/>
                <w:sz w:val="22"/>
                <w:szCs w:val="22"/>
                <w:color w:val="auto"/>
                <w:w w:val="96"/>
              </w:rPr>
            </w:pPr>
            <w:hyperlink w:anchor="page107">
              <w:r>
                <w:rPr>
                  <w:rFonts w:ascii="Arial" w:cs="Arial" w:eastAsia="Arial" w:hAnsi="Arial"/>
                  <w:sz w:val="22"/>
                  <w:szCs w:val="22"/>
                  <w:color w:val="auto"/>
                  <w:w w:val="96"/>
                </w:rPr>
                <w:t>“Tax Related Items”</w:t>
              </w:r>
            </w:hyperlink>
          </w:p>
        </w:tc>
        <w:tc>
          <w:tcPr>
            <w:tcW w:w="1040" w:type="dxa"/>
            <w:vAlign w:val="bottom"/>
            <w:tcBorders>
              <w:top w:val="single" w:sz="8" w:color="auto"/>
            </w:tcBorders>
            <w:gridSpan w:val="9"/>
          </w:tcPr>
          <w:p>
            <w:pPr>
              <w:spacing w:after="0"/>
              <w:rPr>
                <w:sz w:val="24"/>
                <w:szCs w:val="24"/>
                <w:color w:val="auto"/>
              </w:rPr>
            </w:pPr>
          </w:p>
        </w:tc>
        <w:tc>
          <w:tcPr>
            <w:tcW w:w="2520" w:type="dxa"/>
            <w:vAlign w:val="bottom"/>
            <w:gridSpan w:val="2"/>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50</w:t>
              </w:r>
            </w:hyperlink>
          </w:p>
        </w:tc>
        <w:tc>
          <w:tcPr>
            <w:tcW w:w="680" w:type="dxa"/>
            <w:vAlign w:val="bottom"/>
          </w:tcPr>
          <w:p>
            <w:pPr>
              <w:spacing w:after="0"/>
              <w:rPr>
                <w:sz w:val="24"/>
                <w:szCs w:val="24"/>
                <w:color w:val="auto"/>
              </w:rPr>
            </w:pPr>
          </w:p>
        </w:tc>
        <w:tc>
          <w:tcPr>
            <w:tcW w:w="2540" w:type="dxa"/>
            <w:vAlign w:val="bottom"/>
            <w:tcBorders>
              <w:bottom w:val="single" w:sz="8" w:color="auto"/>
            </w:tcBorders>
            <w:gridSpan w:val="15"/>
          </w:tcPr>
          <w:p>
            <w:pPr>
              <w:spacing w:after="0"/>
              <w:rPr>
                <w:rFonts w:ascii="Arial" w:cs="Arial" w:eastAsia="Arial" w:hAnsi="Arial"/>
                <w:sz w:val="22"/>
                <w:szCs w:val="22"/>
                <w:color w:val="auto"/>
                <w:w w:val="96"/>
              </w:rPr>
            </w:pPr>
            <w:hyperlink w:anchor="page107">
              <w:r>
                <w:rPr>
                  <w:rFonts w:ascii="Arial" w:cs="Arial" w:eastAsia="Arial" w:hAnsi="Arial"/>
                  <w:sz w:val="22"/>
                  <w:szCs w:val="22"/>
                  <w:color w:val="auto"/>
                  <w:w w:val="96"/>
                </w:rPr>
                <w:t>“Ten Percent Shareholder”</w:t>
              </w:r>
            </w:hyperlink>
          </w:p>
        </w:tc>
        <w:tc>
          <w:tcPr>
            <w:tcW w:w="2900" w:type="dxa"/>
            <w:vAlign w:val="bottom"/>
            <w:gridSpan w:val="5"/>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51</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“Termination of Employment”</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top w:val="single" w:sz="8" w:color="CE0D41"/>
            </w:tcBorders>
          </w:tcPr>
          <w:p>
            <w:pPr>
              <w:jc w:val="right"/>
              <w:spacing w:after="0"/>
              <w:rPr>
                <w:rFonts w:ascii="Arial" w:cs="Arial" w:eastAsia="Arial" w:hAnsi="Arial"/>
                <w:sz w:val="22"/>
                <w:szCs w:val="22"/>
                <w:color w:val="CE0D41"/>
                <w:w w:val="93"/>
              </w:rPr>
            </w:pPr>
            <w:hyperlink w:anchor="page108">
              <w:r>
                <w:rPr>
                  <w:rFonts w:ascii="Arial" w:cs="Arial" w:eastAsia="Arial" w:hAnsi="Arial"/>
                  <w:sz w:val="22"/>
                  <w:szCs w:val="22"/>
                  <w:color w:val="CE0D41"/>
                  <w:w w:val="93"/>
                </w:rPr>
                <w:t>2.</w:t>
              </w:r>
              <w:r>
                <w:rPr>
                  <w:rFonts w:ascii="Arial" w:cs="Arial" w:eastAsia="Arial" w:hAnsi="Arial"/>
                  <w:sz w:val="22"/>
                  <w:szCs w:val="22"/>
                  <w:u w:val="single" w:color="auto"/>
                  <w:color w:val="CE0D41"/>
                  <w:w w:val="93"/>
                </w:rPr>
                <w:t>52</w:t>
              </w:r>
            </w:hyperlink>
          </w:p>
        </w:tc>
        <w:tc>
          <w:tcPr>
            <w:tcW w:w="680" w:type="dxa"/>
            <w:vAlign w:val="bottom"/>
          </w:tcPr>
          <w:p>
            <w:pPr>
              <w:spacing w:after="0"/>
              <w:rPr>
                <w:sz w:val="24"/>
                <w:szCs w:val="24"/>
                <w:color w:val="auto"/>
              </w:rPr>
            </w:pPr>
          </w:p>
        </w:tc>
        <w:tc>
          <w:tcPr>
            <w:tcW w:w="2760" w:type="dxa"/>
            <w:vAlign w:val="bottom"/>
            <w:tcBorders>
              <w:top w:val="single" w:sz="8" w:color="auto"/>
            </w:tcBorders>
            <w:gridSpan w:val="17"/>
          </w:tcPr>
          <w:p>
            <w:pPr>
              <w:spacing w:after="0"/>
              <w:rPr>
                <w:rFonts w:ascii="Arial" w:cs="Arial" w:eastAsia="Arial" w:hAnsi="Arial"/>
                <w:sz w:val="22"/>
                <w:szCs w:val="22"/>
                <w:color w:val="auto"/>
              </w:rPr>
            </w:pPr>
            <w:hyperlink w:anchor="page108">
              <w:r>
                <w:rPr>
                  <w:rFonts w:ascii="Arial" w:cs="Arial" w:eastAsia="Arial" w:hAnsi="Arial"/>
                  <w:sz w:val="22"/>
                  <w:szCs w:val="22"/>
                  <w:color w:val="auto"/>
                </w:rPr>
                <w:t>“U.S. Taxpayer”</w:t>
              </w:r>
            </w:hyperlink>
          </w:p>
        </w:tc>
        <w:tc>
          <w:tcPr>
            <w:tcW w:w="2680" w:type="dxa"/>
            <w:vAlign w:val="bottom"/>
            <w:gridSpan w:val="3"/>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A-11</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298" w:lineRule="exact"/>
        <w:rPr>
          <w:sz w:val="20"/>
          <w:szCs w:val="20"/>
          <w:color w:val="auto"/>
        </w:rPr>
      </w:pPr>
    </w:p>
    <w:p>
      <w:pPr>
        <w:spacing w:after="0"/>
        <w:rPr>
          <w:rFonts w:ascii="Arial" w:cs="Arial" w:eastAsia="Arial" w:hAnsi="Arial"/>
          <w:sz w:val="43"/>
          <w:szCs w:val="43"/>
          <w:b w:val="1"/>
          <w:bCs w:val="1"/>
          <w:u w:val="single" w:color="auto"/>
          <w:color w:val="auto"/>
        </w:rPr>
      </w:pPr>
      <w:hyperlink w:anchor="page108">
        <w:r>
          <w:rPr>
            <w:rFonts w:ascii="Arial" w:cs="Arial" w:eastAsia="Arial" w:hAnsi="Arial"/>
            <w:sz w:val="43"/>
            <w:szCs w:val="43"/>
            <w:b w:val="1"/>
            <w:bCs w:val="1"/>
            <w:u w:val="single" w:color="auto"/>
            <w:color w:val="auto"/>
          </w:rPr>
          <w:t>ARTICLE III</w:t>
        </w:r>
      </w:hyperlink>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Borders>
              <w:bottom w:val="single" w:sz="8" w:color="CE0E41"/>
            </w:tcBorders>
          </w:tcPr>
          <w:p>
            <w:pPr>
              <w:spacing w:after="0"/>
              <w:rPr>
                <w:rFonts w:ascii="Arial" w:cs="Arial" w:eastAsia="Arial" w:hAnsi="Arial"/>
                <w:sz w:val="22"/>
                <w:szCs w:val="22"/>
                <w:b w:val="1"/>
                <w:bCs w:val="1"/>
                <w:color w:val="CE0E41"/>
                <w:w w:val="97"/>
              </w:rPr>
            </w:pPr>
            <w:hyperlink w:anchor="page108">
              <w:r>
                <w:rPr>
                  <w:rFonts w:ascii="Arial" w:cs="Arial" w:eastAsia="Arial" w:hAnsi="Arial"/>
                  <w:sz w:val="22"/>
                  <w:szCs w:val="22"/>
                  <w:b w:val="1"/>
                  <w:bCs w:val="1"/>
                  <w:color w:val="CE0E41"/>
                  <w:w w:val="97"/>
                </w:rPr>
                <w:t>Eligibility and Participation</w:t>
              </w:r>
            </w:hyperlink>
          </w:p>
        </w:tc>
        <w:tc>
          <w:tcPr>
            <w:tcW w:w="5420" w:type="dxa"/>
            <w:vAlign w:val="bottom"/>
          </w:tcPr>
          <w:p>
            <w:pPr>
              <w:ind w:left="4960"/>
              <w:spacing w:after="0"/>
              <w:rPr>
                <w:sz w:val="20"/>
                <w:szCs w:val="20"/>
                <w:color w:val="auto"/>
              </w:rPr>
            </w:pPr>
            <w:r>
              <w:rPr>
                <w:rFonts w:ascii="Arial" w:cs="Arial" w:eastAsia="Arial" w:hAnsi="Arial"/>
                <w:sz w:val="22"/>
                <w:szCs w:val="22"/>
                <w:b w:val="1"/>
                <w:bCs w:val="1"/>
                <w:color w:val="auto"/>
                <w:w w:val="92"/>
              </w:rPr>
              <w:t>A-11</w:t>
            </w:r>
          </w:p>
        </w:tc>
      </w:tr>
    </w:tbl>
    <w:p>
      <w:pPr>
        <w:spacing w:after="0" w:line="421" w:lineRule="exact"/>
        <w:rPr>
          <w:sz w:val="20"/>
          <w:szCs w:val="20"/>
          <w:color w:val="auto"/>
        </w:rPr>
      </w:pPr>
    </w:p>
    <w:p>
      <w:pPr>
        <w:sectPr>
          <w:pgSz w:w="11900" w:h="16838" w:orient="portrait"/>
          <w:cols w:equalWidth="0" w:num="2">
            <w:col w:w="2520" w:space="720"/>
            <w:col w:w="8180"/>
          </w:cols>
          <w:pgMar w:left="240" w:top="373"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3.</w:t>
              </w:r>
              <w:r>
                <w:rPr>
                  <w:rFonts w:ascii="Arial" w:cs="Arial" w:eastAsia="Arial" w:hAnsi="Arial"/>
                  <w:sz w:val="22"/>
                  <w:szCs w:val="22"/>
                  <w:u w:val="single" w:color="auto"/>
                  <w:color w:val="CE0D41"/>
                  <w:w w:val="97"/>
                </w:rPr>
                <w:t>1</w:t>
              </w:r>
            </w:hyperlink>
          </w:p>
        </w:tc>
        <w:tc>
          <w:tcPr>
            <w:tcW w:w="1940" w:type="dxa"/>
            <w:vAlign w:val="bottom"/>
            <w:gridSpan w:val="4"/>
          </w:tcPr>
          <w:p>
            <w:pPr>
              <w:ind w:left="740"/>
              <w:spacing w:after="0"/>
              <w:rPr>
                <w:rFonts w:ascii="Arial" w:cs="Arial" w:eastAsia="Arial" w:hAnsi="Arial"/>
                <w:sz w:val="22"/>
                <w:szCs w:val="22"/>
                <w:color w:val="auto"/>
              </w:rPr>
            </w:pPr>
            <w:hyperlink w:anchor="page108">
              <w:r>
                <w:rPr>
                  <w:rFonts w:ascii="Arial" w:cs="Arial" w:eastAsia="Arial" w:hAnsi="Arial"/>
                  <w:sz w:val="22"/>
                  <w:szCs w:val="22"/>
                  <w:color w:val="auto"/>
                </w:rPr>
                <w:t>Eligibility</w:t>
              </w:r>
            </w:hyperlink>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3.</w:t>
              </w:r>
              <w:r>
                <w:rPr>
                  <w:rFonts w:ascii="Arial" w:cs="Arial" w:eastAsia="Arial" w:hAnsi="Arial"/>
                  <w:sz w:val="22"/>
                  <w:szCs w:val="22"/>
                  <w:u w:val="single" w:color="auto"/>
                  <w:color w:val="CE0D41"/>
                  <w:w w:val="97"/>
                </w:rPr>
                <w:t>2</w:t>
              </w:r>
            </w:hyperlink>
          </w:p>
        </w:tc>
        <w:tc>
          <w:tcPr>
            <w:tcW w:w="1940" w:type="dxa"/>
            <w:vAlign w:val="bottom"/>
            <w:gridSpan w:val="4"/>
          </w:tcPr>
          <w:p>
            <w:pPr>
              <w:ind w:left="740"/>
              <w:spacing w:after="0"/>
              <w:rPr>
                <w:rFonts w:ascii="Arial" w:cs="Arial" w:eastAsia="Arial" w:hAnsi="Arial"/>
                <w:sz w:val="22"/>
                <w:szCs w:val="22"/>
                <w:color w:val="auto"/>
                <w:w w:val="97"/>
              </w:rPr>
            </w:pPr>
            <w:hyperlink w:anchor="page108">
              <w:r>
                <w:rPr>
                  <w:rFonts w:ascii="Arial" w:cs="Arial" w:eastAsia="Arial" w:hAnsi="Arial"/>
                  <w:sz w:val="22"/>
                  <w:szCs w:val="22"/>
                  <w:color w:val="auto"/>
                  <w:w w:val="97"/>
                </w:rPr>
                <w:t>Participation</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71"/>
        </w:trPr>
        <w:tc>
          <w:tcPr>
            <w:tcW w:w="760" w:type="dxa"/>
            <w:vAlign w:val="bottom"/>
            <w:tcBorders>
              <w:bottom w:val="single" w:sz="8" w:color="auto"/>
            </w:tcBorders>
          </w:tcPr>
          <w:p>
            <w:pPr>
              <w:spacing w:after="0"/>
              <w:rPr>
                <w:sz w:val="23"/>
                <w:szCs w:val="23"/>
                <w:color w:val="auto"/>
              </w:rPr>
            </w:pPr>
          </w:p>
        </w:tc>
        <w:tc>
          <w:tcPr>
            <w:tcW w:w="300" w:type="dxa"/>
            <w:vAlign w:val="bottom"/>
            <w:tcBorders>
              <w:top w:val="single" w:sz="8" w:color="CE0D41"/>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gridSpan w:val="6"/>
            <w:vMerge w:val="restart"/>
          </w:tcPr>
          <w:p>
            <w:pPr>
              <w:spacing w:after="0" w:line="472" w:lineRule="exact"/>
              <w:rPr>
                <w:rFonts w:ascii="Arial" w:cs="Arial" w:eastAsia="Arial" w:hAnsi="Arial"/>
                <w:sz w:val="43"/>
                <w:szCs w:val="43"/>
                <w:b w:val="1"/>
                <w:bCs w:val="1"/>
                <w:color w:val="auto"/>
              </w:rPr>
            </w:pPr>
            <w:hyperlink w:anchor="page108">
              <w:r>
                <w:rPr>
                  <w:rFonts w:ascii="Arial" w:cs="Arial" w:eastAsia="Arial" w:hAnsi="Arial"/>
                  <w:sz w:val="43"/>
                  <w:szCs w:val="43"/>
                  <w:b w:val="1"/>
                  <w:bCs w:val="1"/>
                  <w:color w:val="auto"/>
                </w:rPr>
                <w:t>ARTICLE IV</w:t>
              </w:r>
            </w:hyperlink>
          </w:p>
        </w:tc>
        <w:tc>
          <w:tcPr>
            <w:tcW w:w="240" w:type="dxa"/>
            <w:vAlign w:val="bottom"/>
          </w:tcPr>
          <w:p>
            <w:pPr>
              <w:spacing w:after="0"/>
              <w:rPr>
                <w:sz w:val="22"/>
                <w:szCs w:val="22"/>
                <w:color w:val="auto"/>
              </w:rPr>
            </w:pPr>
          </w:p>
        </w:tc>
        <w:tc>
          <w:tcPr>
            <w:tcW w:w="4700" w:type="dxa"/>
            <w:vAlign w:val="bottom"/>
            <w:gridSpan w:val="12"/>
          </w:tcPr>
          <w:p>
            <w:pPr>
              <w:spacing w:after="0"/>
              <w:rPr>
                <w:rFonts w:ascii="Arial" w:cs="Arial" w:eastAsia="Arial" w:hAnsi="Arial"/>
                <w:sz w:val="22"/>
                <w:szCs w:val="22"/>
                <w:b w:val="1"/>
                <w:bCs w:val="1"/>
                <w:color w:val="CE0E41"/>
              </w:rPr>
            </w:pPr>
            <w:hyperlink w:anchor="page108">
              <w:r>
                <w:rPr>
                  <w:rFonts w:ascii="Arial" w:cs="Arial" w:eastAsia="Arial" w:hAnsi="Arial"/>
                  <w:sz w:val="22"/>
                  <w:szCs w:val="22"/>
                  <w:b w:val="1"/>
                  <w:bCs w:val="1"/>
                  <w:color w:val="CE0E41"/>
                </w:rPr>
                <w:t>General Provisions Relating to Awards</w:t>
              </w:r>
            </w:hyperlink>
          </w:p>
        </w:tc>
        <w:tc>
          <w:tcPr>
            <w:tcW w:w="3480" w:type="dxa"/>
            <w:vAlign w:val="bottom"/>
          </w:tcPr>
          <w:p>
            <w:pPr>
              <w:jc w:val="right"/>
              <w:spacing w:after="0"/>
              <w:rPr>
                <w:sz w:val="20"/>
                <w:szCs w:val="20"/>
                <w:color w:val="auto"/>
              </w:rPr>
            </w:pPr>
            <w:r>
              <w:rPr>
                <w:rFonts w:ascii="Arial" w:cs="Arial" w:eastAsia="Arial" w:hAnsi="Arial"/>
                <w:sz w:val="22"/>
                <w:szCs w:val="22"/>
                <w:b w:val="1"/>
                <w:bCs w:val="1"/>
                <w:color w:val="auto"/>
              </w:rPr>
              <w:t>A-11</w:t>
            </w:r>
          </w:p>
        </w:tc>
        <w:tc>
          <w:tcPr>
            <w:tcW w:w="0" w:type="dxa"/>
            <w:vAlign w:val="bottom"/>
          </w:tcPr>
          <w:p>
            <w:pPr>
              <w:spacing w:after="0"/>
              <w:rPr>
                <w:sz w:val="1"/>
                <w:szCs w:val="1"/>
                <w:color w:val="auto"/>
              </w:rPr>
            </w:pPr>
          </w:p>
        </w:tc>
      </w:tr>
      <w:tr>
        <w:trPr>
          <w:trHeight w:val="196"/>
        </w:trPr>
        <w:tc>
          <w:tcPr>
            <w:tcW w:w="3000" w:type="dxa"/>
            <w:vAlign w:val="bottom"/>
            <w:gridSpan w:val="6"/>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CE0E41"/>
            </w:tcBorders>
          </w:tcPr>
          <w:p>
            <w:pPr>
              <w:spacing w:after="0"/>
              <w:rPr>
                <w:sz w:val="17"/>
                <w:szCs w:val="17"/>
                <w:color w:val="auto"/>
              </w:rPr>
            </w:pPr>
          </w:p>
        </w:tc>
        <w:tc>
          <w:tcPr>
            <w:tcW w:w="180" w:type="dxa"/>
            <w:vAlign w:val="bottom"/>
            <w:tcBorders>
              <w:top w:val="single" w:sz="8" w:color="CE0E41"/>
            </w:tcBorders>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80" w:type="dxa"/>
            <w:vAlign w:val="bottom"/>
            <w:tcBorders>
              <w:top w:val="single" w:sz="8" w:color="CE0E41"/>
            </w:tcBorders>
          </w:tcPr>
          <w:p>
            <w:pPr>
              <w:spacing w:after="0"/>
              <w:rPr>
                <w:sz w:val="17"/>
                <w:szCs w:val="17"/>
                <w:color w:val="auto"/>
              </w:rPr>
            </w:pPr>
          </w:p>
        </w:tc>
        <w:tc>
          <w:tcPr>
            <w:tcW w:w="120" w:type="dxa"/>
            <w:vAlign w:val="bottom"/>
            <w:tcBorders>
              <w:top w:val="single" w:sz="8" w:color="CE0E41"/>
            </w:tcBorders>
          </w:tcPr>
          <w:p>
            <w:pPr>
              <w:spacing w:after="0"/>
              <w:rPr>
                <w:sz w:val="17"/>
                <w:szCs w:val="17"/>
                <w:color w:val="auto"/>
              </w:rPr>
            </w:pPr>
          </w:p>
        </w:tc>
        <w:tc>
          <w:tcPr>
            <w:tcW w:w="100" w:type="dxa"/>
            <w:vAlign w:val="bottom"/>
            <w:tcBorders>
              <w:top w:val="single" w:sz="8" w:color="CE0E41"/>
            </w:tcBorders>
          </w:tcPr>
          <w:p>
            <w:pPr>
              <w:spacing w:after="0"/>
              <w:rPr>
                <w:sz w:val="17"/>
                <w:szCs w:val="17"/>
                <w:color w:val="auto"/>
              </w:rPr>
            </w:pPr>
          </w:p>
        </w:tc>
        <w:tc>
          <w:tcPr>
            <w:tcW w:w="340" w:type="dxa"/>
            <w:vAlign w:val="bottom"/>
            <w:tcBorders>
              <w:top w:val="single" w:sz="8" w:color="CE0E41"/>
            </w:tcBorders>
          </w:tcPr>
          <w:p>
            <w:pPr>
              <w:spacing w:after="0"/>
              <w:rPr>
                <w:sz w:val="17"/>
                <w:szCs w:val="17"/>
                <w:color w:val="auto"/>
              </w:rPr>
            </w:pPr>
          </w:p>
        </w:tc>
        <w:tc>
          <w:tcPr>
            <w:tcW w:w="94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380" w:type="dxa"/>
            <w:vAlign w:val="bottom"/>
            <w:tcBorders>
              <w:top w:val="single" w:sz="8" w:color="CE0E41"/>
            </w:tcBorders>
          </w:tcPr>
          <w:p>
            <w:pPr>
              <w:spacing w:after="0"/>
              <w:rPr>
                <w:sz w:val="17"/>
                <w:szCs w:val="17"/>
                <w:color w:val="auto"/>
              </w:rPr>
            </w:pPr>
          </w:p>
        </w:tc>
        <w:tc>
          <w:tcPr>
            <w:tcW w:w="1480" w:type="dxa"/>
            <w:vAlign w:val="bottom"/>
            <w:tcBorders>
              <w:top w:val="single" w:sz="8" w:color="CE0E41"/>
            </w:tcBorders>
          </w:tcPr>
          <w:p>
            <w:pPr>
              <w:spacing w:after="0"/>
              <w:rPr>
                <w:sz w:val="17"/>
                <w:szCs w:val="17"/>
                <w:color w:val="auto"/>
              </w:rPr>
            </w:pPr>
          </w:p>
        </w:tc>
        <w:tc>
          <w:tcPr>
            <w:tcW w:w="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60" w:type="dxa"/>
            <w:vAlign w:val="bottom"/>
            <w:tcBorders>
              <w:right w:val="single" w:sz="8" w:color="auto"/>
            </w:tcBorders>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340" w:type="dxa"/>
            <w:vAlign w:val="bottom"/>
            <w:tcBorders>
              <w:left w:val="single" w:sz="8" w:color="auto"/>
            </w:tcBorders>
            <w:gridSpan w:val="2"/>
            <w:shd w:val="clear" w:color="auto" w:fill="000000"/>
          </w:tcPr>
          <w:p>
            <w:pPr>
              <w:spacing w:after="0"/>
              <w:rPr>
                <w:sz w:val="3"/>
                <w:szCs w:val="3"/>
                <w:color w:val="auto"/>
              </w:rPr>
            </w:pPr>
          </w:p>
        </w:tc>
        <w:tc>
          <w:tcPr>
            <w:tcW w:w="8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4.</w:t>
              </w:r>
              <w:r>
                <w:rPr>
                  <w:rFonts w:ascii="Arial" w:cs="Arial" w:eastAsia="Arial" w:hAnsi="Arial"/>
                  <w:sz w:val="22"/>
                  <w:szCs w:val="22"/>
                  <w:u w:val="single" w:color="auto"/>
                  <w:color w:val="CE0D41"/>
                  <w:w w:val="97"/>
                </w:rPr>
                <w:t>1</w:t>
              </w:r>
            </w:hyperlink>
          </w:p>
        </w:tc>
        <w:tc>
          <w:tcPr>
            <w:tcW w:w="6880" w:type="dxa"/>
            <w:vAlign w:val="bottom"/>
            <w:gridSpan w:val="17"/>
          </w:tcPr>
          <w:p>
            <w:pPr>
              <w:ind w:left="740"/>
              <w:spacing w:after="0"/>
              <w:rPr>
                <w:rFonts w:ascii="Arial" w:cs="Arial" w:eastAsia="Arial" w:hAnsi="Arial"/>
                <w:sz w:val="22"/>
                <w:szCs w:val="22"/>
                <w:color w:val="auto"/>
              </w:rPr>
            </w:pPr>
            <w:hyperlink w:anchor="page108">
              <w:r>
                <w:rPr>
                  <w:rFonts w:ascii="Arial" w:cs="Arial" w:eastAsia="Arial" w:hAnsi="Arial"/>
                  <w:sz w:val="22"/>
                  <w:szCs w:val="22"/>
                  <w:color w:val="auto"/>
                </w:rPr>
                <w:t>Authority to Grant Awards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4.</w:t>
              </w:r>
              <w:r>
                <w:rPr>
                  <w:rFonts w:ascii="Arial" w:cs="Arial" w:eastAsia="Arial" w:hAnsi="Arial"/>
                  <w:sz w:val="22"/>
                  <w:szCs w:val="22"/>
                  <w:u w:val="single" w:color="auto"/>
                  <w:color w:val="CE0D41"/>
                  <w:w w:val="97"/>
                </w:rPr>
                <w:t>2</w:t>
              </w:r>
            </w:hyperlink>
          </w:p>
        </w:tc>
        <w:tc>
          <w:tcPr>
            <w:tcW w:w="6880" w:type="dxa"/>
            <w:vAlign w:val="bottom"/>
            <w:gridSpan w:val="17"/>
          </w:tcPr>
          <w:p>
            <w:pPr>
              <w:ind w:left="740"/>
              <w:spacing w:after="0"/>
              <w:rPr>
                <w:rFonts w:ascii="Arial" w:cs="Arial" w:eastAsia="Arial" w:hAnsi="Arial"/>
                <w:sz w:val="22"/>
                <w:szCs w:val="22"/>
                <w:color w:val="auto"/>
              </w:rPr>
            </w:pPr>
            <w:hyperlink w:anchor="page108">
              <w:r>
                <w:rPr>
                  <w:rFonts w:ascii="Arial" w:cs="Arial" w:eastAsia="Arial" w:hAnsi="Arial"/>
                  <w:sz w:val="22"/>
                  <w:szCs w:val="22"/>
                  <w:color w:val="auto"/>
                </w:rPr>
                <w:t>Dedicated Shares; Maximum Awards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9">
              <w:r>
                <w:rPr>
                  <w:rFonts w:ascii="Arial" w:cs="Arial" w:eastAsia="Arial" w:hAnsi="Arial"/>
                  <w:sz w:val="22"/>
                  <w:szCs w:val="22"/>
                  <w:color w:val="CE0D41"/>
                  <w:w w:val="97"/>
                </w:rPr>
                <w:t>4.</w:t>
              </w:r>
              <w:r>
                <w:rPr>
                  <w:rFonts w:ascii="Arial" w:cs="Arial" w:eastAsia="Arial" w:hAnsi="Arial"/>
                  <w:sz w:val="22"/>
                  <w:szCs w:val="22"/>
                  <w:u w:val="single" w:color="auto"/>
                  <w:color w:val="CE0D41"/>
                  <w:w w:val="97"/>
                </w:rPr>
                <w:t>3</w:t>
              </w:r>
            </w:hyperlink>
          </w:p>
        </w:tc>
        <w:tc>
          <w:tcPr>
            <w:tcW w:w="6880" w:type="dxa"/>
            <w:vAlign w:val="bottom"/>
            <w:gridSpan w:val="17"/>
          </w:tcPr>
          <w:p>
            <w:pPr>
              <w:ind w:left="740"/>
              <w:spacing w:after="0"/>
              <w:rPr>
                <w:rFonts w:ascii="Arial" w:cs="Arial" w:eastAsia="Arial" w:hAnsi="Arial"/>
                <w:sz w:val="22"/>
                <w:szCs w:val="22"/>
                <w:color w:val="auto"/>
              </w:rPr>
            </w:pPr>
            <w:hyperlink w:anchor="page109">
              <w:r>
                <w:rPr>
                  <w:rFonts w:ascii="Arial" w:cs="Arial" w:eastAsia="Arial" w:hAnsi="Arial"/>
                  <w:sz w:val="22"/>
                  <w:szCs w:val="22"/>
                  <w:color w:val="auto"/>
                </w:rPr>
                <w:t>Non-Transferability</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9">
              <w:r>
                <w:rPr>
                  <w:rFonts w:ascii="Arial" w:cs="Arial" w:eastAsia="Arial" w:hAnsi="Arial"/>
                  <w:sz w:val="22"/>
                  <w:szCs w:val="22"/>
                  <w:color w:val="CE0D41"/>
                  <w:w w:val="97"/>
                </w:rPr>
                <w:t>4.</w:t>
              </w:r>
              <w:r>
                <w:rPr>
                  <w:rFonts w:ascii="Arial" w:cs="Arial" w:eastAsia="Arial" w:hAnsi="Arial"/>
                  <w:sz w:val="22"/>
                  <w:szCs w:val="22"/>
                  <w:u w:val="single" w:color="auto"/>
                  <w:color w:val="CE0D41"/>
                  <w:w w:val="97"/>
                </w:rPr>
                <w:t>4</w:t>
              </w:r>
            </w:hyperlink>
          </w:p>
        </w:tc>
        <w:tc>
          <w:tcPr>
            <w:tcW w:w="6880" w:type="dxa"/>
            <w:vAlign w:val="bottom"/>
            <w:gridSpan w:val="17"/>
          </w:tcPr>
          <w:p>
            <w:pPr>
              <w:ind w:left="740"/>
              <w:spacing w:after="0"/>
              <w:rPr>
                <w:rFonts w:ascii="Arial" w:cs="Arial" w:eastAsia="Arial" w:hAnsi="Arial"/>
                <w:sz w:val="22"/>
                <w:szCs w:val="22"/>
                <w:color w:val="auto"/>
              </w:rPr>
            </w:pPr>
            <w:hyperlink w:anchor="page109">
              <w:r>
                <w:rPr>
                  <w:rFonts w:ascii="Arial" w:cs="Arial" w:eastAsia="Arial" w:hAnsi="Arial"/>
                  <w:sz w:val="22"/>
                  <w:szCs w:val="22"/>
                  <w:color w:val="auto"/>
                </w:rPr>
                <w:t>Requirements of Law</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0">
              <w:r>
                <w:rPr>
                  <w:rFonts w:ascii="Arial" w:cs="Arial" w:eastAsia="Arial" w:hAnsi="Arial"/>
                  <w:sz w:val="22"/>
                  <w:szCs w:val="22"/>
                  <w:color w:val="CE0D41"/>
                  <w:w w:val="97"/>
                </w:rPr>
                <w:t>4.</w:t>
              </w:r>
              <w:r>
                <w:rPr>
                  <w:rFonts w:ascii="Arial" w:cs="Arial" w:eastAsia="Arial" w:hAnsi="Arial"/>
                  <w:sz w:val="22"/>
                  <w:szCs w:val="22"/>
                  <w:u w:val="single" w:color="auto"/>
                  <w:color w:val="CE0D41"/>
                  <w:w w:val="97"/>
                </w:rPr>
                <w:t>5</w:t>
              </w:r>
            </w:hyperlink>
          </w:p>
        </w:tc>
        <w:tc>
          <w:tcPr>
            <w:tcW w:w="6880" w:type="dxa"/>
            <w:vAlign w:val="bottom"/>
            <w:gridSpan w:val="17"/>
          </w:tcPr>
          <w:p>
            <w:pPr>
              <w:ind w:left="740"/>
              <w:spacing w:after="0"/>
              <w:rPr>
                <w:rFonts w:ascii="Arial" w:cs="Arial" w:eastAsia="Arial" w:hAnsi="Arial"/>
                <w:sz w:val="22"/>
                <w:szCs w:val="22"/>
                <w:color w:val="auto"/>
                <w:w w:val="97"/>
              </w:rPr>
            </w:pPr>
            <w:hyperlink w:anchor="page110">
              <w:r>
                <w:rPr>
                  <w:rFonts w:ascii="Arial" w:cs="Arial" w:eastAsia="Arial" w:hAnsi="Arial"/>
                  <w:sz w:val="22"/>
                  <w:szCs w:val="22"/>
                  <w:color w:val="auto"/>
                  <w:w w:val="97"/>
                </w:rPr>
                <w:t>Changes in the Company’s Capital Structure; Change of Control</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0">
              <w:r>
                <w:rPr>
                  <w:rFonts w:ascii="Arial" w:cs="Arial" w:eastAsia="Arial" w:hAnsi="Arial"/>
                  <w:sz w:val="22"/>
                  <w:szCs w:val="22"/>
                  <w:color w:val="CE0D41"/>
                  <w:w w:val="97"/>
                </w:rPr>
                <w:t>4.</w:t>
              </w:r>
              <w:r>
                <w:rPr>
                  <w:rFonts w:ascii="Arial" w:cs="Arial" w:eastAsia="Arial" w:hAnsi="Arial"/>
                  <w:sz w:val="22"/>
                  <w:szCs w:val="22"/>
                  <w:u w:val="single" w:color="auto"/>
                  <w:color w:val="CE0D41"/>
                  <w:w w:val="97"/>
                </w:rPr>
                <w:t>6</w:t>
              </w:r>
            </w:hyperlink>
          </w:p>
        </w:tc>
        <w:tc>
          <w:tcPr>
            <w:tcW w:w="6880" w:type="dxa"/>
            <w:vAlign w:val="bottom"/>
            <w:gridSpan w:val="17"/>
          </w:tcPr>
          <w:p>
            <w:pPr>
              <w:ind w:left="740"/>
              <w:spacing w:after="0"/>
              <w:rPr>
                <w:rFonts w:ascii="Arial" w:cs="Arial" w:eastAsia="Arial" w:hAnsi="Arial"/>
                <w:sz w:val="22"/>
                <w:szCs w:val="22"/>
                <w:color w:val="auto"/>
              </w:rPr>
            </w:pPr>
            <w:hyperlink w:anchor="page110">
              <w:r>
                <w:rPr>
                  <w:rFonts w:ascii="Arial" w:cs="Arial" w:eastAsia="Arial" w:hAnsi="Arial"/>
                  <w:sz w:val="22"/>
                  <w:szCs w:val="22"/>
                  <w:color w:val="auto"/>
                </w:rPr>
                <w:t>Election Under Section 83(b) of the Code</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0">
              <w:r>
                <w:rPr>
                  <w:rFonts w:ascii="Arial" w:cs="Arial" w:eastAsia="Arial" w:hAnsi="Arial"/>
                  <w:sz w:val="22"/>
                  <w:szCs w:val="22"/>
                  <w:color w:val="CE0D41"/>
                  <w:w w:val="97"/>
                </w:rPr>
                <w:t>4.</w:t>
              </w:r>
              <w:r>
                <w:rPr>
                  <w:rFonts w:ascii="Arial" w:cs="Arial" w:eastAsia="Arial" w:hAnsi="Arial"/>
                  <w:sz w:val="22"/>
                  <w:szCs w:val="22"/>
                  <w:u w:val="single" w:color="auto"/>
                  <w:color w:val="CE0D41"/>
                  <w:w w:val="97"/>
                </w:rPr>
                <w:t>7</w:t>
              </w:r>
            </w:hyperlink>
          </w:p>
        </w:tc>
        <w:tc>
          <w:tcPr>
            <w:tcW w:w="6880" w:type="dxa"/>
            <w:vAlign w:val="bottom"/>
            <w:gridSpan w:val="17"/>
          </w:tcPr>
          <w:p>
            <w:pPr>
              <w:ind w:left="740"/>
              <w:spacing w:after="0"/>
              <w:rPr>
                <w:rFonts w:ascii="Arial" w:cs="Arial" w:eastAsia="Arial" w:hAnsi="Arial"/>
                <w:sz w:val="22"/>
                <w:szCs w:val="22"/>
                <w:color w:val="auto"/>
              </w:rPr>
            </w:pPr>
            <w:hyperlink w:anchor="page110">
              <w:r>
                <w:rPr>
                  <w:rFonts w:ascii="Arial" w:cs="Arial" w:eastAsia="Arial" w:hAnsi="Arial"/>
                  <w:sz w:val="22"/>
                  <w:szCs w:val="22"/>
                  <w:color w:val="auto"/>
                </w:rPr>
                <w:t>Forfeiture for Cause</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8</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Forfeiture Events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9</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Award Agreements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52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10</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Amendments of Award Agreements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Borders>
              <w:right w:val="single" w:sz="8" w:color="CE0D41"/>
            </w:tcBorders>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Borders>
              <w:left w:val="single" w:sz="8" w:color="CE0D41"/>
            </w:tcBorders>
          </w:tcPr>
          <w:p>
            <w:pPr>
              <w:spacing w:after="0" w:line="20" w:lineRule="exact"/>
              <w:rPr>
                <w:sz w:val="1"/>
                <w:szCs w:val="1"/>
                <w:color w:val="auto"/>
              </w:rPr>
            </w:pPr>
          </w:p>
        </w:tc>
        <w:tc>
          <w:tcPr>
            <w:tcW w:w="2140" w:type="dxa"/>
            <w:vAlign w:val="bottom"/>
            <w:gridSpan w:val="10"/>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52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11</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Rights as Shareholder</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Borders>
              <w:right w:val="single" w:sz="8" w:color="CE0D41"/>
            </w:tcBorders>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Borders>
              <w:left w:val="single" w:sz="8" w:color="CE0D41"/>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3"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00" w:name="page101"/>
    <w:bookmarkEnd w:id="100"/>
    <w:tbl>
      <w:tblPr>
        <w:tblLayout w:type="fixed"/>
        <w:tblInd w:w="700" w:type="dxa"/>
        <w:tblCellMar>
          <w:top w:w="0" w:type="dxa"/>
          <w:left w:w="0" w:type="dxa"/>
          <w:bottom w:w="0" w:type="dxa"/>
          <w:right w:w="0" w:type="dxa"/>
        </w:tblCellMar>
      </w:tblPr>
      <w:tr>
        <w:trPr>
          <w:trHeight w:val="253"/>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11">
              <w:r>
                <w:rPr>
                  <w:rFonts w:ascii="Arial" w:cs="Arial" w:eastAsia="Arial" w:hAnsi="Arial"/>
                  <w:sz w:val="22"/>
                  <w:szCs w:val="22"/>
                  <w:color w:val="CE0D41"/>
                  <w:w w:val="93"/>
                </w:rPr>
                <w:t>4.</w:t>
              </w:r>
              <w:r>
                <w:rPr>
                  <w:rFonts w:ascii="Arial" w:cs="Arial" w:eastAsia="Arial" w:hAnsi="Arial"/>
                  <w:sz w:val="22"/>
                  <w:szCs w:val="22"/>
                  <w:u w:val="single" w:color="auto"/>
                  <w:color w:val="CE0D41"/>
                  <w:w w:val="93"/>
                </w:rPr>
                <w:t>12</w:t>
              </w:r>
            </w:hyperlink>
          </w:p>
        </w:tc>
        <w:tc>
          <w:tcPr>
            <w:tcW w:w="680" w:type="dxa"/>
            <w:vAlign w:val="bottom"/>
          </w:tcPr>
          <w:p>
            <w:pPr>
              <w:spacing w:after="0"/>
              <w:rPr>
                <w:sz w:val="21"/>
                <w:szCs w:val="21"/>
                <w:color w:val="auto"/>
              </w:rPr>
            </w:pPr>
          </w:p>
        </w:tc>
        <w:tc>
          <w:tcPr>
            <w:tcW w:w="1860" w:type="dxa"/>
            <w:vAlign w:val="bottom"/>
            <w:tcBorders>
              <w:bottom w:val="single" w:sz="8" w:color="auto"/>
            </w:tcBorders>
          </w:tcPr>
          <w:p>
            <w:pPr>
              <w:spacing w:after="0"/>
              <w:rPr>
                <w:rFonts w:ascii="Arial" w:cs="Arial" w:eastAsia="Arial" w:hAnsi="Arial"/>
                <w:sz w:val="22"/>
                <w:szCs w:val="22"/>
                <w:color w:val="auto"/>
                <w:w w:val="97"/>
              </w:rPr>
            </w:pPr>
            <w:hyperlink w:anchor="page111">
              <w:r>
                <w:rPr>
                  <w:rFonts w:ascii="Arial" w:cs="Arial" w:eastAsia="Arial" w:hAnsi="Arial"/>
                  <w:sz w:val="22"/>
                  <w:szCs w:val="22"/>
                  <w:color w:val="auto"/>
                  <w:w w:val="97"/>
                </w:rPr>
                <w:t>Issuance of Shares</w:t>
              </w:r>
            </w:hyperlink>
          </w:p>
        </w:tc>
        <w:tc>
          <w:tcPr>
            <w:tcW w:w="1280" w:type="dxa"/>
            <w:vAlign w:val="bottom"/>
            <w:gridSpan w:val="2"/>
          </w:tcPr>
          <w:p>
            <w:pPr>
              <w:spacing w:after="0"/>
              <w:rPr>
                <w:sz w:val="21"/>
                <w:szCs w:val="21"/>
                <w:color w:val="auto"/>
              </w:rPr>
            </w:pPr>
          </w:p>
        </w:tc>
        <w:tc>
          <w:tcPr>
            <w:tcW w:w="6480" w:type="dxa"/>
            <w:vAlign w:val="bottom"/>
          </w:tcPr>
          <w:p>
            <w:pPr>
              <w:ind w:left="6020"/>
              <w:spacing w:after="0"/>
              <w:rPr>
                <w:sz w:val="20"/>
                <w:szCs w:val="20"/>
                <w:color w:val="auto"/>
              </w:rPr>
            </w:pPr>
            <w:r>
              <w:rPr>
                <w:rFonts w:ascii="Arial" w:cs="Arial" w:eastAsia="Arial" w:hAnsi="Arial"/>
                <w:sz w:val="22"/>
                <w:szCs w:val="22"/>
                <w:color w:val="auto"/>
                <w:w w:val="94"/>
              </w:rPr>
              <w:t>A-14</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11">
              <w:r>
                <w:rPr>
                  <w:rFonts w:ascii="Arial" w:cs="Arial" w:eastAsia="Arial" w:hAnsi="Arial"/>
                  <w:sz w:val="22"/>
                  <w:szCs w:val="22"/>
                  <w:color w:val="CE0D41"/>
                  <w:w w:val="93"/>
                </w:rPr>
                <w:t>4.</w:t>
              </w:r>
              <w:r>
                <w:rPr>
                  <w:rFonts w:ascii="Arial" w:cs="Arial" w:eastAsia="Arial" w:hAnsi="Arial"/>
                  <w:sz w:val="22"/>
                  <w:szCs w:val="22"/>
                  <w:u w:val="single" w:color="auto"/>
                  <w:color w:val="CE0D41"/>
                  <w:w w:val="93"/>
                </w:rPr>
                <w:t>13</w:t>
              </w:r>
            </w:hyperlink>
          </w:p>
        </w:tc>
        <w:tc>
          <w:tcPr>
            <w:tcW w:w="680" w:type="dxa"/>
            <w:vAlign w:val="bottom"/>
          </w:tcPr>
          <w:p>
            <w:pPr>
              <w:spacing w:after="0"/>
              <w:rPr>
                <w:sz w:val="24"/>
                <w:szCs w:val="24"/>
                <w:color w:val="auto"/>
              </w:rPr>
            </w:pPr>
          </w:p>
        </w:tc>
        <w:tc>
          <w:tcPr>
            <w:tcW w:w="3140" w:type="dxa"/>
            <w:vAlign w:val="bottom"/>
            <w:tcBorders>
              <w:bottom w:val="single" w:sz="8" w:color="auto"/>
            </w:tcBorders>
            <w:gridSpan w:val="3"/>
          </w:tcPr>
          <w:p>
            <w:pPr>
              <w:spacing w:after="0"/>
              <w:rPr>
                <w:rFonts w:ascii="Arial" w:cs="Arial" w:eastAsia="Arial" w:hAnsi="Arial"/>
                <w:sz w:val="22"/>
                <w:szCs w:val="22"/>
                <w:color w:val="auto"/>
                <w:w w:val="97"/>
              </w:rPr>
            </w:pPr>
            <w:hyperlink w:anchor="page111">
              <w:r>
                <w:rPr>
                  <w:rFonts w:ascii="Arial" w:cs="Arial" w:eastAsia="Arial" w:hAnsi="Arial"/>
                  <w:sz w:val="22"/>
                  <w:szCs w:val="22"/>
                  <w:color w:val="auto"/>
                  <w:w w:val="97"/>
                </w:rPr>
                <w:t>Restrictions on Shares Received</w:t>
              </w:r>
            </w:hyperlink>
          </w:p>
        </w:tc>
        <w:tc>
          <w:tcPr>
            <w:tcW w:w="6480" w:type="dxa"/>
            <w:vAlign w:val="bottom"/>
          </w:tcPr>
          <w:p>
            <w:pPr>
              <w:ind w:left="6020"/>
              <w:spacing w:after="0"/>
              <w:rPr>
                <w:sz w:val="20"/>
                <w:szCs w:val="20"/>
                <w:color w:val="auto"/>
              </w:rPr>
            </w:pPr>
            <w:r>
              <w:rPr>
                <w:rFonts w:ascii="Arial" w:cs="Arial" w:eastAsia="Arial" w:hAnsi="Arial"/>
                <w:sz w:val="22"/>
                <w:szCs w:val="22"/>
                <w:color w:val="auto"/>
                <w:w w:val="94"/>
              </w:rPr>
              <w:t>A-14</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11">
              <w:r>
                <w:rPr>
                  <w:rFonts w:ascii="Arial" w:cs="Arial" w:eastAsia="Arial" w:hAnsi="Arial"/>
                  <w:sz w:val="22"/>
                  <w:szCs w:val="22"/>
                  <w:color w:val="CE0D41"/>
                  <w:w w:val="93"/>
                </w:rPr>
                <w:t>4.</w:t>
              </w:r>
              <w:r>
                <w:rPr>
                  <w:rFonts w:ascii="Arial" w:cs="Arial" w:eastAsia="Arial" w:hAnsi="Arial"/>
                  <w:sz w:val="22"/>
                  <w:szCs w:val="22"/>
                  <w:u w:val="single" w:color="auto"/>
                  <w:color w:val="CE0D41"/>
                  <w:w w:val="93"/>
                </w:rPr>
                <w:t>14</w:t>
              </w:r>
            </w:hyperlink>
          </w:p>
        </w:tc>
        <w:tc>
          <w:tcPr>
            <w:tcW w:w="680" w:type="dxa"/>
            <w:vAlign w:val="bottom"/>
          </w:tcPr>
          <w:p>
            <w:pPr>
              <w:spacing w:after="0"/>
              <w:rPr>
                <w:sz w:val="24"/>
                <w:szCs w:val="24"/>
                <w:color w:val="auto"/>
              </w:rPr>
            </w:pPr>
          </w:p>
        </w:tc>
        <w:tc>
          <w:tcPr>
            <w:tcW w:w="3140" w:type="dxa"/>
            <w:vAlign w:val="bottom"/>
            <w:gridSpan w:val="3"/>
          </w:tcPr>
          <w:p>
            <w:pPr>
              <w:spacing w:after="0"/>
              <w:rPr>
                <w:rFonts w:ascii="Arial" w:cs="Arial" w:eastAsia="Arial" w:hAnsi="Arial"/>
                <w:sz w:val="22"/>
                <w:szCs w:val="22"/>
                <w:color w:val="auto"/>
              </w:rPr>
            </w:pPr>
            <w:hyperlink w:anchor="page111">
              <w:r>
                <w:rPr>
                  <w:rFonts w:ascii="Arial" w:cs="Arial" w:eastAsia="Arial" w:hAnsi="Arial"/>
                  <w:sz w:val="22"/>
                  <w:szCs w:val="22"/>
                  <w:color w:val="auto"/>
                </w:rPr>
                <w:t>Compliance With Section 409A</w:t>
              </w:r>
            </w:hyperlink>
          </w:p>
        </w:tc>
        <w:tc>
          <w:tcPr>
            <w:tcW w:w="6480" w:type="dxa"/>
            <w:vAlign w:val="bottom"/>
          </w:tcPr>
          <w:p>
            <w:pPr>
              <w:ind w:left="6020"/>
              <w:spacing w:after="0"/>
              <w:rPr>
                <w:sz w:val="20"/>
                <w:szCs w:val="20"/>
                <w:color w:val="auto"/>
              </w:rPr>
            </w:pPr>
            <w:r>
              <w:rPr>
                <w:rFonts w:ascii="Arial" w:cs="Arial" w:eastAsia="Arial" w:hAnsi="Arial"/>
                <w:sz w:val="22"/>
                <w:szCs w:val="22"/>
                <w:color w:val="auto"/>
                <w:w w:val="94"/>
              </w:rPr>
              <w:t>A-14</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379" w:lineRule="exact"/>
        <w:rPr>
          <w:sz w:val="20"/>
          <w:szCs w:val="20"/>
          <w:color w:val="auto"/>
        </w:rPr>
      </w:pPr>
    </w:p>
    <w:p>
      <w:pPr>
        <w:spacing w:after="0"/>
        <w:rPr>
          <w:rFonts w:ascii="Arial" w:cs="Arial" w:eastAsia="Arial" w:hAnsi="Arial"/>
          <w:sz w:val="43"/>
          <w:szCs w:val="43"/>
          <w:b w:val="1"/>
          <w:bCs w:val="1"/>
          <w:u w:val="single" w:color="auto"/>
          <w:color w:val="auto"/>
        </w:rPr>
      </w:pPr>
      <w:hyperlink w:anchor="page112">
        <w:r>
          <w:rPr>
            <w:rFonts w:ascii="Arial" w:cs="Arial" w:eastAsia="Arial" w:hAnsi="Arial"/>
            <w:sz w:val="43"/>
            <w:szCs w:val="43"/>
            <w:b w:val="1"/>
            <w:bCs w:val="1"/>
            <w:u w:val="single" w:color="auto"/>
            <w:color w:val="auto"/>
          </w:rPr>
          <w:t>ARTICLE V</w:t>
        </w:r>
      </w:hyperlink>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Borders>
              <w:bottom w:val="single" w:sz="8" w:color="CE0E41"/>
            </w:tcBorders>
          </w:tcPr>
          <w:p>
            <w:pPr>
              <w:spacing w:after="0"/>
              <w:rPr>
                <w:rFonts w:ascii="Arial" w:cs="Arial" w:eastAsia="Arial" w:hAnsi="Arial"/>
                <w:sz w:val="22"/>
                <w:szCs w:val="22"/>
                <w:b w:val="1"/>
                <w:bCs w:val="1"/>
                <w:color w:val="CE0E41"/>
                <w:w w:val="96"/>
              </w:rPr>
            </w:pPr>
            <w:hyperlink w:anchor="page112">
              <w:r>
                <w:rPr>
                  <w:rFonts w:ascii="Arial" w:cs="Arial" w:eastAsia="Arial" w:hAnsi="Arial"/>
                  <w:sz w:val="22"/>
                  <w:szCs w:val="22"/>
                  <w:b w:val="1"/>
                  <w:bCs w:val="1"/>
                  <w:color w:val="CE0E41"/>
                  <w:w w:val="96"/>
                </w:rPr>
                <w:t>Options</w:t>
              </w:r>
            </w:hyperlink>
          </w:p>
        </w:tc>
        <w:tc>
          <w:tcPr>
            <w:tcW w:w="7360" w:type="dxa"/>
            <w:vAlign w:val="bottom"/>
          </w:tcPr>
          <w:p>
            <w:pPr>
              <w:ind w:left="6900"/>
              <w:spacing w:after="0"/>
              <w:rPr>
                <w:sz w:val="20"/>
                <w:szCs w:val="20"/>
                <w:color w:val="auto"/>
              </w:rPr>
            </w:pPr>
            <w:r>
              <w:rPr>
                <w:rFonts w:ascii="Arial" w:cs="Arial" w:eastAsia="Arial" w:hAnsi="Arial"/>
                <w:sz w:val="22"/>
                <w:szCs w:val="22"/>
                <w:b w:val="1"/>
                <w:bCs w:val="1"/>
                <w:color w:val="auto"/>
                <w:w w:val="92"/>
              </w:rPr>
              <w:t>A-15</w:t>
            </w:r>
          </w:p>
        </w:tc>
      </w:tr>
    </w:tbl>
    <w:p>
      <w:pPr>
        <w:spacing w:after="0" w:line="421" w:lineRule="exact"/>
        <w:rPr>
          <w:sz w:val="20"/>
          <w:szCs w:val="20"/>
          <w:color w:val="auto"/>
        </w:rPr>
      </w:pPr>
    </w:p>
    <w:p>
      <w:pPr>
        <w:sectPr>
          <w:pgSz w:w="11900" w:h="16838" w:orient="portrait"/>
          <w:cols w:equalWidth="0" w:num="2">
            <w:col w:w="2520" w:space="720"/>
            <w:col w:w="8180"/>
          </w:cols>
          <w:pgMar w:left="240" w:top="373"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Authority to Grant Options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2</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Type of Options Available</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Option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4</w:t>
              </w:r>
            </w:hyperlink>
          </w:p>
        </w:tc>
        <w:tc>
          <w:tcPr>
            <w:tcW w:w="2180" w:type="dxa"/>
            <w:vAlign w:val="bottom"/>
            <w:gridSpan w:val="9"/>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Option Price</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Duration of Option</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6</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Exercise of Option</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5.</w:t>
              </w:r>
              <w:r>
                <w:rPr>
                  <w:rFonts w:ascii="Arial" w:cs="Arial" w:eastAsia="Arial" w:hAnsi="Arial"/>
                  <w:sz w:val="22"/>
                  <w:szCs w:val="22"/>
                  <w:u w:val="single" w:color="auto"/>
                  <w:color w:val="CE0D41"/>
                </w:rPr>
                <w:t>7</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Notification of Disqualifying Disposition</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5.</w:t>
              </w:r>
              <w:r>
                <w:rPr>
                  <w:rFonts w:ascii="Arial" w:cs="Arial" w:eastAsia="Arial" w:hAnsi="Arial"/>
                  <w:sz w:val="22"/>
                  <w:szCs w:val="22"/>
                  <w:u w:val="single" w:color="auto"/>
                  <w:color w:val="CE0D41"/>
                </w:rPr>
                <w:t>8</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No Rights as Shareholder</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5.</w:t>
              </w:r>
              <w:r>
                <w:rPr>
                  <w:rFonts w:ascii="Arial" w:cs="Arial" w:eastAsia="Arial" w:hAnsi="Arial"/>
                  <w:sz w:val="22"/>
                  <w:szCs w:val="22"/>
                  <w:u w:val="single" w:color="auto"/>
                  <w:color w:val="CE0D41"/>
                </w:rPr>
                <w:t>9</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u w:val="single" w:color="auto"/>
                  <w:color w:val="auto"/>
                </w:rPr>
                <w:t>$</w:t>
              </w:r>
              <w:r>
                <w:rPr>
                  <w:rFonts w:ascii="Arial" w:cs="Arial" w:eastAsia="Arial" w:hAnsi="Arial"/>
                  <w:sz w:val="22"/>
                  <w:szCs w:val="22"/>
                  <w:color w:val="auto"/>
                </w:rPr>
                <w:t>100,000 Limitation on ISOs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11"/>
            <w:vMerge w:val="restart"/>
          </w:tcPr>
          <w:p>
            <w:pPr>
              <w:spacing w:after="0" w:line="472" w:lineRule="exact"/>
              <w:rPr>
                <w:rFonts w:ascii="Arial" w:cs="Arial" w:eastAsia="Arial" w:hAnsi="Arial"/>
                <w:sz w:val="43"/>
                <w:szCs w:val="43"/>
                <w:b w:val="1"/>
                <w:bCs w:val="1"/>
                <w:color w:val="auto"/>
              </w:rPr>
            </w:pPr>
            <w:hyperlink w:anchor="page113">
              <w:r>
                <w:rPr>
                  <w:rFonts w:ascii="Arial" w:cs="Arial" w:eastAsia="Arial" w:hAnsi="Arial"/>
                  <w:sz w:val="43"/>
                  <w:szCs w:val="43"/>
                  <w:b w:val="1"/>
                  <w:bCs w:val="1"/>
                  <w:color w:val="auto"/>
                </w:rPr>
                <w:t>ARTICLE VI</w:t>
              </w:r>
            </w:hyperlink>
          </w:p>
        </w:tc>
        <w:tc>
          <w:tcPr>
            <w:tcW w:w="3020" w:type="dxa"/>
            <w:vAlign w:val="bottom"/>
            <w:gridSpan w:val="16"/>
          </w:tcPr>
          <w:p>
            <w:pPr>
              <w:spacing w:after="0"/>
              <w:rPr>
                <w:rFonts w:ascii="Arial" w:cs="Arial" w:eastAsia="Arial" w:hAnsi="Arial"/>
                <w:sz w:val="22"/>
                <w:szCs w:val="22"/>
                <w:b w:val="1"/>
                <w:bCs w:val="1"/>
                <w:color w:val="CE0E41"/>
              </w:rPr>
            </w:pPr>
            <w:hyperlink w:anchor="page113">
              <w:r>
                <w:rPr>
                  <w:rFonts w:ascii="Arial" w:cs="Arial" w:eastAsia="Arial" w:hAnsi="Arial"/>
                  <w:sz w:val="22"/>
                  <w:szCs w:val="22"/>
                  <w:b w:val="1"/>
                  <w:bCs w:val="1"/>
                  <w:color w:val="CE0E41"/>
                </w:rPr>
                <w:t>Share Appreciation Rights</w:t>
              </w:r>
            </w:hyperlink>
          </w:p>
        </w:tc>
        <w:tc>
          <w:tcPr>
            <w:tcW w:w="5160" w:type="dxa"/>
            <w:vAlign w:val="bottom"/>
          </w:tcPr>
          <w:p>
            <w:pPr>
              <w:jc w:val="right"/>
              <w:spacing w:after="0"/>
              <w:rPr>
                <w:sz w:val="20"/>
                <w:szCs w:val="20"/>
                <w:color w:val="auto"/>
              </w:rPr>
            </w:pPr>
            <w:r>
              <w:rPr>
                <w:rFonts w:ascii="Arial" w:cs="Arial" w:eastAsia="Arial" w:hAnsi="Arial"/>
                <w:sz w:val="22"/>
                <w:szCs w:val="22"/>
                <w:b w:val="1"/>
                <w:bCs w:val="1"/>
                <w:color w:val="auto"/>
              </w:rPr>
              <w:t>A-16</w:t>
            </w:r>
          </w:p>
        </w:tc>
        <w:tc>
          <w:tcPr>
            <w:tcW w:w="0" w:type="dxa"/>
            <w:vAlign w:val="bottom"/>
          </w:tcPr>
          <w:p>
            <w:pPr>
              <w:spacing w:after="0"/>
              <w:rPr>
                <w:sz w:val="1"/>
                <w:szCs w:val="1"/>
                <w:color w:val="auto"/>
              </w:rPr>
            </w:pPr>
          </w:p>
        </w:tc>
      </w:tr>
      <w:tr>
        <w:trPr>
          <w:trHeight w:val="196"/>
        </w:trPr>
        <w:tc>
          <w:tcPr>
            <w:tcW w:w="3240" w:type="dxa"/>
            <w:vAlign w:val="bottom"/>
            <w:gridSpan w:val="11"/>
            <w:vMerge w:val="continue"/>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00" w:type="dxa"/>
            <w:vAlign w:val="bottom"/>
            <w:tcBorders>
              <w:top w:val="single" w:sz="8" w:color="CE0E41"/>
            </w:tcBorders>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8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220" w:type="dxa"/>
            <w:vAlign w:val="bottom"/>
            <w:tcBorders>
              <w:top w:val="single" w:sz="8" w:color="CE0E41"/>
            </w:tcBorders>
          </w:tcPr>
          <w:p>
            <w:pPr>
              <w:spacing w:after="0"/>
              <w:rPr>
                <w:sz w:val="17"/>
                <w:szCs w:val="17"/>
                <w:color w:val="auto"/>
              </w:rPr>
            </w:pPr>
          </w:p>
        </w:tc>
        <w:tc>
          <w:tcPr>
            <w:tcW w:w="160" w:type="dxa"/>
            <w:vAlign w:val="bottom"/>
            <w:tcBorders>
              <w:top w:val="single" w:sz="8" w:color="CE0E41"/>
            </w:tcBorders>
          </w:tcPr>
          <w:p>
            <w:pPr>
              <w:spacing w:after="0"/>
              <w:rPr>
                <w:sz w:val="17"/>
                <w:szCs w:val="17"/>
                <w:color w:val="auto"/>
              </w:rPr>
            </w:pPr>
          </w:p>
        </w:tc>
        <w:tc>
          <w:tcPr>
            <w:tcW w:w="8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120" w:type="dxa"/>
            <w:vAlign w:val="bottom"/>
            <w:tcBorders>
              <w:top w:val="single" w:sz="8" w:color="CE0E41"/>
            </w:tcBorders>
          </w:tcPr>
          <w:p>
            <w:pPr>
              <w:spacing w:after="0"/>
              <w:rPr>
                <w:sz w:val="17"/>
                <w:szCs w:val="17"/>
                <w:color w:val="auto"/>
              </w:rPr>
            </w:pPr>
          </w:p>
        </w:tc>
        <w:tc>
          <w:tcPr>
            <w:tcW w:w="240" w:type="dxa"/>
            <w:vAlign w:val="bottom"/>
            <w:tcBorders>
              <w:top w:val="single" w:sz="8" w:color="CE0E41"/>
            </w:tcBorders>
          </w:tcPr>
          <w:p>
            <w:pPr>
              <w:spacing w:after="0"/>
              <w:rPr>
                <w:sz w:val="17"/>
                <w:szCs w:val="17"/>
                <w:color w:val="auto"/>
              </w:rPr>
            </w:pPr>
          </w:p>
        </w:tc>
        <w:tc>
          <w:tcPr>
            <w:tcW w:w="420" w:type="dxa"/>
            <w:vAlign w:val="bottom"/>
            <w:tcBorders>
              <w:top w:val="single" w:sz="8" w:color="CE0E41"/>
            </w:tcBorders>
          </w:tcPr>
          <w:p>
            <w:pPr>
              <w:spacing w:after="0"/>
              <w:rPr>
                <w:sz w:val="17"/>
                <w:szCs w:val="17"/>
                <w:color w:val="auto"/>
              </w:rPr>
            </w:pPr>
          </w:p>
        </w:tc>
        <w:tc>
          <w:tcPr>
            <w:tcW w:w="32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160" w:type="dxa"/>
            <w:vAlign w:val="bottom"/>
            <w:tcBorders>
              <w:top w:val="single" w:sz="8" w:color="CE0E41"/>
            </w:tcBorders>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60" w:type="dxa"/>
            <w:vAlign w:val="bottom"/>
            <w:gridSpan w:val="2"/>
            <w:shd w:val="clear" w:color="auto" w:fill="000000"/>
          </w:tcPr>
          <w:p>
            <w:pPr>
              <w:spacing w:after="0"/>
              <w:rPr>
                <w:sz w:val="3"/>
                <w:szCs w:val="3"/>
                <w:color w:val="auto"/>
              </w:rPr>
            </w:pPr>
          </w:p>
        </w:tc>
        <w:tc>
          <w:tcPr>
            <w:tcW w:w="1340" w:type="dxa"/>
            <w:vAlign w:val="bottom"/>
            <w:gridSpan w:val="2"/>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6.</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Authority to Grant SAR Awards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6.</w:t>
              </w:r>
              <w:r>
                <w:rPr>
                  <w:rFonts w:ascii="Arial" w:cs="Arial" w:eastAsia="Arial" w:hAnsi="Arial"/>
                  <w:sz w:val="22"/>
                  <w:szCs w:val="22"/>
                  <w:u w:val="single" w:color="auto"/>
                  <w:color w:val="CE0D41"/>
                </w:rPr>
                <w:t>2</w:t>
              </w:r>
            </w:hyperlink>
          </w:p>
        </w:tc>
        <w:tc>
          <w:tcPr>
            <w:tcW w:w="2180" w:type="dxa"/>
            <w:vAlign w:val="bottom"/>
            <w:gridSpan w:val="9"/>
          </w:tcPr>
          <w:p>
            <w:pPr>
              <w:ind w:left="740"/>
              <w:spacing w:after="0"/>
              <w:rPr>
                <w:rFonts w:ascii="Arial" w:cs="Arial" w:eastAsia="Arial" w:hAnsi="Arial"/>
                <w:sz w:val="22"/>
                <w:szCs w:val="22"/>
                <w:color w:val="auto"/>
                <w:w w:val="96"/>
              </w:rPr>
            </w:pPr>
            <w:hyperlink w:anchor="page113">
              <w:r>
                <w:rPr>
                  <w:rFonts w:ascii="Arial" w:cs="Arial" w:eastAsia="Arial" w:hAnsi="Arial"/>
                  <w:sz w:val="22"/>
                  <w:szCs w:val="22"/>
                  <w:color w:val="auto"/>
                  <w:w w:val="96"/>
                </w:rPr>
                <w:t>General Terms</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6.</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SAR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4</w:t>
              </w:r>
            </w:hyperlink>
          </w:p>
        </w:tc>
        <w:tc>
          <w:tcPr>
            <w:tcW w:w="2180" w:type="dxa"/>
            <w:vAlign w:val="bottom"/>
            <w:gridSpan w:val="9"/>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Term of SAR</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Exercise of SAR</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6</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Payment of SAR Amount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7</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Termination of Employment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11"/>
            <w:vMerge w:val="restart"/>
          </w:tcPr>
          <w:p>
            <w:pPr>
              <w:spacing w:after="0" w:line="472" w:lineRule="exact"/>
              <w:rPr>
                <w:rFonts w:ascii="Arial" w:cs="Arial" w:eastAsia="Arial" w:hAnsi="Arial"/>
                <w:sz w:val="43"/>
                <w:szCs w:val="43"/>
                <w:b w:val="1"/>
                <w:bCs w:val="1"/>
                <w:color w:val="auto"/>
              </w:rPr>
            </w:pPr>
            <w:hyperlink w:anchor="page114">
              <w:r>
                <w:rPr>
                  <w:rFonts w:ascii="Arial" w:cs="Arial" w:eastAsia="Arial" w:hAnsi="Arial"/>
                  <w:sz w:val="43"/>
                  <w:szCs w:val="43"/>
                  <w:b w:val="1"/>
                  <w:bCs w:val="1"/>
                  <w:color w:val="auto"/>
                </w:rPr>
                <w:t>ARTICLE VII</w:t>
              </w:r>
            </w:hyperlink>
          </w:p>
        </w:tc>
        <w:tc>
          <w:tcPr>
            <w:tcW w:w="3020" w:type="dxa"/>
            <w:vAlign w:val="bottom"/>
            <w:gridSpan w:val="16"/>
          </w:tcPr>
          <w:p>
            <w:pPr>
              <w:spacing w:after="0"/>
              <w:rPr>
                <w:rFonts w:ascii="Arial" w:cs="Arial" w:eastAsia="Arial" w:hAnsi="Arial"/>
                <w:sz w:val="22"/>
                <w:szCs w:val="22"/>
                <w:b w:val="1"/>
                <w:bCs w:val="1"/>
                <w:color w:val="CE0E41"/>
              </w:rPr>
            </w:pPr>
            <w:hyperlink w:anchor="page114">
              <w:r>
                <w:rPr>
                  <w:rFonts w:ascii="Arial" w:cs="Arial" w:eastAsia="Arial" w:hAnsi="Arial"/>
                  <w:sz w:val="22"/>
                  <w:szCs w:val="22"/>
                  <w:b w:val="1"/>
                  <w:bCs w:val="1"/>
                  <w:color w:val="CE0E41"/>
                </w:rPr>
                <w:t>Restricted Share Awards</w:t>
              </w:r>
            </w:hyperlink>
          </w:p>
        </w:tc>
        <w:tc>
          <w:tcPr>
            <w:tcW w:w="5160" w:type="dxa"/>
            <w:vAlign w:val="bottom"/>
          </w:tcPr>
          <w:p>
            <w:pPr>
              <w:jc w:val="right"/>
              <w:spacing w:after="0"/>
              <w:rPr>
                <w:sz w:val="20"/>
                <w:szCs w:val="20"/>
                <w:color w:val="auto"/>
              </w:rPr>
            </w:pPr>
            <w:r>
              <w:rPr>
                <w:rFonts w:ascii="Arial" w:cs="Arial" w:eastAsia="Arial" w:hAnsi="Arial"/>
                <w:sz w:val="22"/>
                <w:szCs w:val="22"/>
                <w:b w:val="1"/>
                <w:bCs w:val="1"/>
                <w:color w:val="auto"/>
              </w:rPr>
              <w:t>A-17</w:t>
            </w:r>
          </w:p>
        </w:tc>
        <w:tc>
          <w:tcPr>
            <w:tcW w:w="0" w:type="dxa"/>
            <w:vAlign w:val="bottom"/>
          </w:tcPr>
          <w:p>
            <w:pPr>
              <w:spacing w:after="0"/>
              <w:rPr>
                <w:sz w:val="1"/>
                <w:szCs w:val="1"/>
                <w:color w:val="auto"/>
              </w:rPr>
            </w:pPr>
          </w:p>
        </w:tc>
      </w:tr>
      <w:tr>
        <w:trPr>
          <w:trHeight w:val="196"/>
        </w:trPr>
        <w:tc>
          <w:tcPr>
            <w:tcW w:w="3240" w:type="dxa"/>
            <w:vAlign w:val="bottom"/>
            <w:gridSpan w:val="11"/>
            <w:vMerge w:val="continue"/>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00" w:type="dxa"/>
            <w:vAlign w:val="bottom"/>
            <w:tcBorders>
              <w:top w:val="single" w:sz="8" w:color="CE0E41"/>
            </w:tcBorders>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8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220" w:type="dxa"/>
            <w:vAlign w:val="bottom"/>
            <w:tcBorders>
              <w:top w:val="single" w:sz="8" w:color="CE0E41"/>
            </w:tcBorders>
          </w:tcPr>
          <w:p>
            <w:pPr>
              <w:spacing w:after="0"/>
              <w:rPr>
                <w:sz w:val="17"/>
                <w:szCs w:val="17"/>
                <w:color w:val="auto"/>
              </w:rPr>
            </w:pPr>
          </w:p>
        </w:tc>
        <w:tc>
          <w:tcPr>
            <w:tcW w:w="160" w:type="dxa"/>
            <w:vAlign w:val="bottom"/>
            <w:tcBorders>
              <w:top w:val="single" w:sz="8" w:color="CE0E41"/>
            </w:tcBorders>
          </w:tcPr>
          <w:p>
            <w:pPr>
              <w:spacing w:after="0"/>
              <w:rPr>
                <w:sz w:val="17"/>
                <w:szCs w:val="17"/>
                <w:color w:val="auto"/>
              </w:rPr>
            </w:pPr>
          </w:p>
        </w:tc>
        <w:tc>
          <w:tcPr>
            <w:tcW w:w="8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120" w:type="dxa"/>
            <w:vAlign w:val="bottom"/>
            <w:tcBorders>
              <w:top w:val="single" w:sz="8" w:color="CE0E41"/>
            </w:tcBorders>
          </w:tcPr>
          <w:p>
            <w:pPr>
              <w:spacing w:after="0"/>
              <w:rPr>
                <w:sz w:val="17"/>
                <w:szCs w:val="17"/>
                <w:color w:val="auto"/>
              </w:rPr>
            </w:pPr>
          </w:p>
        </w:tc>
        <w:tc>
          <w:tcPr>
            <w:tcW w:w="240" w:type="dxa"/>
            <w:vAlign w:val="bottom"/>
            <w:tcBorders>
              <w:top w:val="single" w:sz="8" w:color="CE0E41"/>
            </w:tcBorders>
          </w:tcPr>
          <w:p>
            <w:pPr>
              <w:spacing w:after="0"/>
              <w:rPr>
                <w:sz w:val="17"/>
                <w:szCs w:val="17"/>
                <w:color w:val="auto"/>
              </w:rPr>
            </w:pPr>
          </w:p>
        </w:tc>
        <w:tc>
          <w:tcPr>
            <w:tcW w:w="420" w:type="dxa"/>
            <w:vAlign w:val="bottom"/>
            <w:tcBorders>
              <w:top w:val="single" w:sz="8" w:color="CE0E41"/>
            </w:tcBorders>
          </w:tcPr>
          <w:p>
            <w:pPr>
              <w:spacing w:after="0"/>
              <w:rPr>
                <w:sz w:val="17"/>
                <w:szCs w:val="17"/>
                <w:color w:val="auto"/>
              </w:rPr>
            </w:pPr>
          </w:p>
        </w:tc>
        <w:tc>
          <w:tcPr>
            <w:tcW w:w="32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60" w:type="dxa"/>
            <w:vAlign w:val="bottom"/>
            <w:gridSpan w:val="2"/>
            <w:shd w:val="clear" w:color="auto" w:fill="000000"/>
          </w:tcPr>
          <w:p>
            <w:pPr>
              <w:spacing w:after="0"/>
              <w:rPr>
                <w:sz w:val="3"/>
                <w:szCs w:val="3"/>
                <w:color w:val="auto"/>
              </w:rPr>
            </w:pPr>
          </w:p>
        </w:tc>
        <w:tc>
          <w:tcPr>
            <w:tcW w:w="1460" w:type="dxa"/>
            <w:vAlign w:val="bottom"/>
            <w:gridSpan w:val="3"/>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gridSpan w:val="5"/>
          </w:tcPr>
          <w:p>
            <w:pPr>
              <w:spacing w:after="0"/>
              <w:rPr>
                <w:sz w:val="3"/>
                <w:szCs w:val="3"/>
                <w:color w:val="auto"/>
              </w:rPr>
            </w:pPr>
          </w:p>
        </w:tc>
        <w:tc>
          <w:tcPr>
            <w:tcW w:w="560" w:type="dxa"/>
            <w:vAlign w:val="bottom"/>
            <w:gridSpan w:val="4"/>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4"/>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Restricted Share Awards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2</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Restricted Share Award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4"/>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Purchase Price</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4</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Holder’s Rights as Shareholder</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gridSpan w:val="9"/>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4"/>
            <w:shd w:val="clear" w:color="auto" w:fill="000000"/>
          </w:tcPr>
          <w:p>
            <w:pPr>
              <w:spacing w:after="0" w:line="20" w:lineRule="exact"/>
              <w:rPr>
                <w:sz w:val="1"/>
                <w:szCs w:val="1"/>
                <w:color w:val="auto"/>
              </w:rPr>
            </w:pPr>
          </w:p>
        </w:tc>
        <w:tc>
          <w:tcPr>
            <w:tcW w:w="1480" w:type="dxa"/>
            <w:vAlign w:val="bottom"/>
            <w:tcBorders>
              <w:left w:val="single" w:sz="8" w:color="auto"/>
            </w:tcBorders>
            <w:gridSpan w:val="5"/>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7.</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Minimum Vesting Period</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11"/>
            <w:vMerge w:val="restart"/>
          </w:tcPr>
          <w:p>
            <w:pPr>
              <w:spacing w:after="0" w:line="472" w:lineRule="exact"/>
              <w:rPr>
                <w:rFonts w:ascii="Arial" w:cs="Arial" w:eastAsia="Arial" w:hAnsi="Arial"/>
                <w:sz w:val="43"/>
                <w:szCs w:val="43"/>
                <w:b w:val="1"/>
                <w:bCs w:val="1"/>
                <w:color w:val="auto"/>
              </w:rPr>
            </w:pPr>
            <w:hyperlink w:anchor="page115">
              <w:r>
                <w:rPr>
                  <w:rFonts w:ascii="Arial" w:cs="Arial" w:eastAsia="Arial" w:hAnsi="Arial"/>
                  <w:sz w:val="43"/>
                  <w:szCs w:val="43"/>
                  <w:b w:val="1"/>
                  <w:bCs w:val="1"/>
                  <w:color w:val="auto"/>
                </w:rPr>
                <w:t>ARTICLE VIII</w:t>
              </w:r>
            </w:hyperlink>
          </w:p>
        </w:tc>
        <w:tc>
          <w:tcPr>
            <w:tcW w:w="3020" w:type="dxa"/>
            <w:vAlign w:val="bottom"/>
            <w:tcBorders>
              <w:bottom w:val="single" w:sz="8" w:color="CE0E41"/>
            </w:tcBorders>
            <w:gridSpan w:val="16"/>
          </w:tcPr>
          <w:p>
            <w:pPr>
              <w:spacing w:after="0"/>
              <w:rPr>
                <w:rFonts w:ascii="Arial" w:cs="Arial" w:eastAsia="Arial" w:hAnsi="Arial"/>
                <w:sz w:val="22"/>
                <w:szCs w:val="22"/>
                <w:b w:val="1"/>
                <w:bCs w:val="1"/>
                <w:color w:val="CE0E41"/>
                <w:w w:val="96"/>
              </w:rPr>
            </w:pPr>
            <w:hyperlink w:anchor="page115">
              <w:r>
                <w:rPr>
                  <w:rFonts w:ascii="Arial" w:cs="Arial" w:eastAsia="Arial" w:hAnsi="Arial"/>
                  <w:sz w:val="22"/>
                  <w:szCs w:val="22"/>
                  <w:b w:val="1"/>
                  <w:bCs w:val="1"/>
                  <w:color w:val="CE0E41"/>
                  <w:w w:val="96"/>
                </w:rPr>
                <w:t>Restricted Share Unit Awards</w:t>
              </w:r>
            </w:hyperlink>
          </w:p>
        </w:tc>
        <w:tc>
          <w:tcPr>
            <w:tcW w:w="5160" w:type="dxa"/>
            <w:vAlign w:val="bottom"/>
          </w:tcPr>
          <w:p>
            <w:pPr>
              <w:jc w:val="right"/>
              <w:spacing w:after="0"/>
              <w:rPr>
                <w:sz w:val="20"/>
                <w:szCs w:val="20"/>
                <w:color w:val="auto"/>
              </w:rPr>
            </w:pPr>
            <w:r>
              <w:rPr>
                <w:rFonts w:ascii="Arial" w:cs="Arial" w:eastAsia="Arial" w:hAnsi="Arial"/>
                <w:sz w:val="22"/>
                <w:szCs w:val="22"/>
                <w:b w:val="1"/>
                <w:bCs w:val="1"/>
                <w:color w:val="auto"/>
              </w:rPr>
              <w:t>A-18</w:t>
            </w:r>
          </w:p>
        </w:tc>
        <w:tc>
          <w:tcPr>
            <w:tcW w:w="0" w:type="dxa"/>
            <w:vAlign w:val="bottom"/>
          </w:tcPr>
          <w:p>
            <w:pPr>
              <w:spacing w:after="0"/>
              <w:rPr>
                <w:sz w:val="1"/>
                <w:szCs w:val="1"/>
                <w:color w:val="auto"/>
              </w:rPr>
            </w:pPr>
          </w:p>
        </w:tc>
      </w:tr>
      <w:tr>
        <w:trPr>
          <w:trHeight w:val="196"/>
        </w:trPr>
        <w:tc>
          <w:tcPr>
            <w:tcW w:w="3240" w:type="dxa"/>
            <w:vAlign w:val="bottom"/>
            <w:gridSpan w:val="11"/>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60" w:type="dxa"/>
            <w:vAlign w:val="bottom"/>
            <w:gridSpan w:val="2"/>
            <w:shd w:val="clear" w:color="auto" w:fill="000000"/>
          </w:tcPr>
          <w:p>
            <w:pPr>
              <w:spacing w:after="0"/>
              <w:rPr>
                <w:sz w:val="3"/>
                <w:szCs w:val="3"/>
                <w:color w:val="auto"/>
              </w:rPr>
            </w:pPr>
          </w:p>
        </w:tc>
        <w:tc>
          <w:tcPr>
            <w:tcW w:w="1580" w:type="dxa"/>
            <w:vAlign w:val="bottom"/>
            <w:gridSpan w:val="4"/>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gridSpan w:val="9"/>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5"/>
          </w:tcPr>
          <w:p>
            <w:pPr>
              <w:spacing w:after="0"/>
              <w:rPr>
                <w:sz w:val="3"/>
                <w:szCs w:val="3"/>
                <w:color w:val="auto"/>
              </w:rPr>
            </w:pPr>
          </w:p>
        </w:tc>
        <w:tc>
          <w:tcPr>
            <w:tcW w:w="1480" w:type="dxa"/>
            <w:vAlign w:val="bottom"/>
            <w:gridSpan w:val="5"/>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Authority to Grant RSU Awards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2</w:t>
              </w:r>
            </w:hyperlink>
          </w:p>
        </w:tc>
        <w:tc>
          <w:tcPr>
            <w:tcW w:w="2180" w:type="dxa"/>
            <w:vAlign w:val="bottom"/>
            <w:gridSpan w:val="9"/>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RSU Award</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RSU Award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gridSpan w:val="1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4</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Purchase Price</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9"/>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Dividend Equivalents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A-4</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6</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Form of Payment Under RSU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7</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Time of Payment Under RSU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8</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No Rights as Shareholder</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9</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Minimum Vesting Period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00" w:type="dxa"/>
            <w:vAlign w:val="bottom"/>
            <w:gridSpan w:val="4"/>
            <w:vMerge w:val="restart"/>
          </w:tcPr>
          <w:p>
            <w:pPr>
              <w:spacing w:after="0" w:line="472" w:lineRule="exact"/>
              <w:rPr>
                <w:rFonts w:ascii="Arial" w:cs="Arial" w:eastAsia="Arial" w:hAnsi="Arial"/>
                <w:sz w:val="43"/>
                <w:szCs w:val="43"/>
                <w:b w:val="1"/>
                <w:bCs w:val="1"/>
                <w:color w:val="auto"/>
                <w:w w:val="99"/>
              </w:rPr>
            </w:pPr>
            <w:hyperlink w:anchor="page116">
              <w:r>
                <w:rPr>
                  <w:rFonts w:ascii="Arial" w:cs="Arial" w:eastAsia="Arial" w:hAnsi="Arial"/>
                  <w:sz w:val="43"/>
                  <w:szCs w:val="43"/>
                  <w:b w:val="1"/>
                  <w:bCs w:val="1"/>
                  <w:color w:val="auto"/>
                  <w:w w:val="99"/>
                </w:rPr>
                <w:t>ARTICLE IX</w:t>
              </w:r>
            </w:hyperlink>
          </w:p>
        </w:tc>
        <w:tc>
          <w:tcPr>
            <w:tcW w:w="840" w:type="dxa"/>
            <w:vAlign w:val="bottom"/>
          </w:tcPr>
          <w:p>
            <w:pPr>
              <w:spacing w:after="0"/>
              <w:rPr>
                <w:sz w:val="22"/>
                <w:szCs w:val="22"/>
                <w:color w:val="auto"/>
              </w:rPr>
            </w:pPr>
          </w:p>
        </w:tc>
        <w:tc>
          <w:tcPr>
            <w:tcW w:w="5960" w:type="dxa"/>
            <w:vAlign w:val="bottom"/>
            <w:tcBorders>
              <w:bottom w:val="single" w:sz="8" w:color="CE0E41"/>
            </w:tcBorders>
            <w:gridSpan w:val="10"/>
          </w:tcPr>
          <w:p>
            <w:pPr>
              <w:spacing w:after="0"/>
              <w:rPr>
                <w:rFonts w:ascii="Arial" w:cs="Arial" w:eastAsia="Arial" w:hAnsi="Arial"/>
                <w:sz w:val="22"/>
                <w:szCs w:val="22"/>
                <w:b w:val="1"/>
                <w:bCs w:val="1"/>
                <w:color w:val="CE0E41"/>
                <w:w w:val="97"/>
              </w:rPr>
            </w:pPr>
            <w:hyperlink w:anchor="page116">
              <w:r>
                <w:rPr>
                  <w:rFonts w:ascii="Arial" w:cs="Arial" w:eastAsia="Arial" w:hAnsi="Arial"/>
                  <w:sz w:val="22"/>
                  <w:szCs w:val="22"/>
                  <w:b w:val="1"/>
                  <w:bCs w:val="1"/>
                  <w:color w:val="CE0E41"/>
                  <w:w w:val="97"/>
                </w:rPr>
                <w:t>Performance Share Awards and Performance Unit Awards</w:t>
              </w:r>
            </w:hyperlink>
          </w:p>
        </w:tc>
        <w:tc>
          <w:tcPr>
            <w:tcW w:w="2220" w:type="dxa"/>
            <w:vAlign w:val="bottom"/>
          </w:tcPr>
          <w:p>
            <w:pPr>
              <w:jc w:val="right"/>
              <w:spacing w:after="0"/>
              <w:rPr>
                <w:sz w:val="20"/>
                <w:szCs w:val="20"/>
                <w:color w:val="auto"/>
              </w:rPr>
            </w:pPr>
            <w:r>
              <w:rPr>
                <w:rFonts w:ascii="Arial" w:cs="Arial" w:eastAsia="Arial" w:hAnsi="Arial"/>
                <w:sz w:val="22"/>
                <w:szCs w:val="22"/>
                <w:b w:val="1"/>
                <w:bCs w:val="1"/>
                <w:color w:val="auto"/>
              </w:rPr>
              <w:t>A-19</w:t>
            </w:r>
          </w:p>
        </w:tc>
        <w:tc>
          <w:tcPr>
            <w:tcW w:w="0" w:type="dxa"/>
            <w:vAlign w:val="bottom"/>
          </w:tcPr>
          <w:p>
            <w:pPr>
              <w:spacing w:after="0"/>
              <w:rPr>
                <w:sz w:val="1"/>
                <w:szCs w:val="1"/>
                <w:color w:val="auto"/>
              </w:rPr>
            </w:pPr>
          </w:p>
        </w:tc>
      </w:tr>
      <w:tr>
        <w:trPr>
          <w:trHeight w:val="222"/>
        </w:trPr>
        <w:tc>
          <w:tcPr>
            <w:tcW w:w="2400" w:type="dxa"/>
            <w:vAlign w:val="bottom"/>
            <w:tcBorders>
              <w:bottom w:val="single" w:sz="8" w:color="auto"/>
            </w:tcBorders>
            <w:gridSpan w:val="4"/>
            <w:vMerge w:val="continue"/>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9.</w:t>
              </w:r>
              <w:r>
                <w:rPr>
                  <w:rFonts w:ascii="Arial" w:cs="Arial" w:eastAsia="Arial" w:hAnsi="Arial"/>
                  <w:sz w:val="22"/>
                  <w:szCs w:val="22"/>
                  <w:u w:val="single" w:color="auto"/>
                  <w:color w:val="CE0D41"/>
                </w:rPr>
                <w:t>1</w:t>
              </w:r>
            </w:hyperlink>
          </w:p>
        </w:tc>
        <w:tc>
          <w:tcPr>
            <w:tcW w:w="8140" w:type="dxa"/>
            <w:vAlign w:val="bottom"/>
            <w:gridSpan w:val="13"/>
          </w:tcPr>
          <w:p>
            <w:pPr>
              <w:ind w:left="740"/>
              <w:spacing w:after="0"/>
              <w:rPr>
                <w:rFonts w:ascii="Arial" w:cs="Arial" w:eastAsia="Arial" w:hAnsi="Arial"/>
                <w:sz w:val="22"/>
                <w:szCs w:val="22"/>
                <w:color w:val="auto"/>
                <w:w w:val="98"/>
              </w:rPr>
            </w:pPr>
            <w:hyperlink w:anchor="page116">
              <w:r>
                <w:rPr>
                  <w:rFonts w:ascii="Arial" w:cs="Arial" w:eastAsia="Arial" w:hAnsi="Arial"/>
                  <w:sz w:val="22"/>
                  <w:szCs w:val="22"/>
                  <w:color w:val="auto"/>
                  <w:w w:val="98"/>
                </w:rPr>
                <w:t>Authority to Grant Performance Share Awards and Performance Unit Awards</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9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7">
              <w:r>
                <w:rPr>
                  <w:rFonts w:ascii="Arial" w:cs="Arial" w:eastAsia="Arial" w:hAnsi="Arial"/>
                  <w:sz w:val="22"/>
                  <w:szCs w:val="22"/>
                  <w:color w:val="CE0D41"/>
                </w:rPr>
                <w:t>9.</w:t>
              </w:r>
              <w:r>
                <w:rPr>
                  <w:rFonts w:ascii="Arial" w:cs="Arial" w:eastAsia="Arial" w:hAnsi="Arial"/>
                  <w:sz w:val="22"/>
                  <w:szCs w:val="22"/>
                  <w:u w:val="single" w:color="auto"/>
                  <w:color w:val="CE0D41"/>
                </w:rPr>
                <w:t>2</w:t>
              </w:r>
            </w:hyperlink>
          </w:p>
        </w:tc>
        <w:tc>
          <w:tcPr>
            <w:tcW w:w="8140" w:type="dxa"/>
            <w:vAlign w:val="bottom"/>
            <w:gridSpan w:val="13"/>
          </w:tcPr>
          <w:p>
            <w:pPr>
              <w:ind w:left="740"/>
              <w:spacing w:after="0"/>
              <w:rPr>
                <w:rFonts w:ascii="Arial" w:cs="Arial" w:eastAsia="Arial" w:hAnsi="Arial"/>
                <w:sz w:val="22"/>
                <w:szCs w:val="22"/>
                <w:color w:val="auto"/>
              </w:rPr>
            </w:pPr>
            <w:hyperlink w:anchor="page117">
              <w:r>
                <w:rPr>
                  <w:rFonts w:ascii="Arial" w:cs="Arial" w:eastAsia="Arial" w:hAnsi="Arial"/>
                  <w:sz w:val="22"/>
                  <w:szCs w:val="22"/>
                  <w:color w:val="auto"/>
                </w:rPr>
                <w:t>Section 162(m)</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3</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Award Agreement</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4</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Purchase Price</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5</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Form of Payment Under Performance Unit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7"/>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980" w:type="dxa"/>
            <w:vAlign w:val="bottom"/>
            <w:tcBorders>
              <w:left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6</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Time of Payment Under Performance Unit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7"/>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7</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Holder’s Rights as Shareholder With Respect to Performance Awards</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7"/>
            <w:shd w:val="clear" w:color="auto" w:fill="000000"/>
          </w:tcPr>
          <w:p>
            <w:pPr>
              <w:spacing w:after="0" w:line="20" w:lineRule="exact"/>
              <w:rPr>
                <w:sz w:val="1"/>
                <w:szCs w:val="1"/>
                <w:color w:val="auto"/>
              </w:rPr>
            </w:pPr>
          </w:p>
        </w:tc>
        <w:tc>
          <w:tcPr>
            <w:tcW w:w="3800" w:type="dxa"/>
            <w:vAlign w:val="bottom"/>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8</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Minimum Performance Period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379" w:lineRule="exact"/>
        <w:rPr>
          <w:sz w:val="20"/>
          <w:szCs w:val="20"/>
          <w:color w:val="auto"/>
        </w:rPr>
      </w:pPr>
    </w:p>
    <w:p>
      <w:pPr>
        <w:spacing w:after="0"/>
        <w:rPr>
          <w:rFonts w:ascii="Arial" w:cs="Arial" w:eastAsia="Arial" w:hAnsi="Arial"/>
          <w:sz w:val="43"/>
          <w:szCs w:val="43"/>
          <w:b w:val="1"/>
          <w:bCs w:val="1"/>
          <w:u w:val="single" w:color="auto"/>
          <w:color w:val="auto"/>
        </w:rPr>
      </w:pPr>
      <w:hyperlink w:anchor="page119">
        <w:r>
          <w:rPr>
            <w:rFonts w:ascii="Arial" w:cs="Arial" w:eastAsia="Arial" w:hAnsi="Arial"/>
            <w:sz w:val="43"/>
            <w:szCs w:val="43"/>
            <w:b w:val="1"/>
            <w:bCs w:val="1"/>
            <w:u w:val="single" w:color="auto"/>
            <w:color w:val="auto"/>
          </w:rPr>
          <w:t>ARTICLE X</w:t>
        </w:r>
      </w:hyperlink>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Borders>
              <w:bottom w:val="single" w:sz="8" w:color="CE0E41"/>
            </w:tcBorders>
          </w:tcPr>
          <w:p>
            <w:pPr>
              <w:spacing w:after="0"/>
              <w:rPr>
                <w:rFonts w:ascii="Arial" w:cs="Arial" w:eastAsia="Arial" w:hAnsi="Arial"/>
                <w:sz w:val="22"/>
                <w:szCs w:val="22"/>
                <w:b w:val="1"/>
                <w:bCs w:val="1"/>
                <w:color w:val="CE0E41"/>
                <w:w w:val="96"/>
              </w:rPr>
            </w:pPr>
            <w:hyperlink w:anchor="page119">
              <w:r>
                <w:rPr>
                  <w:rFonts w:ascii="Arial" w:cs="Arial" w:eastAsia="Arial" w:hAnsi="Arial"/>
                  <w:sz w:val="22"/>
                  <w:szCs w:val="22"/>
                  <w:b w:val="1"/>
                  <w:bCs w:val="1"/>
                  <w:color w:val="CE0E41"/>
                  <w:w w:val="96"/>
                </w:rPr>
                <w:t>Other Share-Based Awards</w:t>
              </w:r>
            </w:hyperlink>
          </w:p>
        </w:tc>
        <w:tc>
          <w:tcPr>
            <w:tcW w:w="5400" w:type="dxa"/>
            <w:vAlign w:val="bottom"/>
          </w:tcPr>
          <w:p>
            <w:pPr>
              <w:ind w:left="4940"/>
              <w:spacing w:after="0"/>
              <w:rPr>
                <w:sz w:val="20"/>
                <w:szCs w:val="20"/>
                <w:color w:val="auto"/>
              </w:rPr>
            </w:pPr>
            <w:r>
              <w:rPr>
                <w:rFonts w:ascii="Arial" w:cs="Arial" w:eastAsia="Arial" w:hAnsi="Arial"/>
                <w:sz w:val="22"/>
                <w:szCs w:val="22"/>
                <w:b w:val="1"/>
                <w:bCs w:val="1"/>
                <w:color w:val="auto"/>
                <w:w w:val="92"/>
              </w:rPr>
              <w:t>A-22</w:t>
            </w:r>
          </w:p>
        </w:tc>
      </w:tr>
    </w:tbl>
    <w:p>
      <w:pPr>
        <w:spacing w:after="0" w:line="424" w:lineRule="exact"/>
        <w:rPr>
          <w:sz w:val="20"/>
          <w:szCs w:val="20"/>
          <w:color w:val="auto"/>
        </w:rPr>
      </w:pPr>
    </w:p>
    <w:p>
      <w:pPr>
        <w:sectPr>
          <w:pgSz w:w="11900" w:h="16838" w:orient="portrait"/>
          <w:cols w:equalWidth="0" w:num="2">
            <w:col w:w="2520" w:space="720"/>
            <w:col w:w="8180"/>
          </w:cols>
          <w:pgMar w:left="240" w:top="373" w:right="2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1</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Authority to Grant Other Share-Based Awards</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2</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Value of Other Share-Based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3</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Purchase Price</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4</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Payment of Other Share-Based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5</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Termination of Employment</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6</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Minimum Vesting Period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352"/>
        </w:trPr>
        <w:tc>
          <w:tcPr>
            <w:tcW w:w="700" w:type="dxa"/>
            <w:vAlign w:val="bottom"/>
            <w:tcBorders>
              <w:bottom w:val="single" w:sz="8" w:color="auto"/>
            </w:tcBorders>
          </w:tcPr>
          <w:p>
            <w:pPr>
              <w:spacing w:after="0"/>
              <w:rPr>
                <w:sz w:val="24"/>
                <w:szCs w:val="24"/>
                <w:color w:val="auto"/>
              </w:rPr>
            </w:pPr>
          </w:p>
        </w:tc>
        <w:tc>
          <w:tcPr>
            <w:tcW w:w="420" w:type="dxa"/>
            <w:vAlign w:val="bottom"/>
            <w:tcBorders>
              <w:top w:val="single" w:sz="8" w:color="CE0D41"/>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8"/>
            <w:vMerge w:val="restart"/>
          </w:tcPr>
          <w:p>
            <w:pPr>
              <w:spacing w:after="0" w:line="472" w:lineRule="exact"/>
              <w:rPr>
                <w:rFonts w:ascii="Arial" w:cs="Arial" w:eastAsia="Arial" w:hAnsi="Arial"/>
                <w:sz w:val="43"/>
                <w:szCs w:val="43"/>
                <w:b w:val="1"/>
                <w:bCs w:val="1"/>
                <w:color w:val="auto"/>
              </w:rPr>
            </w:pPr>
            <w:hyperlink w:anchor="page120">
              <w:r>
                <w:rPr>
                  <w:rFonts w:ascii="Arial" w:cs="Arial" w:eastAsia="Arial" w:hAnsi="Arial"/>
                  <w:sz w:val="43"/>
                  <w:szCs w:val="43"/>
                  <w:b w:val="1"/>
                  <w:bCs w:val="1"/>
                  <w:color w:val="auto"/>
                </w:rPr>
                <w:t>ARTICLE XI</w:t>
              </w:r>
            </w:hyperlink>
          </w:p>
        </w:tc>
        <w:tc>
          <w:tcPr>
            <w:tcW w:w="5340" w:type="dxa"/>
            <w:vAlign w:val="bottom"/>
            <w:gridSpan w:val="14"/>
          </w:tcPr>
          <w:p>
            <w:pPr>
              <w:spacing w:after="0"/>
              <w:rPr>
                <w:rFonts w:ascii="Arial" w:cs="Arial" w:eastAsia="Arial" w:hAnsi="Arial"/>
                <w:sz w:val="22"/>
                <w:szCs w:val="22"/>
                <w:b w:val="1"/>
                <w:bCs w:val="1"/>
                <w:color w:val="CE0E41"/>
              </w:rPr>
            </w:pPr>
            <w:hyperlink w:anchor="page120">
              <w:r>
                <w:rPr>
                  <w:rFonts w:ascii="Arial" w:cs="Arial" w:eastAsia="Arial" w:hAnsi="Arial"/>
                  <w:sz w:val="22"/>
                  <w:szCs w:val="22"/>
                  <w:b w:val="1"/>
                  <w:bCs w:val="1"/>
                  <w:color w:val="CE0E41"/>
                </w:rPr>
                <w:t>Cash-Based Awards</w:t>
              </w:r>
            </w:hyperlink>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A-23</w:t>
            </w:r>
          </w:p>
        </w:tc>
        <w:tc>
          <w:tcPr>
            <w:tcW w:w="0" w:type="dxa"/>
            <w:vAlign w:val="bottom"/>
          </w:tcPr>
          <w:p>
            <w:pPr>
              <w:spacing w:after="0"/>
              <w:rPr>
                <w:sz w:val="1"/>
                <w:szCs w:val="1"/>
                <w:color w:val="auto"/>
              </w:rPr>
            </w:pPr>
          </w:p>
        </w:tc>
      </w:tr>
      <w:tr>
        <w:trPr>
          <w:trHeight w:val="196"/>
        </w:trPr>
        <w:tc>
          <w:tcPr>
            <w:tcW w:w="3240" w:type="dxa"/>
            <w:vAlign w:val="bottom"/>
            <w:gridSpan w:val="8"/>
            <w:vMerge w:val="continue"/>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380" w:type="dxa"/>
            <w:vAlign w:val="bottom"/>
            <w:tcBorders>
              <w:top w:val="single" w:sz="8" w:color="CE0E41"/>
            </w:tcBorders>
          </w:tcPr>
          <w:p>
            <w:pPr>
              <w:spacing w:after="0"/>
              <w:rPr>
                <w:sz w:val="17"/>
                <w:szCs w:val="17"/>
                <w:color w:val="auto"/>
              </w:rPr>
            </w:pPr>
          </w:p>
        </w:tc>
        <w:tc>
          <w:tcPr>
            <w:tcW w:w="240" w:type="dxa"/>
            <w:vAlign w:val="bottom"/>
            <w:tcBorders>
              <w:top w:val="single" w:sz="8" w:color="CE0E41"/>
            </w:tcBorders>
          </w:tcPr>
          <w:p>
            <w:pPr>
              <w:spacing w:after="0"/>
              <w:rPr>
                <w:sz w:val="17"/>
                <w:szCs w:val="17"/>
                <w:color w:val="auto"/>
              </w:rPr>
            </w:pPr>
          </w:p>
        </w:tc>
        <w:tc>
          <w:tcPr>
            <w:tcW w:w="22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320" w:type="dxa"/>
            <w:vAlign w:val="bottom"/>
            <w:tcBorders>
              <w:top w:val="single" w:sz="8" w:color="CE0E41"/>
            </w:tcBorders>
          </w:tcPr>
          <w:p>
            <w:pPr>
              <w:spacing w:after="0"/>
              <w:rPr>
                <w:sz w:val="17"/>
                <w:szCs w:val="17"/>
                <w:color w:val="auto"/>
              </w:rPr>
            </w:pPr>
          </w:p>
        </w:tc>
        <w:tc>
          <w:tcPr>
            <w:tcW w:w="36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120" w:type="dxa"/>
            <w:vAlign w:val="bottom"/>
            <w:gridSpan w:val="2"/>
            <w:shd w:val="clear" w:color="auto" w:fill="000000"/>
          </w:tcPr>
          <w:p>
            <w:pPr>
              <w:spacing w:after="0"/>
              <w:rPr>
                <w:sz w:val="3"/>
                <w:szCs w:val="3"/>
                <w:color w:val="auto"/>
              </w:rPr>
            </w:pPr>
          </w:p>
        </w:tc>
        <w:tc>
          <w:tcPr>
            <w:tcW w:w="1280" w:type="dxa"/>
            <w:vAlign w:val="bottom"/>
            <w:gridSpan w:val="2"/>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3060" w:type="dxa"/>
            <w:vAlign w:val="bottom"/>
            <w:gridSpan w:val="2"/>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1</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Authority to Grant Cash-Based Awards</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2</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Value of Cash-Based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3</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Payment of Cash-Based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4</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Termination of Employment</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352"/>
        </w:trPr>
        <w:tc>
          <w:tcPr>
            <w:tcW w:w="700" w:type="dxa"/>
            <w:vAlign w:val="bottom"/>
            <w:tcBorders>
              <w:bottom w:val="single" w:sz="8" w:color="auto"/>
            </w:tcBorders>
          </w:tcPr>
          <w:p>
            <w:pPr>
              <w:spacing w:after="0"/>
              <w:rPr>
                <w:sz w:val="24"/>
                <w:szCs w:val="24"/>
                <w:color w:val="auto"/>
              </w:rPr>
            </w:pPr>
          </w:p>
        </w:tc>
        <w:tc>
          <w:tcPr>
            <w:tcW w:w="420" w:type="dxa"/>
            <w:vAlign w:val="bottom"/>
            <w:tcBorders>
              <w:top w:val="single" w:sz="8" w:color="CE0D41"/>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8"/>
            <w:vMerge w:val="restart"/>
          </w:tcPr>
          <w:p>
            <w:pPr>
              <w:spacing w:after="0" w:line="472" w:lineRule="exact"/>
              <w:rPr>
                <w:rFonts w:ascii="Arial" w:cs="Arial" w:eastAsia="Arial" w:hAnsi="Arial"/>
                <w:sz w:val="43"/>
                <w:szCs w:val="43"/>
                <w:b w:val="1"/>
                <w:bCs w:val="1"/>
                <w:color w:val="auto"/>
              </w:rPr>
            </w:pPr>
            <w:hyperlink w:anchor="page120">
              <w:r>
                <w:rPr>
                  <w:rFonts w:ascii="Arial" w:cs="Arial" w:eastAsia="Arial" w:hAnsi="Arial"/>
                  <w:sz w:val="43"/>
                  <w:szCs w:val="43"/>
                  <w:b w:val="1"/>
                  <w:bCs w:val="1"/>
                  <w:color w:val="auto"/>
                </w:rPr>
                <w:t>ARTICLE XII</w:t>
              </w:r>
            </w:hyperlink>
          </w:p>
        </w:tc>
        <w:tc>
          <w:tcPr>
            <w:tcW w:w="5340" w:type="dxa"/>
            <w:vAlign w:val="bottom"/>
            <w:gridSpan w:val="14"/>
          </w:tcPr>
          <w:p>
            <w:pPr>
              <w:spacing w:after="0"/>
              <w:rPr>
                <w:rFonts w:ascii="Arial" w:cs="Arial" w:eastAsia="Arial" w:hAnsi="Arial"/>
                <w:sz w:val="22"/>
                <w:szCs w:val="22"/>
                <w:b w:val="1"/>
                <w:bCs w:val="1"/>
                <w:color w:val="CE0E41"/>
              </w:rPr>
            </w:pPr>
            <w:hyperlink w:anchor="page120">
              <w:r>
                <w:rPr>
                  <w:rFonts w:ascii="Arial" w:cs="Arial" w:eastAsia="Arial" w:hAnsi="Arial"/>
                  <w:sz w:val="22"/>
                  <w:szCs w:val="22"/>
                  <w:b w:val="1"/>
                  <w:bCs w:val="1"/>
                  <w:color w:val="CE0E41"/>
                </w:rPr>
                <w:t>Substitution Awards</w:t>
              </w:r>
            </w:hyperlink>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A-23</w:t>
            </w:r>
          </w:p>
        </w:tc>
        <w:tc>
          <w:tcPr>
            <w:tcW w:w="0" w:type="dxa"/>
            <w:vAlign w:val="bottom"/>
          </w:tcPr>
          <w:p>
            <w:pPr>
              <w:spacing w:after="0"/>
              <w:rPr>
                <w:sz w:val="1"/>
                <w:szCs w:val="1"/>
                <w:color w:val="auto"/>
              </w:rPr>
            </w:pPr>
          </w:p>
        </w:tc>
      </w:tr>
      <w:tr>
        <w:trPr>
          <w:trHeight w:val="217"/>
        </w:trPr>
        <w:tc>
          <w:tcPr>
            <w:tcW w:w="3240" w:type="dxa"/>
            <w:vAlign w:val="bottom"/>
            <w:gridSpan w:val="8"/>
            <w:vMerge w:val="continue"/>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260" w:type="dxa"/>
            <w:vAlign w:val="bottom"/>
            <w:tcBorders>
              <w:top w:val="single" w:sz="8" w:color="CE0E41"/>
            </w:tcBorders>
          </w:tcPr>
          <w:p>
            <w:pPr>
              <w:spacing w:after="0"/>
              <w:rPr>
                <w:sz w:val="18"/>
                <w:szCs w:val="18"/>
                <w:color w:val="auto"/>
              </w:rPr>
            </w:pPr>
          </w:p>
        </w:tc>
        <w:tc>
          <w:tcPr>
            <w:tcW w:w="380" w:type="dxa"/>
            <w:vAlign w:val="bottom"/>
            <w:tcBorders>
              <w:top w:val="single" w:sz="8" w:color="CE0E41"/>
            </w:tcBorders>
          </w:tcPr>
          <w:p>
            <w:pPr>
              <w:spacing w:after="0"/>
              <w:rPr>
                <w:sz w:val="18"/>
                <w:szCs w:val="18"/>
                <w:color w:val="auto"/>
              </w:rPr>
            </w:pPr>
          </w:p>
        </w:tc>
        <w:tc>
          <w:tcPr>
            <w:tcW w:w="240" w:type="dxa"/>
            <w:vAlign w:val="bottom"/>
            <w:tcBorders>
              <w:top w:val="single" w:sz="8" w:color="CE0E41"/>
            </w:tcBorders>
          </w:tcPr>
          <w:p>
            <w:pPr>
              <w:spacing w:after="0"/>
              <w:rPr>
                <w:sz w:val="18"/>
                <w:szCs w:val="18"/>
                <w:color w:val="auto"/>
              </w:rPr>
            </w:pPr>
          </w:p>
        </w:tc>
        <w:tc>
          <w:tcPr>
            <w:tcW w:w="220" w:type="dxa"/>
            <w:vAlign w:val="bottom"/>
            <w:tcBorders>
              <w:top w:val="single" w:sz="8" w:color="CE0E41"/>
            </w:tcBorders>
          </w:tcPr>
          <w:p>
            <w:pPr>
              <w:spacing w:after="0"/>
              <w:rPr>
                <w:sz w:val="18"/>
                <w:szCs w:val="18"/>
                <w:color w:val="auto"/>
              </w:rPr>
            </w:pPr>
          </w:p>
        </w:tc>
        <w:tc>
          <w:tcPr>
            <w:tcW w:w="140" w:type="dxa"/>
            <w:vAlign w:val="bottom"/>
            <w:tcBorders>
              <w:top w:val="single" w:sz="8" w:color="CE0E41"/>
            </w:tcBorders>
          </w:tcPr>
          <w:p>
            <w:pPr>
              <w:spacing w:after="0"/>
              <w:rPr>
                <w:sz w:val="18"/>
                <w:szCs w:val="18"/>
                <w:color w:val="auto"/>
              </w:rPr>
            </w:pPr>
          </w:p>
        </w:tc>
        <w:tc>
          <w:tcPr>
            <w:tcW w:w="320" w:type="dxa"/>
            <w:vAlign w:val="bottom"/>
            <w:tcBorders>
              <w:top w:val="single" w:sz="8" w:color="CE0E41"/>
            </w:tcBorders>
          </w:tcPr>
          <w:p>
            <w:pPr>
              <w:spacing w:after="0"/>
              <w:rPr>
                <w:sz w:val="18"/>
                <w:szCs w:val="18"/>
                <w:color w:val="auto"/>
              </w:rPr>
            </w:pPr>
          </w:p>
        </w:tc>
        <w:tc>
          <w:tcPr>
            <w:tcW w:w="360" w:type="dxa"/>
            <w:vAlign w:val="bottom"/>
            <w:tcBorders>
              <w:top w:val="single" w:sz="8" w:color="CE0E41"/>
            </w:tcBorders>
          </w:tcPr>
          <w:p>
            <w:pPr>
              <w:spacing w:after="0"/>
              <w:rPr>
                <w:sz w:val="18"/>
                <w:szCs w:val="18"/>
                <w:color w:val="auto"/>
              </w:rPr>
            </w:pPr>
          </w:p>
        </w:tc>
        <w:tc>
          <w:tcPr>
            <w:tcW w:w="140" w:type="dxa"/>
            <w:vAlign w:val="bottom"/>
            <w:tcBorders>
              <w:top w:val="single" w:sz="8" w:color="CE0E41"/>
            </w:tcBorders>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8"/>
            <w:vMerge w:val="restart"/>
          </w:tcPr>
          <w:p>
            <w:pPr>
              <w:spacing w:after="0" w:line="472" w:lineRule="exact"/>
              <w:rPr>
                <w:rFonts w:ascii="Arial" w:cs="Arial" w:eastAsia="Arial" w:hAnsi="Arial"/>
                <w:sz w:val="43"/>
                <w:szCs w:val="43"/>
                <w:b w:val="1"/>
                <w:bCs w:val="1"/>
                <w:color w:val="auto"/>
              </w:rPr>
            </w:pPr>
            <w:hyperlink w:anchor="page121">
              <w:r>
                <w:rPr>
                  <w:rFonts w:ascii="Arial" w:cs="Arial" w:eastAsia="Arial" w:hAnsi="Arial"/>
                  <w:sz w:val="43"/>
                  <w:szCs w:val="43"/>
                  <w:b w:val="1"/>
                  <w:bCs w:val="1"/>
                  <w:color w:val="auto"/>
                </w:rPr>
                <w:t>ARTICLE XIII</w:t>
              </w:r>
            </w:hyperlink>
          </w:p>
        </w:tc>
        <w:tc>
          <w:tcPr>
            <w:tcW w:w="5340" w:type="dxa"/>
            <w:vAlign w:val="bottom"/>
            <w:gridSpan w:val="14"/>
          </w:tcPr>
          <w:p>
            <w:pPr>
              <w:spacing w:after="0"/>
              <w:rPr>
                <w:rFonts w:ascii="Arial" w:cs="Arial" w:eastAsia="Arial" w:hAnsi="Arial"/>
                <w:sz w:val="22"/>
                <w:szCs w:val="22"/>
                <w:b w:val="1"/>
                <w:bCs w:val="1"/>
                <w:color w:val="CE0E41"/>
              </w:rPr>
            </w:pPr>
            <w:hyperlink w:anchor="page121">
              <w:r>
                <w:rPr>
                  <w:rFonts w:ascii="Arial" w:cs="Arial" w:eastAsia="Arial" w:hAnsi="Arial"/>
                  <w:sz w:val="22"/>
                  <w:szCs w:val="22"/>
                  <w:b w:val="1"/>
                  <w:bCs w:val="1"/>
                  <w:color w:val="CE0E41"/>
                </w:rPr>
                <w:t>Administration</w:t>
              </w:r>
            </w:hyperlink>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A-24</w:t>
            </w:r>
          </w:p>
        </w:tc>
        <w:tc>
          <w:tcPr>
            <w:tcW w:w="0" w:type="dxa"/>
            <w:vAlign w:val="bottom"/>
          </w:tcPr>
          <w:p>
            <w:pPr>
              <w:spacing w:after="0"/>
              <w:rPr>
                <w:sz w:val="1"/>
                <w:szCs w:val="1"/>
                <w:color w:val="auto"/>
              </w:rPr>
            </w:pPr>
          </w:p>
        </w:tc>
      </w:tr>
      <w:tr>
        <w:trPr>
          <w:trHeight w:val="217"/>
        </w:trPr>
        <w:tc>
          <w:tcPr>
            <w:tcW w:w="3240" w:type="dxa"/>
            <w:vAlign w:val="bottom"/>
            <w:gridSpan w:val="8"/>
            <w:vMerge w:val="continue"/>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260" w:type="dxa"/>
            <w:vAlign w:val="bottom"/>
            <w:tcBorders>
              <w:top w:val="single" w:sz="8" w:color="CE0E41"/>
            </w:tcBorders>
          </w:tcPr>
          <w:p>
            <w:pPr>
              <w:spacing w:after="0"/>
              <w:rPr>
                <w:sz w:val="18"/>
                <w:szCs w:val="18"/>
                <w:color w:val="auto"/>
              </w:rPr>
            </w:pPr>
          </w:p>
        </w:tc>
        <w:tc>
          <w:tcPr>
            <w:tcW w:w="380" w:type="dxa"/>
            <w:vAlign w:val="bottom"/>
            <w:tcBorders>
              <w:top w:val="single" w:sz="8" w:color="CE0E41"/>
            </w:tcBorders>
          </w:tcPr>
          <w:p>
            <w:pPr>
              <w:spacing w:after="0"/>
              <w:rPr>
                <w:sz w:val="18"/>
                <w:szCs w:val="18"/>
                <w:color w:val="auto"/>
              </w:rPr>
            </w:pPr>
          </w:p>
        </w:tc>
        <w:tc>
          <w:tcPr>
            <w:tcW w:w="240" w:type="dxa"/>
            <w:vAlign w:val="bottom"/>
            <w:tcBorders>
              <w:top w:val="single" w:sz="8" w:color="CE0E41"/>
            </w:tcBorders>
          </w:tcPr>
          <w:p>
            <w:pPr>
              <w:spacing w:after="0"/>
              <w:rPr>
                <w:sz w:val="18"/>
                <w:szCs w:val="18"/>
                <w:color w:val="auto"/>
              </w:rPr>
            </w:pPr>
          </w:p>
        </w:tc>
        <w:tc>
          <w:tcPr>
            <w:tcW w:w="220" w:type="dxa"/>
            <w:vAlign w:val="bottom"/>
            <w:tcBorders>
              <w:top w:val="single" w:sz="8" w:color="CE0E41"/>
            </w:tcBorders>
          </w:tcPr>
          <w:p>
            <w:pPr>
              <w:spacing w:after="0"/>
              <w:rPr>
                <w:sz w:val="18"/>
                <w:szCs w:val="18"/>
                <w:color w:val="auto"/>
              </w:rPr>
            </w:pPr>
          </w:p>
        </w:tc>
        <w:tc>
          <w:tcPr>
            <w:tcW w:w="140" w:type="dxa"/>
            <w:vAlign w:val="bottom"/>
            <w:tcBorders>
              <w:top w:val="single" w:sz="8" w:color="CE0E41"/>
            </w:tcBorders>
          </w:tcPr>
          <w:p>
            <w:pPr>
              <w:spacing w:after="0"/>
              <w:rPr>
                <w:sz w:val="18"/>
                <w:szCs w:val="18"/>
                <w:color w:val="auto"/>
              </w:rPr>
            </w:pPr>
          </w:p>
        </w:tc>
        <w:tc>
          <w:tcPr>
            <w:tcW w:w="320" w:type="dxa"/>
            <w:vAlign w:val="bottom"/>
            <w:tcBorders>
              <w:top w:val="single" w:sz="8" w:color="CE0E41"/>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20" w:type="dxa"/>
            <w:vAlign w:val="bottom"/>
            <w:tcBorders>
              <w:top w:val="single" w:sz="8" w:color="auto"/>
            </w:tcBorders>
            <w:gridSpan w:val="2"/>
          </w:tcPr>
          <w:p>
            <w:pPr>
              <w:jc w:val="right"/>
              <w:spacing w:after="0"/>
              <w:rPr>
                <w:rFonts w:ascii="Arial" w:cs="Arial" w:eastAsia="Arial" w:hAnsi="Arial"/>
                <w:sz w:val="22"/>
                <w:szCs w:val="22"/>
                <w:color w:val="CE0D41"/>
              </w:rPr>
            </w:pPr>
            <w:hyperlink w:anchor="page121">
              <w:r>
                <w:rPr>
                  <w:rFonts w:ascii="Arial" w:cs="Arial" w:eastAsia="Arial" w:hAnsi="Arial"/>
                  <w:sz w:val="22"/>
                  <w:szCs w:val="22"/>
                  <w:color w:val="CE0D41"/>
                </w:rPr>
                <w:t>13.</w:t>
              </w:r>
              <w:r>
                <w:rPr>
                  <w:rFonts w:ascii="Arial" w:cs="Arial" w:eastAsia="Arial" w:hAnsi="Arial"/>
                  <w:sz w:val="22"/>
                  <w:szCs w:val="22"/>
                  <w:u w:val="single" w:color="auto"/>
                  <w:color w:val="CE0D41"/>
                </w:rPr>
                <w:t>1</w:t>
              </w:r>
            </w:hyperlink>
          </w:p>
        </w:tc>
        <w:tc>
          <w:tcPr>
            <w:tcW w:w="1520" w:type="dxa"/>
            <w:vAlign w:val="bottom"/>
            <w:tcBorders>
              <w:top w:val="single" w:sz="8" w:color="auto"/>
            </w:tcBorders>
            <w:gridSpan w:val="5"/>
          </w:tcPr>
          <w:p>
            <w:pPr>
              <w:ind w:left="680"/>
              <w:spacing w:after="0"/>
              <w:rPr>
                <w:rFonts w:ascii="Arial" w:cs="Arial" w:eastAsia="Arial" w:hAnsi="Arial"/>
                <w:sz w:val="22"/>
                <w:szCs w:val="22"/>
                <w:color w:val="auto"/>
              </w:rPr>
            </w:pPr>
            <w:hyperlink w:anchor="page121">
              <w:r>
                <w:rPr>
                  <w:rFonts w:ascii="Arial" w:cs="Arial" w:eastAsia="Arial" w:hAnsi="Arial"/>
                  <w:sz w:val="22"/>
                  <w:szCs w:val="22"/>
                  <w:color w:val="auto"/>
                </w:rPr>
                <w:t>Awards</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2"/>
                <w:szCs w:val="22"/>
                <w:color w:val="auto"/>
              </w:rPr>
              <w:t>A-24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1">
              <w:r>
                <w:rPr>
                  <w:rFonts w:ascii="Arial" w:cs="Arial" w:eastAsia="Arial" w:hAnsi="Arial"/>
                  <w:sz w:val="22"/>
                  <w:szCs w:val="22"/>
                  <w:color w:val="CE0D41"/>
                </w:rPr>
                <w:t>13.</w:t>
              </w:r>
              <w:r>
                <w:rPr>
                  <w:rFonts w:ascii="Arial" w:cs="Arial" w:eastAsia="Arial" w:hAnsi="Arial"/>
                  <w:sz w:val="22"/>
                  <w:szCs w:val="22"/>
                  <w:u w:val="single" w:color="auto"/>
                  <w:color w:val="CE0D41"/>
                </w:rPr>
                <w:t>2</w:t>
              </w:r>
            </w:hyperlink>
          </w:p>
        </w:tc>
        <w:tc>
          <w:tcPr>
            <w:tcW w:w="7460" w:type="dxa"/>
            <w:vAlign w:val="bottom"/>
            <w:gridSpan w:val="20"/>
          </w:tcPr>
          <w:p>
            <w:pPr>
              <w:ind w:left="680"/>
              <w:spacing w:after="0"/>
              <w:rPr>
                <w:rFonts w:ascii="Arial" w:cs="Arial" w:eastAsia="Arial" w:hAnsi="Arial"/>
                <w:sz w:val="22"/>
                <w:szCs w:val="22"/>
                <w:color w:val="auto"/>
              </w:rPr>
            </w:pPr>
            <w:hyperlink w:anchor="page121">
              <w:r>
                <w:rPr>
                  <w:rFonts w:ascii="Arial" w:cs="Arial" w:eastAsia="Arial" w:hAnsi="Arial"/>
                  <w:sz w:val="22"/>
                  <w:szCs w:val="22"/>
                  <w:color w:val="auto"/>
                </w:rPr>
                <w:t>Authority of the Committee</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13.</w:t>
              </w:r>
              <w:r>
                <w:rPr>
                  <w:rFonts w:ascii="Arial" w:cs="Arial" w:eastAsia="Arial" w:hAnsi="Arial"/>
                  <w:sz w:val="22"/>
                  <w:szCs w:val="22"/>
                  <w:u w:val="single" w:color="auto"/>
                  <w:color w:val="CE0D41"/>
                </w:rPr>
                <w:t>3</w:t>
              </w:r>
            </w:hyperlink>
          </w:p>
        </w:tc>
        <w:tc>
          <w:tcPr>
            <w:tcW w:w="7460" w:type="dxa"/>
            <w:vAlign w:val="bottom"/>
            <w:gridSpan w:val="20"/>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Decisions Binding</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13.</w:t>
              </w:r>
              <w:r>
                <w:rPr>
                  <w:rFonts w:ascii="Arial" w:cs="Arial" w:eastAsia="Arial" w:hAnsi="Arial"/>
                  <w:sz w:val="22"/>
                  <w:szCs w:val="22"/>
                  <w:u w:val="single" w:color="auto"/>
                  <w:color w:val="CE0D41"/>
                </w:rPr>
                <w:t>4</w:t>
              </w:r>
            </w:hyperlink>
          </w:p>
        </w:tc>
        <w:tc>
          <w:tcPr>
            <w:tcW w:w="7460" w:type="dxa"/>
            <w:vAlign w:val="bottom"/>
            <w:gridSpan w:val="20"/>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No Liability to Holders</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0"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78"/>
        </w:trPr>
        <w:tc>
          <w:tcPr>
            <w:tcW w:w="2700" w:type="dxa"/>
            <w:vAlign w:val="bottom"/>
            <w:gridSpan w:val="4"/>
            <w:vMerge w:val="restart"/>
          </w:tcPr>
          <w:p>
            <w:pPr>
              <w:spacing w:after="0"/>
              <w:rPr>
                <w:rFonts w:ascii="Arial" w:cs="Arial" w:eastAsia="Arial" w:hAnsi="Arial"/>
                <w:sz w:val="43"/>
                <w:szCs w:val="43"/>
                <w:b w:val="1"/>
                <w:bCs w:val="1"/>
                <w:color w:val="auto"/>
              </w:rPr>
            </w:pPr>
            <w:hyperlink w:anchor="page122">
              <w:r>
                <w:rPr>
                  <w:rFonts w:ascii="Arial" w:cs="Arial" w:eastAsia="Arial" w:hAnsi="Arial"/>
                  <w:sz w:val="43"/>
                  <w:szCs w:val="43"/>
                  <w:b w:val="1"/>
                  <w:bCs w:val="1"/>
                  <w:color w:val="auto"/>
                </w:rPr>
                <w:t>ARTICLE XIV</w:t>
              </w:r>
            </w:hyperlink>
          </w:p>
        </w:tc>
        <w:tc>
          <w:tcPr>
            <w:tcW w:w="540" w:type="dxa"/>
            <w:vAlign w:val="bottom"/>
          </w:tcPr>
          <w:p>
            <w:pPr>
              <w:spacing w:after="0"/>
              <w:rPr>
                <w:sz w:val="24"/>
                <w:szCs w:val="24"/>
                <w:color w:val="auto"/>
              </w:rPr>
            </w:pPr>
          </w:p>
        </w:tc>
        <w:tc>
          <w:tcPr>
            <w:tcW w:w="3900" w:type="dxa"/>
            <w:vAlign w:val="bottom"/>
            <w:gridSpan w:val="3"/>
          </w:tcPr>
          <w:p>
            <w:pPr>
              <w:spacing w:after="0"/>
              <w:rPr>
                <w:rFonts w:ascii="Arial" w:cs="Arial" w:eastAsia="Arial" w:hAnsi="Arial"/>
                <w:sz w:val="22"/>
                <w:szCs w:val="22"/>
                <w:b w:val="1"/>
                <w:bCs w:val="1"/>
                <w:color w:val="CE0E41"/>
              </w:rPr>
            </w:pPr>
            <w:hyperlink w:anchor="page122">
              <w:r>
                <w:rPr>
                  <w:rFonts w:ascii="Arial" w:cs="Arial" w:eastAsia="Arial" w:hAnsi="Arial"/>
                  <w:sz w:val="22"/>
                  <w:szCs w:val="22"/>
                  <w:b w:val="1"/>
                  <w:bCs w:val="1"/>
                  <w:color w:val="CE0E41"/>
                </w:rPr>
                <w:t>Amendment or Termination of Plan</w:t>
              </w:r>
            </w:hyperlink>
          </w:p>
        </w:tc>
        <w:tc>
          <w:tcPr>
            <w:tcW w:w="4280" w:type="dxa"/>
            <w:vAlign w:val="bottom"/>
          </w:tcPr>
          <w:p>
            <w:pPr>
              <w:jc w:val="right"/>
              <w:spacing w:after="0"/>
              <w:rPr>
                <w:sz w:val="20"/>
                <w:szCs w:val="20"/>
                <w:color w:val="auto"/>
              </w:rPr>
            </w:pPr>
            <w:r>
              <w:rPr>
                <w:rFonts w:ascii="Arial" w:cs="Arial" w:eastAsia="Arial" w:hAnsi="Arial"/>
                <w:sz w:val="22"/>
                <w:szCs w:val="22"/>
                <w:b w:val="1"/>
                <w:bCs w:val="1"/>
                <w:color w:val="auto"/>
              </w:rPr>
              <w:t>A-25</w:t>
            </w:r>
          </w:p>
        </w:tc>
        <w:tc>
          <w:tcPr>
            <w:tcW w:w="0" w:type="dxa"/>
            <w:vAlign w:val="bottom"/>
          </w:tcPr>
          <w:p>
            <w:pPr>
              <w:spacing w:after="0"/>
              <w:rPr>
                <w:sz w:val="1"/>
                <w:szCs w:val="1"/>
                <w:color w:val="auto"/>
              </w:rPr>
            </w:pPr>
          </w:p>
        </w:tc>
      </w:tr>
      <w:tr>
        <w:trPr>
          <w:trHeight w:val="222"/>
        </w:trPr>
        <w:tc>
          <w:tcPr>
            <w:tcW w:w="2700" w:type="dxa"/>
            <w:vAlign w:val="bottom"/>
            <w:tcBorders>
              <w:bottom w:val="single" w:sz="8" w:color="auto"/>
            </w:tcBorders>
            <w:gridSpan w:val="4"/>
            <w:vMerge w:val="continue"/>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Borders>
              <w:top w:val="single" w:sz="8" w:color="CE0E41"/>
            </w:tcBorders>
          </w:tcPr>
          <w:p>
            <w:pPr>
              <w:spacing w:after="0"/>
              <w:rPr>
                <w:sz w:val="18"/>
                <w:szCs w:val="18"/>
                <w:color w:val="auto"/>
              </w:rPr>
            </w:pPr>
          </w:p>
        </w:tc>
        <w:tc>
          <w:tcPr>
            <w:tcW w:w="2400" w:type="dxa"/>
            <w:vAlign w:val="bottom"/>
            <w:tcBorders>
              <w:top w:val="single" w:sz="8" w:color="CE0E41"/>
            </w:tcBorders>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14.</w:t>
              </w:r>
              <w:r>
                <w:rPr>
                  <w:rFonts w:ascii="Arial" w:cs="Arial" w:eastAsia="Arial" w:hAnsi="Arial"/>
                  <w:sz w:val="22"/>
                  <w:szCs w:val="22"/>
                  <w:u w:val="single" w:color="auto"/>
                  <w:color w:val="CE0D41"/>
                </w:rPr>
                <w:t>1</w:t>
              </w:r>
            </w:hyperlink>
          </w:p>
        </w:tc>
        <w:tc>
          <w:tcPr>
            <w:tcW w:w="6020" w:type="dxa"/>
            <w:vAlign w:val="bottom"/>
            <w:gridSpan w:val="6"/>
          </w:tcPr>
          <w:p>
            <w:pPr>
              <w:ind w:left="680"/>
              <w:spacing w:after="0"/>
              <w:rPr>
                <w:rFonts w:ascii="Arial" w:cs="Arial" w:eastAsia="Arial" w:hAnsi="Arial"/>
                <w:sz w:val="22"/>
                <w:szCs w:val="22"/>
                <w:color w:val="auto"/>
                <w:w w:val="97"/>
              </w:rPr>
            </w:pPr>
            <w:hyperlink w:anchor="page122">
              <w:r>
                <w:rPr>
                  <w:rFonts w:ascii="Arial" w:cs="Arial" w:eastAsia="Arial" w:hAnsi="Arial"/>
                  <w:sz w:val="22"/>
                  <w:szCs w:val="22"/>
                  <w:color w:val="auto"/>
                  <w:w w:val="97"/>
                </w:rPr>
                <w:t>Amendment, Modification, Suspension, and Termination</w:t>
              </w:r>
            </w:hyperlink>
          </w:p>
        </w:tc>
        <w:tc>
          <w:tcPr>
            <w:tcW w:w="428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gridSpan w:val="3"/>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14.</w:t>
              </w:r>
              <w:r>
                <w:rPr>
                  <w:rFonts w:ascii="Arial" w:cs="Arial" w:eastAsia="Arial" w:hAnsi="Arial"/>
                  <w:sz w:val="22"/>
                  <w:szCs w:val="22"/>
                  <w:u w:val="single" w:color="auto"/>
                  <w:color w:val="CE0D41"/>
                </w:rPr>
                <w:t>2</w:t>
              </w:r>
            </w:hyperlink>
          </w:p>
        </w:tc>
        <w:tc>
          <w:tcPr>
            <w:tcW w:w="6020" w:type="dxa"/>
            <w:vAlign w:val="bottom"/>
            <w:gridSpan w:val="6"/>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Awards Previously Granted</w:t>
              </w:r>
            </w:hyperlink>
          </w:p>
        </w:tc>
        <w:tc>
          <w:tcPr>
            <w:tcW w:w="428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580" w:type="dxa"/>
            <w:vAlign w:val="bottom"/>
            <w:gridSpan w:val="4"/>
            <w:vMerge w:val="restart"/>
          </w:tcPr>
          <w:p>
            <w:pPr>
              <w:spacing w:after="0"/>
              <w:rPr>
                <w:rFonts w:ascii="Arial" w:cs="Arial" w:eastAsia="Arial" w:hAnsi="Arial"/>
                <w:sz w:val="43"/>
                <w:szCs w:val="43"/>
                <w:b w:val="1"/>
                <w:bCs w:val="1"/>
                <w:color w:val="auto"/>
              </w:rPr>
            </w:pPr>
            <w:hyperlink w:anchor="page122">
              <w:r>
                <w:rPr>
                  <w:rFonts w:ascii="Arial" w:cs="Arial" w:eastAsia="Arial" w:hAnsi="Arial"/>
                  <w:sz w:val="43"/>
                  <w:szCs w:val="43"/>
                  <w:b w:val="1"/>
                  <w:bCs w:val="1"/>
                  <w:color w:val="auto"/>
                </w:rPr>
                <w:t>ARTICLE XV</w:t>
              </w:r>
            </w:hyperlink>
          </w:p>
        </w:tc>
        <w:tc>
          <w:tcPr>
            <w:tcW w:w="660" w:type="dxa"/>
            <w:vAlign w:val="bottom"/>
            <w:gridSpan w:val="4"/>
            <w:vMerge w:val="restart"/>
          </w:tcPr>
          <w:p>
            <w:pPr>
              <w:spacing w:after="0"/>
              <w:rPr>
                <w:sz w:val="24"/>
                <w:szCs w:val="24"/>
                <w:color w:val="auto"/>
              </w:rPr>
            </w:pPr>
          </w:p>
        </w:tc>
        <w:tc>
          <w:tcPr>
            <w:tcW w:w="5860" w:type="dxa"/>
            <w:vAlign w:val="bottom"/>
            <w:gridSpan w:val="12"/>
          </w:tcPr>
          <w:p>
            <w:pPr>
              <w:spacing w:after="0"/>
              <w:rPr>
                <w:rFonts w:ascii="Arial" w:cs="Arial" w:eastAsia="Arial" w:hAnsi="Arial"/>
                <w:sz w:val="22"/>
                <w:szCs w:val="22"/>
                <w:b w:val="1"/>
                <w:bCs w:val="1"/>
                <w:color w:val="CE0E41"/>
              </w:rPr>
            </w:pPr>
            <w:hyperlink w:anchor="page122">
              <w:r>
                <w:rPr>
                  <w:rFonts w:ascii="Arial" w:cs="Arial" w:eastAsia="Arial" w:hAnsi="Arial"/>
                  <w:sz w:val="22"/>
                  <w:szCs w:val="22"/>
                  <w:b w:val="1"/>
                  <w:bCs w:val="1"/>
                  <w:color w:val="CE0E41"/>
                </w:rPr>
                <w:t>Miscellaneous</w:t>
              </w:r>
            </w:hyperlink>
          </w:p>
        </w:tc>
        <w:tc>
          <w:tcPr>
            <w:tcW w:w="2320" w:type="dxa"/>
            <w:vAlign w:val="bottom"/>
          </w:tcPr>
          <w:p>
            <w:pPr>
              <w:jc w:val="right"/>
              <w:spacing w:after="0"/>
              <w:rPr>
                <w:sz w:val="20"/>
                <w:szCs w:val="20"/>
                <w:color w:val="auto"/>
              </w:rPr>
            </w:pPr>
            <w:r>
              <w:rPr>
                <w:rFonts w:ascii="Arial" w:cs="Arial" w:eastAsia="Arial" w:hAnsi="Arial"/>
                <w:sz w:val="22"/>
                <w:szCs w:val="22"/>
                <w:b w:val="1"/>
                <w:bCs w:val="1"/>
                <w:color w:val="auto"/>
              </w:rPr>
              <w:t>A-25</w:t>
            </w:r>
          </w:p>
        </w:tc>
        <w:tc>
          <w:tcPr>
            <w:tcW w:w="0" w:type="dxa"/>
            <w:vAlign w:val="bottom"/>
          </w:tcPr>
          <w:p>
            <w:pPr>
              <w:spacing w:after="0"/>
              <w:rPr>
                <w:sz w:val="1"/>
                <w:szCs w:val="1"/>
                <w:color w:val="auto"/>
              </w:rPr>
            </w:pPr>
          </w:p>
        </w:tc>
      </w:tr>
      <w:tr>
        <w:trPr>
          <w:trHeight w:val="222"/>
        </w:trPr>
        <w:tc>
          <w:tcPr>
            <w:tcW w:w="2580" w:type="dxa"/>
            <w:vAlign w:val="bottom"/>
            <w:tcBorders>
              <w:bottom w:val="single" w:sz="8" w:color="auto"/>
            </w:tcBorders>
            <w:gridSpan w:val="4"/>
            <w:vMerge w:val="continue"/>
          </w:tcPr>
          <w:p>
            <w:pPr>
              <w:spacing w:after="0"/>
              <w:rPr>
                <w:sz w:val="18"/>
                <w:szCs w:val="18"/>
                <w:color w:val="auto"/>
              </w:rPr>
            </w:pPr>
          </w:p>
        </w:tc>
        <w:tc>
          <w:tcPr>
            <w:tcW w:w="660" w:type="dxa"/>
            <w:vAlign w:val="bottom"/>
            <w:gridSpan w:val="4"/>
            <w:vMerge w:val="continue"/>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120" w:type="dxa"/>
            <w:vAlign w:val="bottom"/>
            <w:tcBorders>
              <w:top w:val="single" w:sz="8" w:color="CE0E41"/>
            </w:tcBorders>
          </w:tcPr>
          <w:p>
            <w:pPr>
              <w:spacing w:after="0"/>
              <w:rPr>
                <w:sz w:val="18"/>
                <w:szCs w:val="18"/>
                <w:color w:val="auto"/>
              </w:rPr>
            </w:pPr>
          </w:p>
        </w:tc>
        <w:tc>
          <w:tcPr>
            <w:tcW w:w="120" w:type="dxa"/>
            <w:vAlign w:val="bottom"/>
            <w:tcBorders>
              <w:top w:val="single" w:sz="8" w:color="CE0E41"/>
            </w:tcBorders>
          </w:tcPr>
          <w:p>
            <w:pPr>
              <w:spacing w:after="0"/>
              <w:rPr>
                <w:sz w:val="18"/>
                <w:szCs w:val="18"/>
                <w:color w:val="auto"/>
              </w:rPr>
            </w:pPr>
          </w:p>
        </w:tc>
        <w:tc>
          <w:tcPr>
            <w:tcW w:w="280" w:type="dxa"/>
            <w:vAlign w:val="bottom"/>
            <w:tcBorders>
              <w:top w:val="single" w:sz="8" w:color="CE0E41"/>
            </w:tcBorders>
          </w:tcPr>
          <w:p>
            <w:pPr>
              <w:spacing w:after="0"/>
              <w:rPr>
                <w:sz w:val="18"/>
                <w:szCs w:val="18"/>
                <w:color w:val="auto"/>
              </w:rPr>
            </w:pPr>
          </w:p>
        </w:tc>
        <w:tc>
          <w:tcPr>
            <w:tcW w:w="600" w:type="dxa"/>
            <w:vAlign w:val="bottom"/>
            <w:tcBorders>
              <w:top w:val="single" w:sz="8" w:color="CE0E41"/>
            </w:tcBorders>
          </w:tcPr>
          <w:p>
            <w:pPr>
              <w:spacing w:after="0"/>
              <w:rPr>
                <w:sz w:val="18"/>
                <w:szCs w:val="18"/>
                <w:color w:val="auto"/>
              </w:rPr>
            </w:pPr>
          </w:p>
        </w:tc>
        <w:tc>
          <w:tcPr>
            <w:tcW w:w="120" w:type="dxa"/>
            <w:vAlign w:val="bottom"/>
            <w:tcBorders>
              <w:top w:val="single" w:sz="8" w:color="CE0E41"/>
            </w:tcBorders>
          </w:tcPr>
          <w:p>
            <w:pPr>
              <w:spacing w:after="0"/>
              <w:rPr>
                <w:sz w:val="18"/>
                <w:szCs w:val="18"/>
                <w:color w:val="auto"/>
              </w:rPr>
            </w:pPr>
          </w:p>
        </w:tc>
        <w:tc>
          <w:tcPr>
            <w:tcW w:w="220" w:type="dxa"/>
            <w:vAlign w:val="bottom"/>
            <w:tcBorders>
              <w:top w:val="single" w:sz="8" w:color="CE0E41"/>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2">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1</w:t>
              </w:r>
            </w:hyperlink>
          </w:p>
        </w:tc>
        <w:tc>
          <w:tcPr>
            <w:tcW w:w="7980" w:type="dxa"/>
            <w:vAlign w:val="bottom"/>
            <w:gridSpan w:val="18"/>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Unfunded Plan/No Establishment of a Trust Fund</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2</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No Employment Obligation</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3</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Transfers and Leaves of Absence</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4</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Tax Withholding</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5</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Gender and Number</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6</w:t>
              </w:r>
            </w:hyperlink>
          </w:p>
        </w:tc>
        <w:tc>
          <w:tcPr>
            <w:tcW w:w="2120" w:type="dxa"/>
            <w:vAlign w:val="bottom"/>
            <w:gridSpan w:val="6"/>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Severability</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7</w:t>
              </w:r>
            </w:hyperlink>
          </w:p>
        </w:tc>
        <w:tc>
          <w:tcPr>
            <w:tcW w:w="2120" w:type="dxa"/>
            <w:vAlign w:val="bottom"/>
            <w:gridSpan w:val="6"/>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Headings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8</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Other Compensation Plans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9</w:t>
              </w:r>
            </w:hyperlink>
          </w:p>
        </w:tc>
        <w:tc>
          <w:tcPr>
            <w:tcW w:w="2120" w:type="dxa"/>
            <w:vAlign w:val="bottom"/>
            <w:gridSpan w:val="6"/>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Other Awards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10</w:t>
              </w:r>
            </w:hyperlink>
          </w:p>
        </w:tc>
        <w:tc>
          <w:tcPr>
            <w:tcW w:w="2120" w:type="dxa"/>
            <w:vAlign w:val="bottom"/>
            <w:gridSpan w:val="6"/>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Successors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11</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Law Limitations/Governmental Approvals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12</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Fractional Shares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13</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Investment Representations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14</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Persons Residing Outside of Ireland or the United States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860" w:type="dxa"/>
            <w:vAlign w:val="bottom"/>
            <w:gridSpan w:val="9"/>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15</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Governing Law</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16</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Purchase Rights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A-6</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03" w:name="page104"/>
    <w:bookmarkEnd w:id="103"/>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PURPOSE AND DURATION</w:t>
      </w:r>
    </w:p>
    <w:p>
      <w:pPr>
        <w:spacing w:after="0" w:line="351" w:lineRule="exact"/>
        <w:rPr>
          <w:sz w:val="20"/>
          <w:szCs w:val="20"/>
          <w:color w:val="auto"/>
        </w:rPr>
      </w:pPr>
    </w:p>
    <w:p>
      <w:pPr>
        <w:ind w:left="660" w:right="140" w:hanging="647"/>
        <w:spacing w:after="0" w:line="254" w:lineRule="auto"/>
        <w:tabs>
          <w:tab w:leader="none" w:pos="640" w:val="left"/>
        </w:tabs>
        <w:rPr>
          <w:sz w:val="20"/>
          <w:szCs w:val="20"/>
          <w:color w:val="auto"/>
        </w:rPr>
      </w:pPr>
      <w:r>
        <w:rPr>
          <w:rFonts w:ascii="Arial" w:cs="Arial" w:eastAsia="Arial" w:hAnsi="Arial"/>
          <w:sz w:val="16"/>
          <w:szCs w:val="16"/>
          <w:color w:val="CE0D41"/>
        </w:rPr>
        <w:t>1.1</w:t>
      </w:r>
      <w:r>
        <w:rPr>
          <w:sz w:val="20"/>
          <w:szCs w:val="20"/>
          <w:color w:val="auto"/>
        </w:rPr>
        <w:tab/>
      </w:r>
      <w:r>
        <w:rPr>
          <w:rFonts w:ascii="Arial" w:cs="Arial" w:eastAsia="Arial" w:hAnsi="Arial"/>
          <w:sz w:val="16"/>
          <w:szCs w:val="16"/>
          <w:b w:val="1"/>
          <w:bCs w:val="1"/>
          <w:color w:val="auto"/>
        </w:rPr>
        <w:t xml:space="preserve">Purpose of the Plan. </w:t>
      </w:r>
      <w:r>
        <w:rPr>
          <w:rFonts w:ascii="Arial" w:cs="Arial" w:eastAsia="Arial" w:hAnsi="Arial"/>
          <w:sz w:val="16"/>
          <w:szCs w:val="16"/>
          <w:color w:val="auto"/>
        </w:rPr>
        <w:t>The Plan is intended to advance the best interests of the Company, its Affiliates and its shareholders by providing those</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was amended and restated on June 17, 2014 (the “</w:t>
      </w:r>
      <w:r>
        <w:rPr>
          <w:rFonts w:ascii="Arial" w:cs="Arial" w:eastAsia="Arial" w:hAnsi="Arial"/>
          <w:sz w:val="16"/>
          <w:szCs w:val="16"/>
          <w:b w:val="1"/>
          <w:bCs w:val="1"/>
          <w:i w:val="1"/>
          <w:iCs w:val="1"/>
          <w:color w:val="auto"/>
        </w:rPr>
        <w:t>Restatement Date</w:t>
      </w:r>
      <w:r>
        <w:rPr>
          <w:rFonts w:ascii="Arial" w:cs="Arial" w:eastAsia="Arial" w:hAnsi="Arial"/>
          <w:sz w:val="16"/>
          <w:szCs w:val="16"/>
          <w:color w:val="auto"/>
        </w:rPr>
        <w:t>”).</w:t>
      </w:r>
    </w:p>
    <w:p>
      <w:pPr>
        <w:spacing w:after="0" w:line="155" w:lineRule="exact"/>
        <w:rPr>
          <w:sz w:val="20"/>
          <w:szCs w:val="20"/>
          <w:color w:val="auto"/>
        </w:rPr>
      </w:pPr>
    </w:p>
    <w:p>
      <w:pPr>
        <w:jc w:val="both"/>
        <w:ind w:left="660" w:right="240" w:hanging="647"/>
        <w:spacing w:after="0" w:line="266" w:lineRule="auto"/>
        <w:tabs>
          <w:tab w:leader="none" w:pos="640" w:val="left"/>
        </w:tabs>
        <w:rPr>
          <w:sz w:val="20"/>
          <w:szCs w:val="20"/>
          <w:color w:val="auto"/>
        </w:rPr>
      </w:pPr>
      <w:r>
        <w:rPr>
          <w:rFonts w:ascii="Arial" w:cs="Arial" w:eastAsia="Arial" w:hAnsi="Arial"/>
          <w:sz w:val="16"/>
          <w:szCs w:val="16"/>
          <w:color w:val="CE0D41"/>
        </w:rPr>
        <w:t>1.2</w:t>
      </w:r>
      <w:r>
        <w:rPr>
          <w:sz w:val="20"/>
          <w:szCs w:val="20"/>
          <w:color w:val="auto"/>
        </w:rPr>
        <w:tab/>
      </w:r>
      <w:r>
        <w:rPr>
          <w:rFonts w:ascii="Arial" w:cs="Arial" w:eastAsia="Arial" w:hAnsi="Arial"/>
          <w:sz w:val="16"/>
          <w:szCs w:val="16"/>
          <w:b w:val="1"/>
          <w:bCs w:val="1"/>
          <w:color w:val="auto"/>
        </w:rPr>
        <w:t xml:space="preserve">Duration of Plan. </w:t>
      </w:r>
      <w:r>
        <w:rPr>
          <w:rFonts w:ascii="Arial" w:cs="Arial" w:eastAsia="Arial" w:hAnsi="Arial"/>
          <w:sz w:val="16"/>
          <w:szCs w:val="16"/>
          <w:color w:val="auto"/>
        </w:rPr>
        <w:t>The Plan shall continue indefinitely until it is terminated pursuant to Section 14.1. No ISOs may be granted under the Plan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tenth anniversary of the Effective Date. The applicable provisions of the Plan will continue in effect with respect to an Award granted under the Plan for as long as such Award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DEFINITIONS</w:t>
      </w:r>
    </w:p>
    <w:p>
      <w:pPr>
        <w:spacing w:after="0" w:line="371"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Act</w:t>
      </w:r>
      <w:r>
        <w:rPr>
          <w:rFonts w:ascii="Arial" w:cs="Arial" w:eastAsia="Arial" w:hAnsi="Arial"/>
          <w:sz w:val="16"/>
          <w:szCs w:val="16"/>
          <w:color w:val="auto"/>
        </w:rPr>
        <w:t>” means the Companies Act 1963 of Ireland.</w:t>
      </w:r>
    </w:p>
    <w:p>
      <w:pPr>
        <w:spacing w:after="0" w:line="194" w:lineRule="exact"/>
        <w:rPr>
          <w:sz w:val="20"/>
          <w:szCs w:val="20"/>
          <w:color w:val="auto"/>
        </w:rPr>
      </w:pPr>
    </w:p>
    <w:p>
      <w:pPr>
        <w:ind w:left="660" w:right="240" w:hanging="647"/>
        <w:spacing w:after="0" w:line="256" w:lineRule="auto"/>
        <w:tabs>
          <w:tab w:leader="none" w:pos="640" w:val="left"/>
        </w:tabs>
        <w:rPr>
          <w:sz w:val="20"/>
          <w:szCs w:val="20"/>
          <w:color w:val="auto"/>
        </w:rPr>
      </w:pPr>
      <w:r>
        <w:rPr>
          <w:rFonts w:ascii="Arial" w:cs="Arial" w:eastAsia="Arial" w:hAnsi="Arial"/>
          <w:sz w:val="16"/>
          <w:szCs w:val="16"/>
          <w:color w:val="CE0D41"/>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Entity that, directly or indirectly, controls, is controlled by, or is under common control with, the Company. For purposes of the preceding sentence,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i w:val="1"/>
          <w:iCs w:val="1"/>
          <w:color w:val="auto"/>
        </w:rPr>
        <w:t>controlled by</w:t>
      </w:r>
      <w:r>
        <w:rPr>
          <w:rFonts w:ascii="Arial" w:cs="Arial" w:eastAsia="Arial" w:hAnsi="Arial"/>
          <w:sz w:val="16"/>
          <w:szCs w:val="16"/>
          <w:color w:val="auto"/>
        </w:rPr>
        <w:t xml:space="preserve"> ” and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153"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6"/>
          <w:szCs w:val="16"/>
          <w:color w:val="CE0D41"/>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individually or collectively, a grant under the Plan of Options, SARs, Restricted Shares, RSUs, Performance Share Awards, Performance Unit Awards, Other Share-Based Awards and Cash-Based Awards, in each case subject to the terms and provisions of the Plan and any applicable Award Agreement, the consideration for which may be services rendered to the Company and/ or its Affiliates.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the written or electronic agreement that sets forth the terms and conditions applicable to an Award granted under the Plan.</w:t>
      </w:r>
    </w:p>
    <w:p>
      <w:pPr>
        <w:spacing w:after="0" w:line="151" w:lineRule="exact"/>
        <w:rPr>
          <w:sz w:val="20"/>
          <w:szCs w:val="20"/>
          <w:color w:val="auto"/>
        </w:rPr>
      </w:pPr>
    </w:p>
    <w:p>
      <w:pPr>
        <w:ind w:left="660" w:right="360" w:hanging="647"/>
        <w:spacing w:after="0" w:line="286" w:lineRule="auto"/>
        <w:tabs>
          <w:tab w:leader="none" w:pos="640" w:val="left"/>
        </w:tabs>
        <w:rPr>
          <w:sz w:val="20"/>
          <w:szCs w:val="20"/>
          <w:color w:val="auto"/>
        </w:rPr>
      </w:pPr>
      <w:r>
        <w:rPr>
          <w:rFonts w:ascii="Arial" w:cs="Arial" w:eastAsia="Arial" w:hAnsi="Arial"/>
          <w:sz w:val="16"/>
          <w:szCs w:val="16"/>
          <w:color w:val="CE0D41"/>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the written or electronic agreement that sets forth the terms and conditions applicable to an Award granted under the Plan.</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set forth in Rule 13d-3 under the Exchange Act.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Cash-Based Award</w:t>
      </w:r>
      <w:r>
        <w:rPr>
          <w:rFonts w:ascii="Arial" w:cs="Arial" w:eastAsia="Arial" w:hAnsi="Arial"/>
          <w:sz w:val="16"/>
          <w:szCs w:val="16"/>
          <w:color w:val="auto"/>
        </w:rPr>
        <w:t>” means an Award granted pursuant to Article XI.</w:t>
      </w:r>
    </w:p>
    <w:p>
      <w:pPr>
        <w:spacing w:after="0" w:line="194" w:lineRule="exact"/>
        <w:rPr>
          <w:sz w:val="20"/>
          <w:szCs w:val="20"/>
          <w:color w:val="auto"/>
        </w:rPr>
      </w:pPr>
    </w:p>
    <w:p>
      <w:pPr>
        <w:ind w:left="660" w:right="400" w:hanging="647"/>
        <w:spacing w:after="0" w:line="286" w:lineRule="auto"/>
        <w:tabs>
          <w:tab w:leader="none" w:pos="640" w:val="left"/>
        </w:tabs>
        <w:rPr>
          <w:sz w:val="20"/>
          <w:szCs w:val="20"/>
          <w:color w:val="auto"/>
        </w:rPr>
      </w:pPr>
      <w:r>
        <w:rPr>
          <w:rFonts w:ascii="Arial" w:cs="Arial" w:eastAsia="Arial" w:hAnsi="Arial"/>
          <w:sz w:val="16"/>
          <w:szCs w:val="16"/>
          <w:color w:val="CE0D41"/>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unless otherwise set forth in an Award Agreement, the occurrence of any event set forth in any one of the following paragraphs:</w:t>
      </w:r>
    </w:p>
    <w:p>
      <w:pPr>
        <w:spacing w:after="0" w:line="162" w:lineRule="exact"/>
        <w:rPr>
          <w:sz w:val="20"/>
          <w:szCs w:val="20"/>
          <w:color w:val="auto"/>
        </w:rPr>
      </w:pPr>
    </w:p>
    <w:p>
      <w:pPr>
        <w:ind w:left="980" w:right="100" w:hanging="324"/>
        <w:spacing w:after="0" w:line="251" w:lineRule="auto"/>
        <w:tabs>
          <w:tab w:leader="none" w:pos="980" w:val="left"/>
        </w:tabs>
        <w:numPr>
          <w:ilvl w:val="0"/>
          <w:numId w:val="118"/>
        </w:numPr>
        <w:rPr>
          <w:rFonts w:ascii="Arial" w:cs="Arial" w:eastAsia="Arial" w:hAnsi="Arial"/>
          <w:sz w:val="16"/>
          <w:szCs w:val="16"/>
          <w:color w:val="CE0D41"/>
        </w:rPr>
      </w:pPr>
      <w:r>
        <w:rPr>
          <w:rFonts w:ascii="Arial" w:cs="Arial" w:eastAsia="Arial" w:hAnsi="Arial"/>
          <w:sz w:val="16"/>
          <w:szCs w:val="16"/>
          <w:color w:val="auto"/>
        </w:rPr>
        <w:t>any Person is or becomes the Beneficial Owner, directly or indirectly, of twenty percent (20%) or more of either (i) the then outstanding Ordinary Shares of the Company (the “</w:t>
      </w:r>
      <w:r>
        <w:rPr>
          <w:rFonts w:ascii="Arial" w:cs="Arial" w:eastAsia="Arial" w:hAnsi="Arial"/>
          <w:sz w:val="16"/>
          <w:szCs w:val="16"/>
          <w:b w:val="1"/>
          <w:bCs w:val="1"/>
          <w:i w:val="1"/>
          <w:iCs w:val="1"/>
          <w:color w:val="auto"/>
        </w:rPr>
        <w:t>Outstanding Company Ordinary Shares</w:t>
      </w:r>
      <w:r>
        <w:rPr>
          <w:rFonts w:ascii="Arial" w:cs="Arial" w:eastAsia="Arial" w:hAnsi="Arial"/>
          <w:sz w:val="16"/>
          <w:szCs w:val="16"/>
          <w:color w:val="auto"/>
        </w:rPr>
        <w:t>”) or (ii) the combined voting power of the then outstanding voting securities of the Company entitled to vote generally in the election of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excluding any Person who becomes such a Beneficial Owner in connection with a transaction that complies with clauses (i), (ii) and (iii) of paragraph (c) below;</w:t>
      </w:r>
    </w:p>
    <w:p>
      <w:pPr>
        <w:spacing w:after="0" w:line="155" w:lineRule="exact"/>
        <w:rPr>
          <w:rFonts w:ascii="Arial" w:cs="Arial" w:eastAsia="Arial" w:hAnsi="Arial"/>
          <w:sz w:val="16"/>
          <w:szCs w:val="16"/>
          <w:color w:val="CE0D41"/>
        </w:rPr>
      </w:pPr>
    </w:p>
    <w:p>
      <w:pPr>
        <w:ind w:left="980" w:hanging="324"/>
        <w:spacing w:after="0"/>
        <w:tabs>
          <w:tab w:leader="none" w:pos="980" w:val="left"/>
        </w:tabs>
        <w:numPr>
          <w:ilvl w:val="0"/>
          <w:numId w:val="118"/>
        </w:numPr>
        <w:rPr>
          <w:rFonts w:ascii="Arial" w:cs="Arial" w:eastAsia="Arial" w:hAnsi="Arial"/>
          <w:sz w:val="16"/>
          <w:szCs w:val="16"/>
          <w:color w:val="CE0D41"/>
        </w:rPr>
      </w:pPr>
      <w:r>
        <w:rPr>
          <w:rFonts w:ascii="Arial" w:cs="Arial" w:eastAsia="Arial" w:hAnsi="Arial"/>
          <w:sz w:val="16"/>
          <w:szCs w:val="16"/>
          <w:color w:val="auto"/>
        </w:rPr>
        <w:t>individuals, who, as of the Effective Date,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104" w:name="page105"/>
    <w:bookmarkEnd w:id="10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II</w:t>
      </w:r>
    </w:p>
    <w:p>
      <w:pPr>
        <w:spacing w:after="0" w:line="231" w:lineRule="exact"/>
        <w:rPr>
          <w:sz w:val="20"/>
          <w:szCs w:val="20"/>
          <w:color w:val="auto"/>
        </w:rPr>
      </w:pPr>
    </w:p>
    <w:p>
      <w:pPr>
        <w:ind w:left="980" w:right="60"/>
        <w:spacing w:after="0" w:line="250" w:lineRule="auto"/>
        <w:rPr>
          <w:sz w:val="20"/>
          <w:szCs w:val="20"/>
          <w:color w:val="auto"/>
        </w:rPr>
      </w:pPr>
      <w:r>
        <w:rPr>
          <w:rFonts w:ascii="Arial" w:cs="Arial" w:eastAsia="Arial" w:hAnsi="Arial"/>
          <w:sz w:val="16"/>
          <w:szCs w:val="16"/>
          <w:color w:val="auto"/>
        </w:rPr>
        <w:t>constitute at least two-thirds (2/3) of the Board; provided, however,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76" w:lineRule="exact"/>
        <w:rPr>
          <w:sz w:val="20"/>
          <w:szCs w:val="20"/>
          <w:color w:val="auto"/>
        </w:rPr>
      </w:pPr>
    </w:p>
    <w:p>
      <w:pPr>
        <w:ind w:left="980" w:right="20" w:hanging="324"/>
        <w:spacing w:after="0" w:line="247" w:lineRule="auto"/>
        <w:tabs>
          <w:tab w:leader="none" w:pos="980" w:val="left"/>
        </w:tabs>
        <w:numPr>
          <w:ilvl w:val="0"/>
          <w:numId w:val="119"/>
        </w:numPr>
        <w:rPr>
          <w:rFonts w:ascii="Arial" w:cs="Arial" w:eastAsia="Arial" w:hAnsi="Arial"/>
          <w:sz w:val="16"/>
          <w:szCs w:val="16"/>
          <w:color w:val="CE0D41"/>
        </w:rPr>
      </w:pPr>
      <w:r>
        <w:rPr>
          <w:rFonts w:ascii="Arial" w:cs="Arial" w:eastAsia="Arial" w:hAnsi="Arial"/>
          <w:sz w:val="16"/>
          <w:szCs w:val="16"/>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two-thirds (2/3) of the members of the board of directors (or other governing body) of the Entity resulting from such Corporate Transaction were members of the Incumbent Board at the time of the approval of such Corporate Transaction; or</w:t>
      </w:r>
    </w:p>
    <w:p>
      <w:pPr>
        <w:spacing w:after="0" w:line="184" w:lineRule="exact"/>
        <w:rPr>
          <w:rFonts w:ascii="Arial" w:cs="Arial" w:eastAsia="Arial" w:hAnsi="Arial"/>
          <w:sz w:val="16"/>
          <w:szCs w:val="16"/>
          <w:color w:val="CE0D41"/>
        </w:rPr>
      </w:pPr>
    </w:p>
    <w:p>
      <w:pPr>
        <w:ind w:left="980" w:right="340" w:hanging="324"/>
        <w:spacing w:after="0" w:line="253" w:lineRule="auto"/>
        <w:tabs>
          <w:tab w:leader="none" w:pos="980" w:val="left"/>
        </w:tabs>
        <w:numPr>
          <w:ilvl w:val="0"/>
          <w:numId w:val="119"/>
        </w:numPr>
        <w:rPr>
          <w:rFonts w:ascii="Arial" w:cs="Arial" w:eastAsia="Arial" w:hAnsi="Arial"/>
          <w:sz w:val="16"/>
          <w:szCs w:val="16"/>
          <w:color w:val="CE0D41"/>
        </w:rPr>
      </w:pPr>
      <w:r>
        <w:rPr>
          <w:rFonts w:ascii="Arial" w:cs="Arial" w:eastAsia="Arial" w:hAnsi="Arial"/>
          <w:sz w:val="16"/>
          <w:szCs w:val="16"/>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 or</w:t>
      </w:r>
    </w:p>
    <w:p>
      <w:pPr>
        <w:spacing w:after="0" w:line="174" w:lineRule="exact"/>
        <w:rPr>
          <w:rFonts w:ascii="Arial" w:cs="Arial" w:eastAsia="Arial" w:hAnsi="Arial"/>
          <w:sz w:val="16"/>
          <w:szCs w:val="16"/>
          <w:color w:val="CE0D41"/>
        </w:rPr>
      </w:pPr>
    </w:p>
    <w:p>
      <w:pPr>
        <w:ind w:left="980" w:hanging="324"/>
        <w:spacing w:after="0"/>
        <w:tabs>
          <w:tab w:leader="none" w:pos="980" w:val="left"/>
        </w:tabs>
        <w:numPr>
          <w:ilvl w:val="0"/>
          <w:numId w:val="119"/>
        </w:numPr>
        <w:rPr>
          <w:rFonts w:ascii="Arial" w:cs="Arial" w:eastAsia="Arial" w:hAnsi="Arial"/>
          <w:sz w:val="16"/>
          <w:szCs w:val="16"/>
          <w:color w:val="CE0D41"/>
        </w:rPr>
      </w:pPr>
      <w:r>
        <w:rPr>
          <w:rFonts w:ascii="Arial" w:cs="Arial" w:eastAsia="Arial" w:hAnsi="Arial"/>
          <w:sz w:val="16"/>
          <w:szCs w:val="16"/>
          <w:color w:val="auto"/>
        </w:rPr>
        <w:t>any other transaction which the Committee determines to be a Change of Control.</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from time to time.</w:t>
      </w:r>
    </w:p>
    <w:p>
      <w:pPr>
        <w:spacing w:after="0" w:line="194" w:lineRule="exact"/>
        <w:rPr>
          <w:sz w:val="20"/>
          <w:szCs w:val="20"/>
          <w:color w:val="auto"/>
        </w:rPr>
      </w:pPr>
    </w:p>
    <w:p>
      <w:pPr>
        <w:ind w:left="660" w:hanging="647"/>
        <w:spacing w:after="0" w:line="251" w:lineRule="auto"/>
        <w:tabs>
          <w:tab w:leader="none" w:pos="640" w:val="left"/>
        </w:tabs>
        <w:rPr>
          <w:sz w:val="20"/>
          <w:szCs w:val="20"/>
          <w:color w:val="auto"/>
        </w:rPr>
      </w:pPr>
      <w:r>
        <w:rPr>
          <w:rFonts w:ascii="Arial" w:cs="Arial" w:eastAsia="Arial" w:hAnsi="Arial"/>
          <w:sz w:val="16"/>
          <w:szCs w:val="16"/>
          <w:color w:val="CE0D41"/>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xml:space="preserve">” means the full Board or a committee of at least two persons who are members of the Board and are appointed by the Board or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6"/>
          <w:szCs w:val="16"/>
          <w:i w:val="1"/>
          <w:iCs w:val="1"/>
          <w:color w:val="auto"/>
        </w:rPr>
        <w:t>“</w:t>
      </w:r>
      <w:r>
        <w:rPr>
          <w:rFonts w:ascii="Arial" w:cs="Arial" w:eastAsia="Arial" w:hAnsi="Arial"/>
          <w:sz w:val="16"/>
          <w:szCs w:val="16"/>
          <w:color w:val="auto"/>
        </w:rPr>
        <w:t>Committee “ with respect to Awards granted by him pursuant to and to the extent authorized under Section 4.1.</w:t>
      </w:r>
    </w:p>
    <w:p>
      <w:pPr>
        <w:spacing w:after="0" w:line="159"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6"/>
          <w:szCs w:val="16"/>
          <w:color w:val="CE0D41"/>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Weatherford International plc, an Irish public limited company, or any successor thereto, or any successor or continuing Entity (by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Company’s Assets</w:t>
      </w:r>
      <w:r>
        <w:rPr>
          <w:rFonts w:ascii="Arial" w:cs="Arial" w:eastAsia="Arial" w:hAnsi="Arial"/>
          <w:sz w:val="16"/>
          <w:szCs w:val="16"/>
          <w:color w:val="auto"/>
        </w:rPr>
        <w:t>” means the assets (of any kind) owned by the Company, including, without limitation,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A-8</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105" w:name="page106"/>
    <w:bookmarkEnd w:id="105"/>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II</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Company’s Subsidiaries and any of the assets owned by the Company’s Subsidiaries.</w:t>
      </w:r>
    </w:p>
    <w:p>
      <w:pPr>
        <w:spacing w:after="0" w:line="174" w:lineRule="exact"/>
        <w:rPr>
          <w:sz w:val="20"/>
          <w:szCs w:val="20"/>
          <w:color w:val="auto"/>
        </w:rPr>
      </w:pPr>
    </w:p>
    <w:p>
      <w:pPr>
        <w:jc w:val="both"/>
        <w:ind w:left="660" w:right="480" w:hanging="647"/>
        <w:spacing w:after="0" w:line="266" w:lineRule="auto"/>
        <w:tabs>
          <w:tab w:leader="none" w:pos="640" w:val="left"/>
        </w:tabs>
        <w:rPr>
          <w:sz w:val="20"/>
          <w:szCs w:val="20"/>
          <w:color w:val="auto"/>
        </w:rPr>
      </w:pPr>
      <w:r>
        <w:rPr>
          <w:rFonts w:ascii="Arial" w:cs="Arial" w:eastAsia="Arial" w:hAnsi="Arial"/>
          <w:sz w:val="16"/>
          <w:szCs w:val="16"/>
          <w:color w:val="CE0D41"/>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consultant or advisor if (a) the consultant or advisor renders bona fide service to the Company or any Affiliate, (b)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means an Employee who is, or could be, a “covered employee” within the meaning of Section 162(m) of the Code.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director of the Company who is not an Employee.</w:t>
      </w:r>
    </w:p>
    <w:p>
      <w:pPr>
        <w:spacing w:after="0" w:line="194" w:lineRule="exact"/>
        <w:rPr>
          <w:sz w:val="20"/>
          <w:szCs w:val="20"/>
          <w:color w:val="auto"/>
        </w:rPr>
      </w:pPr>
    </w:p>
    <w:p>
      <w:pPr>
        <w:ind w:left="660" w:right="40" w:hanging="647"/>
        <w:spacing w:after="0" w:line="253" w:lineRule="auto"/>
        <w:tabs>
          <w:tab w:leader="none" w:pos="640" w:val="left"/>
        </w:tabs>
        <w:rPr>
          <w:sz w:val="20"/>
          <w:szCs w:val="20"/>
          <w:color w:val="auto"/>
        </w:rPr>
      </w:pPr>
      <w:r>
        <w:rPr>
          <w:rFonts w:ascii="Arial" w:cs="Arial" w:eastAsia="Arial" w:hAnsi="Arial"/>
          <w:sz w:val="16"/>
          <w:szCs w:val="16"/>
          <w:color w:val="CE0D41"/>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as it relates to the exercise of an ISO after termination of Employment, a disability within the meaning of Section 22(e)(3) of the Code, and (b) 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55"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6"/>
          <w:szCs w:val="16"/>
          <w:color w:val="CE0D41"/>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w:t>
      </w:r>
      <w:r>
        <w:rPr>
          <w:rFonts w:ascii="Arial" w:cs="Arial" w:eastAsia="Arial" w:hAnsi="Arial"/>
          <w:sz w:val="16"/>
          <w:szCs w:val="16"/>
          <w:color w:val="auto"/>
        </w:rPr>
        <w:t>” means a payment equivalent in amount to dividends paid to the Company’s shareholders in such form and on such terms as the Committee may determine.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 person employed by the Company or any Affiliate.</w:t>
      </w:r>
    </w:p>
    <w:p>
      <w:pPr>
        <w:spacing w:after="0" w:line="194" w:lineRule="exact"/>
        <w:rPr>
          <w:sz w:val="20"/>
          <w:szCs w:val="20"/>
          <w:color w:val="auto"/>
        </w:rPr>
      </w:pPr>
    </w:p>
    <w:p>
      <w:pPr>
        <w:ind w:left="660" w:right="360" w:hanging="647"/>
        <w:spacing w:after="0" w:line="266" w:lineRule="auto"/>
        <w:tabs>
          <w:tab w:leader="none" w:pos="640" w:val="left"/>
        </w:tabs>
        <w:rPr>
          <w:sz w:val="20"/>
          <w:szCs w:val="20"/>
          <w:color w:val="auto"/>
        </w:rPr>
      </w:pPr>
      <w:r>
        <w:rPr>
          <w:rFonts w:ascii="Arial" w:cs="Arial" w:eastAsia="Arial" w:hAnsi="Arial"/>
          <w:sz w:val="16"/>
          <w:szCs w:val="16"/>
          <w:color w:val="CE0D41"/>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Employment</w:t>
      </w:r>
      <w:r>
        <w:rPr>
          <w:rFonts w:ascii="Arial" w:cs="Arial" w:eastAsia="Arial" w:hAnsi="Arial"/>
          <w:sz w:val="16"/>
          <w:szCs w:val="16"/>
          <w:color w:val="auto"/>
        </w:rPr>
        <w:t>” shall be deemed to refer to (a) a Holder’s employment if the Holder is an employee of the Company or any of its Affiliates, (b) a Holder’s services as a Consultant, if the Holder is consultant to the Company or any of its Affiliates and (c) a Holder’s services as a Director, if the Holder is a Director.</w:t>
      </w:r>
    </w:p>
    <w:p>
      <w:pPr>
        <w:spacing w:after="0" w:line="145" w:lineRule="exact"/>
        <w:rPr>
          <w:sz w:val="20"/>
          <w:szCs w:val="20"/>
          <w:color w:val="auto"/>
        </w:rPr>
      </w:pPr>
    </w:p>
    <w:p>
      <w:pPr>
        <w:ind w:left="660" w:right="180" w:hanging="647"/>
        <w:spacing w:after="0" w:line="286" w:lineRule="auto"/>
        <w:tabs>
          <w:tab w:leader="none" w:pos="640" w:val="left"/>
        </w:tabs>
        <w:rPr>
          <w:sz w:val="20"/>
          <w:szCs w:val="20"/>
          <w:color w:val="auto"/>
        </w:rPr>
      </w:pPr>
      <w:r>
        <w:rPr>
          <w:rFonts w:ascii="Arial" w:cs="Arial" w:eastAsia="Arial" w:hAnsi="Arial"/>
          <w:sz w:val="16"/>
          <w:szCs w:val="16"/>
          <w:color w:val="CE0D41"/>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any company, corporation, partnership, association, joint-stock company, limited liability company, trust, unincorporated organization or any other entity or organization.</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 from time to time.</w:t>
      </w:r>
    </w:p>
    <w:p>
      <w:pPr>
        <w:spacing w:after="0" w:line="194" w:lineRule="exact"/>
        <w:rPr>
          <w:sz w:val="20"/>
          <w:szCs w:val="20"/>
          <w:color w:val="auto"/>
        </w:rPr>
      </w:pPr>
    </w:p>
    <w:p>
      <w:pPr>
        <w:ind w:left="660" w:hanging="647"/>
        <w:spacing w:after="0" w:line="254" w:lineRule="auto"/>
        <w:tabs>
          <w:tab w:leader="none" w:pos="640" w:val="left"/>
        </w:tabs>
        <w:rPr>
          <w:sz w:val="20"/>
          <w:szCs w:val="20"/>
          <w:color w:val="auto"/>
        </w:rPr>
      </w:pPr>
      <w:r>
        <w:rPr>
          <w:rFonts w:ascii="Arial" w:cs="Arial" w:eastAsia="Arial" w:hAnsi="Arial"/>
          <w:sz w:val="16"/>
          <w:szCs w:val="16"/>
          <w:color w:val="CE0D41"/>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the Shares as of any particular date means (a) if the Shares are traded on a stock exchange, the closing sale price of the Shares on that 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Fiscal Year</w:t>
      </w:r>
      <w:r>
        <w:rPr>
          <w:rFonts w:ascii="Arial" w:cs="Arial" w:eastAsia="Arial" w:hAnsi="Arial"/>
          <w:sz w:val="16"/>
          <w:szCs w:val="16"/>
          <w:color w:val="auto"/>
        </w:rPr>
        <w:t>” means the Company’s fiscal year.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means a person who has been granted an Award or any person who is entitled to receive Shares or cash under an Award.</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ISO</w:t>
      </w:r>
      <w:r>
        <w:rPr>
          <w:rFonts w:ascii="Arial" w:cs="Arial" w:eastAsia="Arial" w:hAnsi="Arial"/>
          <w:sz w:val="16"/>
          <w:szCs w:val="16"/>
          <w:color w:val="auto"/>
        </w:rPr>
        <w:t>” means an Option that is intended to be an “incentive stock option” that satisfies the requirements of section 422 of the Code.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NSO</w:t>
      </w:r>
      <w:r>
        <w:rPr>
          <w:rFonts w:ascii="Arial" w:cs="Arial" w:eastAsia="Arial" w:hAnsi="Arial"/>
          <w:sz w:val="16"/>
          <w:szCs w:val="16"/>
          <w:color w:val="auto"/>
        </w:rPr>
        <w:t>” means an Option that is intended to be a “nonqualified stock option” that does not satisfy the requirements of section 422 of the Code.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 granted pursuant to Article V.</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shall have the meaning ascribed to that term in Section 5.4.</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Ordinary Share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means an ordinary share or ordinary shares of the Company, nominal value $0.001 per ordinary share.</w:t>
      </w:r>
    </w:p>
    <w:p>
      <w:pPr>
        <w:spacing w:after="0" w:line="194"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Other Share-Based Award</w:t>
      </w:r>
      <w:r>
        <w:rPr>
          <w:rFonts w:ascii="Arial" w:cs="Arial" w:eastAsia="Arial" w:hAnsi="Arial"/>
          <w:sz w:val="16"/>
          <w:szCs w:val="16"/>
          <w:color w:val="auto"/>
        </w:rPr>
        <w:t>” means an equity-based or equity-related Award not otherwise described by the terms and provisions of the Plan that is granted pursuant to Article X.</w:t>
      </w:r>
    </w:p>
    <w:p>
      <w:pPr>
        <w:spacing w:after="0" w:line="129" w:lineRule="exact"/>
        <w:rPr>
          <w:sz w:val="20"/>
          <w:szCs w:val="20"/>
          <w:color w:val="auto"/>
        </w:rPr>
      </w:pPr>
    </w:p>
    <w:p>
      <w:pPr>
        <w:ind w:left="660" w:right="80" w:hanging="647"/>
        <w:spacing w:after="0" w:line="266" w:lineRule="auto"/>
        <w:tabs>
          <w:tab w:leader="none" w:pos="640" w:val="left"/>
        </w:tabs>
        <w:rPr>
          <w:sz w:val="20"/>
          <w:szCs w:val="20"/>
          <w:color w:val="auto"/>
        </w:rPr>
      </w:pPr>
      <w:r>
        <w:rPr>
          <w:rFonts w:ascii="Arial" w:cs="Arial" w:eastAsia="Arial" w:hAnsi="Arial"/>
          <w:sz w:val="16"/>
          <w:szCs w:val="16"/>
          <w:color w:val="CE0D41"/>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color w:val="auto"/>
        </w:rPr>
        <w:t>” means any corporation (other than the Company) in an unbroken chain of corporations ending with the Company if, at the time of the action or transaction, each of the corporations other than the Company owns Ordinary Shares possessing fifty percent (50%) or more of the total combined voting power of the Ordinary Shares in one of the other corporations in the chain.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the performance goal or goals described in Section 9.2 applicable to an Award.</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Share Award</w:t>
      </w:r>
      <w:r>
        <w:rPr>
          <w:rFonts w:ascii="Arial" w:cs="Arial" w:eastAsia="Arial" w:hAnsi="Arial"/>
          <w:sz w:val="16"/>
          <w:szCs w:val="16"/>
          <w:color w:val="auto"/>
        </w:rPr>
        <w:t>” means an Award designated as a performance share award granted to a Holder pursuant to 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ind w:left="7040"/>
        <w:spacing w:after="0"/>
        <w:tabs>
          <w:tab w:leader="none" w:pos="111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06" w:name="page107"/>
    <w:bookmarkEnd w:id="10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II</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Unit Award</w:t>
      </w:r>
      <w:r>
        <w:rPr>
          <w:rFonts w:ascii="Arial" w:cs="Arial" w:eastAsia="Arial" w:hAnsi="Arial"/>
          <w:sz w:val="16"/>
          <w:szCs w:val="16"/>
          <w:color w:val="auto"/>
        </w:rPr>
        <w:t>” means an Award designated as a performance unit award granted to a Holder pursuant to Article IX.</w:t>
      </w:r>
    </w:p>
    <w:p>
      <w:pPr>
        <w:spacing w:after="0" w:line="194"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Arial" w:cs="Arial" w:eastAsia="Arial" w:hAnsi="Arial"/>
          <w:sz w:val="16"/>
          <w:szCs w:val="16"/>
          <w:color w:val="CE0D41"/>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Period of Restriction</w:t>
      </w:r>
      <w:r>
        <w:rPr>
          <w:rFonts w:ascii="Arial" w:cs="Arial" w:eastAsia="Arial" w:hAnsi="Arial"/>
          <w:sz w:val="16"/>
          <w:szCs w:val="16"/>
          <w:color w:val="auto"/>
        </w:rPr>
        <w:t>” means the period during which Restricted Shares are subject to a substantial risk of forfeiture (or absolute right of the Company to repurchase or redeem them), whether based on the passage of time, the achievement of performance goals, or upon the occurrence of other events as determined by the Committee, in its discretion.</w:t>
      </w:r>
    </w:p>
    <w:p>
      <w:pPr>
        <w:spacing w:after="0" w:line="145"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6"/>
          <w:szCs w:val="16"/>
          <w:color w:val="CE0D41"/>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the Weatherford International plc 2010 Omnibus Incentive Plan, as amended from time to time.</w:t>
      </w:r>
    </w:p>
    <w:p>
      <w:pPr>
        <w:spacing w:after="0" w:line="194"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Arial" w:cs="Arial" w:eastAsia="Arial" w:hAnsi="Arial"/>
          <w:sz w:val="16"/>
          <w:szCs w:val="16"/>
          <w:color w:val="CE0D41"/>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Qualified Performance-Based Compensation</w:t>
      </w:r>
      <w:r>
        <w:rPr>
          <w:rFonts w:ascii="Arial" w:cs="Arial" w:eastAsia="Arial" w:hAnsi="Arial"/>
          <w:sz w:val="16"/>
          <w:szCs w:val="16"/>
          <w:color w:val="auto"/>
        </w:rPr>
        <w:t>” means any compensation that is intended to be “qualified performance-based compensation” as described in Section 162(m) of the Code.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means restricted Shares issued or granted under the Plan pursuant to Article VII.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Share Award</w:t>
      </w:r>
      <w:r>
        <w:rPr>
          <w:rFonts w:ascii="Arial" w:cs="Arial" w:eastAsia="Arial" w:hAnsi="Arial"/>
          <w:sz w:val="16"/>
          <w:szCs w:val="16"/>
          <w:color w:val="auto"/>
        </w:rPr>
        <w:t>” means an authorization by the Committee to issue or transfer Restricted Shares to a Holder.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RSU</w:t>
      </w:r>
      <w:r>
        <w:rPr>
          <w:rFonts w:ascii="Arial" w:cs="Arial" w:eastAsia="Arial" w:hAnsi="Arial"/>
          <w:sz w:val="16"/>
          <w:szCs w:val="16"/>
          <w:color w:val="auto"/>
        </w:rPr>
        <w:t>” means a restricted share unit credited to a Holder’s ledger account maintained by the Company pursuant to Article VIII.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means an Award granted pursuant to Article VIII.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share appreciation right granted under the Plan pursuant to Article VI.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Department of Treasury rules and regulations issued thereunder.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 from time to time.</w:t>
      </w:r>
    </w:p>
    <w:p>
      <w:pPr>
        <w:spacing w:after="0" w:line="194" w:lineRule="exact"/>
        <w:rPr>
          <w:sz w:val="20"/>
          <w:szCs w:val="20"/>
          <w:color w:val="auto"/>
        </w:rPr>
      </w:pPr>
    </w:p>
    <w:p>
      <w:pPr>
        <w:jc w:val="both"/>
        <w:ind w:left="660" w:right="120" w:hanging="647"/>
        <w:spacing w:after="0" w:line="266" w:lineRule="auto"/>
        <w:tabs>
          <w:tab w:leader="none" w:pos="640" w:val="left"/>
        </w:tabs>
        <w:rPr>
          <w:sz w:val="20"/>
          <w:szCs w:val="20"/>
          <w:color w:val="auto"/>
        </w:rPr>
      </w:pPr>
      <w:r>
        <w:rPr>
          <w:rFonts w:ascii="Arial" w:cs="Arial" w:eastAsia="Arial" w:hAnsi="Arial"/>
          <w:sz w:val="16"/>
          <w:szCs w:val="16"/>
          <w:color w:val="CE0D41"/>
        </w:rPr>
        <w:t>2.46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or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a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145" w:lineRule="exact"/>
        <w:rPr>
          <w:sz w:val="20"/>
          <w:szCs w:val="20"/>
          <w:color w:val="auto"/>
        </w:rPr>
      </w:pPr>
    </w:p>
    <w:p>
      <w:pPr>
        <w:ind w:left="660" w:right="180" w:hanging="647"/>
        <w:spacing w:after="0" w:line="254" w:lineRule="auto"/>
        <w:tabs>
          <w:tab w:leader="none" w:pos="640" w:val="left"/>
        </w:tabs>
        <w:rPr>
          <w:sz w:val="20"/>
          <w:szCs w:val="20"/>
          <w:color w:val="auto"/>
        </w:rPr>
      </w:pPr>
      <w:r>
        <w:rPr>
          <w:rFonts w:ascii="Arial" w:cs="Arial" w:eastAsia="Arial" w:hAnsi="Arial"/>
          <w:sz w:val="16"/>
          <w:szCs w:val="16"/>
          <w:color w:val="CE0D41"/>
        </w:rPr>
        <w:t>2.47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or “</w:t>
      </w:r>
      <w:r>
        <w:rPr>
          <w:rFonts w:ascii="Arial" w:cs="Arial" w:eastAsia="Arial" w:hAnsi="Arial"/>
          <w:sz w:val="16"/>
          <w:szCs w:val="16"/>
          <w:b w:val="1"/>
          <w:bCs w:val="1"/>
          <w:i w:val="1"/>
          <w:iCs w:val="1"/>
          <w:color w:val="auto"/>
        </w:rPr>
        <w:t>Subsidiaries</w:t>
      </w:r>
      <w:r>
        <w:rPr>
          <w:rFonts w:ascii="Arial" w:cs="Arial" w:eastAsia="Arial" w:hAnsi="Arial"/>
          <w:sz w:val="16"/>
          <w:szCs w:val="16"/>
          <w:color w:val="auto"/>
        </w:rPr>
        <w:t>” or “</w:t>
      </w:r>
      <w:r>
        <w:rPr>
          <w:rFonts w:ascii="Arial" w:cs="Arial" w:eastAsia="Arial" w:hAnsi="Arial"/>
          <w:sz w:val="16"/>
          <w:szCs w:val="16"/>
          <w:b w:val="1"/>
          <w:bCs w:val="1"/>
          <w:i w:val="1"/>
          <w:iCs w:val="1"/>
          <w:color w:val="auto"/>
        </w:rPr>
        <w:t>Subsidiary Corporation</w:t>
      </w:r>
      <w:r>
        <w:rPr>
          <w:rFonts w:ascii="Arial" w:cs="Arial" w:eastAsia="Arial" w:hAnsi="Arial"/>
          <w:sz w:val="16"/>
          <w:szCs w:val="16"/>
          <w:color w:val="auto"/>
        </w:rPr>
        <w:t>” means any Entity or Entities of the Company within the meaning of Section 155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55" w:lineRule="exact"/>
        <w:rPr>
          <w:sz w:val="20"/>
          <w:szCs w:val="20"/>
          <w:color w:val="auto"/>
        </w:rPr>
      </w:pPr>
    </w:p>
    <w:p>
      <w:pPr>
        <w:ind w:left="660" w:right="360" w:hanging="647"/>
        <w:spacing w:after="0" w:line="286" w:lineRule="auto"/>
        <w:tabs>
          <w:tab w:leader="none" w:pos="640" w:val="left"/>
        </w:tabs>
        <w:rPr>
          <w:sz w:val="20"/>
          <w:szCs w:val="20"/>
          <w:color w:val="auto"/>
        </w:rPr>
      </w:pPr>
      <w:r>
        <w:rPr>
          <w:rFonts w:ascii="Arial" w:cs="Arial" w:eastAsia="Arial" w:hAnsi="Arial"/>
          <w:sz w:val="16"/>
          <w:szCs w:val="16"/>
          <w:color w:val="CE0D41"/>
        </w:rPr>
        <w:t>2.48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Substantial Risk of Forfeiture</w:t>
      </w:r>
      <w:r>
        <w:rPr>
          <w:rFonts w:ascii="Arial" w:cs="Arial" w:eastAsia="Arial" w:hAnsi="Arial"/>
          <w:sz w:val="16"/>
          <w:szCs w:val="16"/>
          <w:color w:val="auto"/>
        </w:rPr>
        <w:t>” shall have the meaning ascribed to that term in section 409A of the Code and Department of Treasury guidance issued thereunder.</w:t>
      </w:r>
    </w:p>
    <w:p>
      <w:pPr>
        <w:spacing w:after="0" w:line="129"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Arial" w:cs="Arial" w:eastAsia="Arial" w:hAnsi="Arial"/>
          <w:sz w:val="16"/>
          <w:szCs w:val="16"/>
          <w:color w:val="CE0D41"/>
        </w:rPr>
        <w:t>2.49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means (a) federal, state, and local taxes and taxes imposed by any jurisdiction (including but not limited to, income tax, social security or insurance contributions, payroll tax, fringe benefits tax, payment on account, employment tax obligations, stamp taxes, and any other taxes that may be due) required by law to be withheld and (b) any employer tax liability shifted to a Holder.</w:t>
      </w:r>
    </w:p>
    <w:p>
      <w:pPr>
        <w:spacing w:after="0" w:line="145"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6"/>
          <w:szCs w:val="16"/>
          <w:color w:val="CE0D41"/>
        </w:rPr>
        <w:t>2.50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Shareholder</w:t>
      </w:r>
      <w:r>
        <w:rPr>
          <w:rFonts w:ascii="Arial" w:cs="Arial" w:eastAsia="Arial" w:hAnsi="Arial"/>
          <w:sz w:val="16"/>
          <w:szCs w:val="16"/>
          <w:color w:val="auto"/>
        </w:rPr>
        <w:t>” means an individual who, at the time the Option is granted, owns more than ten percent (10%) of the total combined voting power of all classes of shares or series of shares 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53" w:lineRule="exact"/>
        <w:rPr>
          <w:sz w:val="20"/>
          <w:szCs w:val="20"/>
          <w:color w:val="auto"/>
        </w:rPr>
      </w:pPr>
    </w:p>
    <w:p>
      <w:pPr>
        <w:ind w:left="660" w:right="40" w:hanging="647"/>
        <w:spacing w:after="0" w:line="254" w:lineRule="auto"/>
        <w:tabs>
          <w:tab w:leader="none" w:pos="640" w:val="left"/>
        </w:tabs>
        <w:rPr>
          <w:sz w:val="20"/>
          <w:szCs w:val="20"/>
          <w:color w:val="auto"/>
        </w:rPr>
      </w:pPr>
      <w:r>
        <w:rPr>
          <w:rFonts w:ascii="Arial" w:cs="Arial" w:eastAsia="Arial" w:hAnsi="Arial"/>
          <w:sz w:val="16"/>
          <w:szCs w:val="16"/>
          <w:color w:val="CE0D41"/>
        </w:rPr>
        <w:t>2.51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Employment</w:t>
      </w:r>
      <w:r>
        <w:rPr>
          <w:rFonts w:ascii="Arial" w:cs="Arial" w:eastAsia="Arial" w:hAnsi="Arial"/>
          <w:sz w:val="16"/>
          <w:szCs w:val="16"/>
          <w:color w:val="auto"/>
        </w:rPr>
        <w:t>” means, in the case of an Award other than an ISO, the termination of the Award recipient’s Employment or service relationship with 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 section 422(a)(2) of the Code) of any such corporation that issues or assumes an ISO in a transaction to which section 424(a) of the Code applies. The Committee will have the sole direction to determine whether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A-10</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7" w:name="page108"/>
    <w:bookmarkEnd w:id="107"/>
    <w:p>
      <w:pPr>
        <w:ind w:left="1002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31" w:lineRule="exact"/>
        <w:rPr>
          <w:sz w:val="20"/>
          <w:szCs w:val="20"/>
          <w:color w:val="auto"/>
        </w:rPr>
      </w:pPr>
    </w:p>
    <w:p>
      <w:pPr>
        <w:ind w:left="660" w:right="120"/>
        <w:spacing w:after="0" w:line="260" w:lineRule="auto"/>
        <w:rPr>
          <w:sz w:val="20"/>
          <w:szCs w:val="20"/>
          <w:color w:val="auto"/>
        </w:rPr>
      </w:pPr>
      <w:r>
        <w:rPr>
          <w:rFonts w:ascii="Arial" w:cs="Arial" w:eastAsia="Arial" w:hAnsi="Arial"/>
          <w:sz w:val="16"/>
          <w:szCs w:val="16"/>
          <w:color w:val="auto"/>
        </w:rPr>
        <w:t>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subject to compliance with section 409A of the Code.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U.S. Taxpayer</w:t>
      </w:r>
      <w:r>
        <w:rPr>
          <w:rFonts w:ascii="Arial" w:cs="Arial" w:eastAsia="Arial" w:hAnsi="Arial"/>
          <w:sz w:val="16"/>
          <w:szCs w:val="16"/>
          <w:color w:val="auto"/>
        </w:rPr>
        <w:t>” means a person who is, or may be, subject to taxation under the laws of the United States or a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ELIGIBILITY AND PARTICIPATION</w:t>
      </w:r>
    </w:p>
    <w:p>
      <w:pPr>
        <w:spacing w:after="0" w:line="351"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Arial" w:cs="Arial" w:eastAsia="Arial" w:hAnsi="Arial"/>
          <w:sz w:val="16"/>
          <w:szCs w:val="16"/>
          <w:color w:val="CE0D41"/>
        </w:rPr>
        <w:t>3.1</w:t>
      </w:r>
      <w:r>
        <w:rPr>
          <w:sz w:val="20"/>
          <w:szCs w:val="20"/>
          <w:color w:val="auto"/>
        </w:rPr>
        <w:tab/>
      </w:r>
      <w:r>
        <w:rPr>
          <w:rFonts w:ascii="Arial" w:cs="Arial" w:eastAsia="Arial" w:hAnsi="Arial"/>
          <w:sz w:val="16"/>
          <w:szCs w:val="16"/>
          <w:b w:val="1"/>
          <w:bCs w:val="1"/>
          <w:color w:val="auto"/>
        </w:rPr>
        <w:t xml:space="preserve">Eligibility. </w:t>
      </w:r>
      <w:r>
        <w:rPr>
          <w:rFonts w:ascii="Arial" w:cs="Arial" w:eastAsia="Arial" w:hAnsi="Arial"/>
          <w:sz w:val="16"/>
          <w:szCs w:val="16"/>
          <w:color w:val="auto"/>
        </w:rPr>
        <w:t>Except as otherwise specified in this Section 3.1, the persons who are eligible to receive Awards under the Plan are Employees,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53"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6"/>
          <w:szCs w:val="16"/>
          <w:color w:val="CE0D41"/>
        </w:rPr>
        <w:t>3.2</w:t>
      </w:r>
      <w:r>
        <w:rPr>
          <w:sz w:val="20"/>
          <w:szCs w:val="20"/>
          <w:color w:val="auto"/>
        </w:rPr>
        <w:tab/>
      </w: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Subject to the terms and provisions of the Plan, the Committee may, from time to time, select the persons to whom Awards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and shall determine the nature and amount of each Award. No person shall have any right to be granted an Award pursuant to the Plan. Notwithstanding the preceding sentence, with respect to any executive officer who at the time of any grant hereunder is a “named executive officer” for purposes of Item 5.02 of Form 8-K, as provided in Instruction 4 thereto (in each case, as amended or supplemented from time to time), the Committee may only grant Options, SARs, Performance Share Awards, Performance Unit Awards and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GENERAL PROVISIONS RELATING TO AWARDS</w:t>
      </w:r>
    </w:p>
    <w:p>
      <w:pPr>
        <w:spacing w:after="0" w:line="351" w:lineRule="exact"/>
        <w:rPr>
          <w:sz w:val="20"/>
          <w:szCs w:val="20"/>
          <w:color w:val="auto"/>
        </w:rPr>
      </w:pPr>
    </w:p>
    <w:p>
      <w:pPr>
        <w:ind w:left="660" w:right="120" w:hanging="647"/>
        <w:spacing w:after="0" w:line="250" w:lineRule="auto"/>
        <w:tabs>
          <w:tab w:leader="none" w:pos="640" w:val="left"/>
        </w:tabs>
        <w:rPr>
          <w:sz w:val="20"/>
          <w:szCs w:val="20"/>
          <w:color w:val="auto"/>
        </w:rPr>
      </w:pPr>
      <w:r>
        <w:rPr>
          <w:rFonts w:ascii="Arial" w:cs="Arial" w:eastAsia="Arial" w:hAnsi="Arial"/>
          <w:sz w:val="16"/>
          <w:szCs w:val="16"/>
          <w:color w:val="CE0D41"/>
        </w:rPr>
        <w:t>4.1</w:t>
      </w:r>
      <w:r>
        <w:rPr>
          <w:sz w:val="20"/>
          <w:szCs w:val="20"/>
          <w:color w:val="auto"/>
        </w:rPr>
        <w:tab/>
      </w:r>
      <w:r>
        <w:rPr>
          <w:rFonts w:ascii="Arial" w:cs="Arial" w:eastAsia="Arial" w:hAnsi="Arial"/>
          <w:sz w:val="16"/>
          <w:szCs w:val="16"/>
          <w:b w:val="1"/>
          <w:bCs w:val="1"/>
          <w:color w:val="auto"/>
        </w:rPr>
        <w:t xml:space="preserve">Authority to Grant Awards. </w:t>
      </w:r>
      <w:r>
        <w:rPr>
          <w:rFonts w:ascii="Arial" w:cs="Arial" w:eastAsia="Arial" w:hAnsi="Arial"/>
          <w:sz w:val="16"/>
          <w:szCs w:val="16"/>
          <w:color w:val="auto"/>
        </w:rPr>
        <w:t>The Committee may grant Awards to those eligible persons as the Committee shall from time to time determine,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161"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6"/>
          <w:szCs w:val="16"/>
          <w:color w:val="CE0D41"/>
        </w:rPr>
        <w:t>4.2</w:t>
      </w:r>
      <w:r>
        <w:rPr>
          <w:sz w:val="20"/>
          <w:szCs w:val="20"/>
          <w:color w:val="auto"/>
        </w:rPr>
        <w:tab/>
      </w:r>
      <w:r>
        <w:rPr>
          <w:rFonts w:ascii="Arial" w:cs="Arial" w:eastAsia="Arial" w:hAnsi="Arial"/>
          <w:sz w:val="16"/>
          <w:szCs w:val="16"/>
          <w:b w:val="1"/>
          <w:bCs w:val="1"/>
          <w:color w:val="auto"/>
        </w:rPr>
        <w:t xml:space="preserve">Dedicated Shares; Maximum Awards. </w:t>
      </w:r>
      <w:r>
        <w:rPr>
          <w:rFonts w:ascii="Arial" w:cs="Arial" w:eastAsia="Arial" w:hAnsi="Arial"/>
          <w:sz w:val="16"/>
          <w:szCs w:val="16"/>
          <w:color w:val="auto"/>
        </w:rPr>
        <w:t>The aggregate number of Shares with respect to which Awards may be granted under the Plan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substitute Awards granted pursuant to Article XII) is 28,144,000. The maximum number of Shares with respect to which Options or SARs may be granted to an Employee during a Fiscal Year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8" w:name="page109"/>
    <w:bookmarkEnd w:id="10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31"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two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where it is intended to comply with Section 162(m) of the Code,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353" w:lineRule="exact"/>
        <w:rPr>
          <w:sz w:val="20"/>
          <w:szCs w:val="20"/>
          <w:color w:val="auto"/>
        </w:rPr>
      </w:pPr>
    </w:p>
    <w:p>
      <w:pPr>
        <w:ind w:left="660" w:right="180" w:hanging="647"/>
        <w:spacing w:after="0" w:line="253" w:lineRule="auto"/>
        <w:tabs>
          <w:tab w:leader="none" w:pos="640" w:val="left"/>
        </w:tabs>
        <w:rPr>
          <w:sz w:val="20"/>
          <w:szCs w:val="20"/>
          <w:color w:val="auto"/>
        </w:rPr>
      </w:pPr>
      <w:r>
        <w:rPr>
          <w:rFonts w:ascii="Arial" w:cs="Arial" w:eastAsia="Arial" w:hAnsi="Arial"/>
          <w:sz w:val="16"/>
          <w:szCs w:val="16"/>
          <w:color w:val="CE0D41"/>
        </w:rPr>
        <w:t>4.3</w:t>
      </w:r>
      <w:r>
        <w:rPr>
          <w:sz w:val="20"/>
          <w:szCs w:val="20"/>
          <w:color w:val="auto"/>
        </w:rPr>
        <w:tab/>
      </w:r>
      <w:r>
        <w:rPr>
          <w:rFonts w:ascii="Arial" w:cs="Arial" w:eastAsia="Arial" w:hAnsi="Arial"/>
          <w:sz w:val="16"/>
          <w:szCs w:val="16"/>
          <w:b w:val="1"/>
          <w:bCs w:val="1"/>
          <w:color w:val="auto"/>
        </w:rPr>
        <w:t xml:space="preserve">Non-Transferability. </w:t>
      </w:r>
      <w:r>
        <w:rPr>
          <w:rFonts w:ascii="Arial" w:cs="Arial" w:eastAsia="Arial" w:hAnsi="Arial"/>
          <w:sz w:val="16"/>
          <w:szCs w:val="16"/>
          <w:color w:val="auto"/>
        </w:rPr>
        <w:t>Except as specified in the applicable Award Agreements or as otherwise determined by the Committee, an Award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55" w:lineRule="exact"/>
        <w:rPr>
          <w:sz w:val="20"/>
          <w:szCs w:val="20"/>
          <w:color w:val="auto"/>
        </w:rPr>
      </w:pPr>
    </w:p>
    <w:p>
      <w:pPr>
        <w:ind w:left="660" w:right="60" w:hanging="647"/>
        <w:spacing w:after="0" w:line="249" w:lineRule="auto"/>
        <w:tabs>
          <w:tab w:leader="none" w:pos="640" w:val="left"/>
        </w:tabs>
        <w:rPr>
          <w:sz w:val="20"/>
          <w:szCs w:val="20"/>
          <w:color w:val="auto"/>
        </w:rPr>
      </w:pPr>
      <w:r>
        <w:rPr>
          <w:rFonts w:ascii="Arial" w:cs="Arial" w:eastAsia="Arial" w:hAnsi="Arial"/>
          <w:sz w:val="16"/>
          <w:szCs w:val="16"/>
          <w:color w:val="CE0D41"/>
        </w:rPr>
        <w:t>4.4</w:t>
      </w:r>
      <w:r>
        <w:rPr>
          <w:sz w:val="20"/>
          <w:szCs w:val="20"/>
          <w:color w:val="auto"/>
        </w:rPr>
        <w:tab/>
      </w:r>
      <w:r>
        <w:rPr>
          <w:rFonts w:ascii="Arial" w:cs="Arial" w:eastAsia="Arial" w:hAnsi="Arial"/>
          <w:sz w:val="16"/>
          <w:szCs w:val="16"/>
          <w:b w:val="1"/>
          <w:bCs w:val="1"/>
          <w:color w:val="auto"/>
        </w:rPr>
        <w:t xml:space="preserve">Requirements of Law. </w:t>
      </w:r>
      <w:r>
        <w:rPr>
          <w:rFonts w:ascii="Arial" w:cs="Arial" w:eastAsia="Arial" w:hAnsi="Arial"/>
          <w:sz w:val="16"/>
          <w:szCs w:val="16"/>
          <w:color w:val="auto"/>
        </w:rPr>
        <w:t>The obligation of the Company to make payment of Awards in Shares or otherwise shall be subject to all applicable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A-12</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9" w:name="page110"/>
    <w:bookmarkEnd w:id="109"/>
    <w:p>
      <w:pPr>
        <w:ind w:left="1002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31"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4.5</w:t>
      </w:r>
      <w:r>
        <w:rPr>
          <w:sz w:val="20"/>
          <w:szCs w:val="20"/>
          <w:color w:val="auto"/>
        </w:rPr>
        <w:tab/>
      </w:r>
      <w:r>
        <w:rPr>
          <w:rFonts w:ascii="Arial" w:cs="Arial" w:eastAsia="Arial" w:hAnsi="Arial"/>
          <w:sz w:val="16"/>
          <w:szCs w:val="16"/>
          <w:b w:val="1"/>
          <w:bCs w:val="1"/>
          <w:color w:val="auto"/>
        </w:rPr>
        <w:t>Changes in the Company’s Capital Structure; Change of Control.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 contrary provision in the Plan, the following provisions shall apply to all Awards granted under the Plan:</w:t>
      </w:r>
    </w:p>
    <w:p>
      <w:pPr>
        <w:spacing w:after="0" w:line="174" w:lineRule="exact"/>
        <w:rPr>
          <w:sz w:val="20"/>
          <w:szCs w:val="20"/>
          <w:color w:val="auto"/>
        </w:rPr>
      </w:pPr>
    </w:p>
    <w:p>
      <w:pPr>
        <w:ind w:left="980" w:right="80" w:hanging="324"/>
        <w:spacing w:after="0" w:line="249" w:lineRule="auto"/>
        <w:tabs>
          <w:tab w:leader="none" w:pos="980" w:val="left"/>
        </w:tabs>
        <w:numPr>
          <w:ilvl w:val="0"/>
          <w:numId w:val="120"/>
        </w:numPr>
        <w:rPr>
          <w:rFonts w:ascii="Arial" w:cs="Arial" w:eastAsia="Arial" w:hAnsi="Arial"/>
          <w:sz w:val="16"/>
          <w:szCs w:val="16"/>
          <w:color w:val="CE0D41"/>
        </w:rPr>
      </w:pPr>
      <w:r>
        <w:rPr>
          <w:rFonts w:ascii="Arial" w:cs="Arial" w:eastAsia="Arial" w:hAnsi="Arial"/>
          <w:sz w:val="16"/>
          <w:szCs w:val="16"/>
          <w:b w:val="1"/>
          <w:bCs w:val="1"/>
          <w:color w:val="auto"/>
        </w:rPr>
        <w:t xml:space="preserve">Generally. </w:t>
      </w:r>
      <w:r>
        <w:rPr>
          <w:rFonts w:ascii="Arial" w:cs="Arial" w:eastAsia="Arial" w:hAnsi="Arial"/>
          <w:sz w:val="16"/>
          <w:szCs w:val="16"/>
          <w:color w:val="auto"/>
        </w:rPr>
        <w:t>In the event of any change in the Ordinary Share capital of the Company after the Effective Date by reason of any Share dividend or</w:t>
      </w:r>
      <w:r>
        <w:rPr>
          <w:rFonts w:ascii="Arial" w:cs="Arial" w:eastAsia="Arial" w:hAnsi="Arial"/>
          <w:sz w:val="16"/>
          <w:szCs w:val="16"/>
          <w:b w:val="1"/>
          <w:bCs w:val="1"/>
          <w:color w:val="auto"/>
        </w:rPr>
        <w:t xml:space="preserve"> </w:t>
      </w:r>
      <w:r>
        <w:rPr>
          <w:rFonts w:ascii="Arial" w:cs="Arial" w:eastAsia="Arial" w:hAnsi="Arial"/>
          <w:sz w:val="16"/>
          <w:szCs w:val="16"/>
          <w:color w:val="auto"/>
        </w:rPr>
        <w:t>split, 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 (iv) 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6"/>
          <w:szCs w:val="16"/>
          <w:b w:val="1"/>
          <w:bCs w:val="1"/>
          <w:i w:val="1"/>
          <w:iCs w:val="1"/>
          <w:color w:val="auto"/>
        </w:rPr>
        <w:t>Shortfall</w:t>
      </w:r>
      <w:r>
        <w:rPr>
          <w:rFonts w:ascii="Arial" w:cs="Arial" w:eastAsia="Arial" w:hAnsi="Arial"/>
          <w:sz w:val="16"/>
          <w:szCs w:val="16"/>
          <w:color w:val="auto"/>
        </w:rPr>
        <w:t>”), but only if and to the extent that the Committee shall be authorized to capitalize from the reserves of the Company a sum equal to the Shortfall and to apply that sum in paying up that amount on the Ordinary Shares.</w:t>
      </w:r>
    </w:p>
    <w:p>
      <w:pPr>
        <w:spacing w:after="0" w:line="161" w:lineRule="exact"/>
        <w:rPr>
          <w:rFonts w:ascii="Arial" w:cs="Arial" w:eastAsia="Arial" w:hAnsi="Arial"/>
          <w:sz w:val="16"/>
          <w:szCs w:val="16"/>
          <w:color w:val="CE0D41"/>
        </w:rPr>
      </w:pPr>
    </w:p>
    <w:p>
      <w:pPr>
        <w:ind w:left="980" w:right="20" w:hanging="324"/>
        <w:spacing w:after="0" w:line="249" w:lineRule="auto"/>
        <w:tabs>
          <w:tab w:leader="none" w:pos="980" w:val="left"/>
        </w:tabs>
        <w:numPr>
          <w:ilvl w:val="0"/>
          <w:numId w:val="120"/>
        </w:numPr>
        <w:rPr>
          <w:rFonts w:ascii="Arial" w:cs="Arial" w:eastAsia="Arial" w:hAnsi="Arial"/>
          <w:sz w:val="16"/>
          <w:szCs w:val="16"/>
          <w:color w:val="CE0D41"/>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In the event of a Change of Control after the Effective Date, (i) if determined by the Committee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 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355" w:lineRule="exact"/>
        <w:rPr>
          <w:sz w:val="20"/>
          <w:szCs w:val="20"/>
          <w:color w:val="auto"/>
        </w:rPr>
      </w:pPr>
    </w:p>
    <w:p>
      <w:pPr>
        <w:ind w:left="660" w:right="220" w:hanging="647"/>
        <w:spacing w:after="0" w:line="286" w:lineRule="auto"/>
        <w:tabs>
          <w:tab w:leader="none" w:pos="640" w:val="left"/>
        </w:tabs>
        <w:rPr>
          <w:sz w:val="20"/>
          <w:szCs w:val="20"/>
          <w:color w:val="auto"/>
        </w:rPr>
      </w:pPr>
      <w:r>
        <w:rPr>
          <w:rFonts w:ascii="Arial" w:cs="Arial" w:eastAsia="Arial" w:hAnsi="Arial"/>
          <w:sz w:val="16"/>
          <w:szCs w:val="16"/>
          <w:color w:val="CE0D41"/>
        </w:rPr>
        <w:t>4.6</w:t>
      </w:r>
      <w:r>
        <w:rPr>
          <w:sz w:val="20"/>
          <w:szCs w:val="20"/>
          <w:color w:val="auto"/>
        </w:rPr>
        <w:tab/>
      </w:r>
      <w:r>
        <w:rPr>
          <w:rFonts w:ascii="Arial" w:cs="Arial" w:eastAsia="Arial" w:hAnsi="Arial"/>
          <w:sz w:val="16"/>
          <w:szCs w:val="16"/>
          <w:b w:val="1"/>
          <w:bCs w:val="1"/>
          <w:color w:val="auto"/>
        </w:rPr>
        <w:t xml:space="preserve">Election Under Section 83(b) of the Code. </w:t>
      </w:r>
      <w:r>
        <w:rPr>
          <w:rFonts w:ascii="Arial" w:cs="Arial" w:eastAsia="Arial" w:hAnsi="Arial"/>
          <w:sz w:val="16"/>
          <w:szCs w:val="16"/>
          <w:color w:val="auto"/>
        </w:rPr>
        <w:t>Any Holder who makes an election under section 83(b) of the Code with respect to any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promptly notify the Chief Financial Officer or General Counsel of the Company of such election.</w:t>
      </w:r>
    </w:p>
    <w:p>
      <w:pPr>
        <w:spacing w:after="0" w:line="129" w:lineRule="exact"/>
        <w:rPr>
          <w:sz w:val="20"/>
          <w:szCs w:val="20"/>
          <w:color w:val="auto"/>
        </w:rPr>
      </w:pPr>
    </w:p>
    <w:p>
      <w:pPr>
        <w:ind w:left="660" w:hanging="647"/>
        <w:spacing w:after="0" w:line="262" w:lineRule="auto"/>
        <w:tabs>
          <w:tab w:leader="none" w:pos="640" w:val="left"/>
        </w:tabs>
        <w:rPr>
          <w:sz w:val="20"/>
          <w:szCs w:val="20"/>
          <w:color w:val="auto"/>
        </w:rPr>
      </w:pPr>
      <w:r>
        <w:rPr>
          <w:rFonts w:ascii="Arial" w:cs="Arial" w:eastAsia="Arial" w:hAnsi="Arial"/>
          <w:sz w:val="16"/>
          <w:szCs w:val="16"/>
          <w:color w:val="CE0D41"/>
        </w:rPr>
        <w:t>4.7</w:t>
      </w:r>
      <w:r>
        <w:rPr>
          <w:sz w:val="20"/>
          <w:szCs w:val="20"/>
          <w:color w:val="auto"/>
        </w:rPr>
        <w:tab/>
      </w:r>
      <w:r>
        <w:rPr>
          <w:rFonts w:ascii="Arial" w:cs="Arial" w:eastAsia="Arial" w:hAnsi="Arial"/>
          <w:sz w:val="16"/>
          <w:szCs w:val="16"/>
          <w:b w:val="1"/>
          <w:bCs w:val="1"/>
          <w:color w:val="auto"/>
        </w:rPr>
        <w:t xml:space="preserve">Forfeiture for Cause. </w:t>
      </w:r>
      <w:r>
        <w:rPr>
          <w:rFonts w:ascii="Arial" w:cs="Arial" w:eastAsia="Arial" w:hAnsi="Arial"/>
          <w:sz w:val="16"/>
          <w:szCs w:val="16"/>
          <w:color w:val="auto"/>
        </w:rPr>
        <w:t>Notwithstanding any other provision of the Plan or an Award Agreement, if the Committee finds by a majority vote that a Holder,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10" w:name="page111"/>
    <w:bookmarkEnd w:id="110"/>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45" w:lineRule="exact"/>
        <w:rPr>
          <w:sz w:val="20"/>
          <w:szCs w:val="20"/>
          <w:color w:val="auto"/>
        </w:rPr>
      </w:pPr>
    </w:p>
    <w:p>
      <w:pPr>
        <w:ind w:left="660" w:right="120"/>
        <w:spacing w:after="0" w:line="249" w:lineRule="auto"/>
        <w:rPr>
          <w:sz w:val="20"/>
          <w:szCs w:val="20"/>
          <w:color w:val="auto"/>
        </w:rPr>
      </w:pPr>
      <w:r>
        <w:rPr>
          <w:rFonts w:ascii="Arial" w:cs="Arial" w:eastAsia="Arial" w:hAnsi="Arial"/>
          <w:sz w:val="16"/>
          <w:szCs w:val="16"/>
          <w:color w:val="auto"/>
        </w:rPr>
        <w:t>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58" w:lineRule="exact"/>
        <w:rPr>
          <w:sz w:val="20"/>
          <w:szCs w:val="20"/>
          <w:color w:val="auto"/>
        </w:rPr>
      </w:pPr>
    </w:p>
    <w:p>
      <w:pPr>
        <w:ind w:left="660" w:right="60" w:hanging="647"/>
        <w:spacing w:after="0" w:line="254" w:lineRule="auto"/>
        <w:tabs>
          <w:tab w:leader="none" w:pos="640" w:val="left"/>
        </w:tabs>
        <w:rPr>
          <w:sz w:val="20"/>
          <w:szCs w:val="20"/>
          <w:color w:val="auto"/>
        </w:rPr>
      </w:pPr>
      <w:r>
        <w:rPr>
          <w:rFonts w:ascii="Arial" w:cs="Arial" w:eastAsia="Arial" w:hAnsi="Arial"/>
          <w:sz w:val="16"/>
          <w:szCs w:val="16"/>
          <w:color w:val="CE0D41"/>
        </w:rPr>
        <w:t>4.8</w:t>
      </w:r>
      <w:r>
        <w:rPr>
          <w:sz w:val="20"/>
          <w:szCs w:val="20"/>
          <w:color w:val="auto"/>
        </w:rPr>
        <w:tab/>
      </w:r>
      <w:r>
        <w:rPr>
          <w:rFonts w:ascii="Arial" w:cs="Arial" w:eastAsia="Arial" w:hAnsi="Arial"/>
          <w:sz w:val="16"/>
          <w:szCs w:val="16"/>
          <w:b w:val="1"/>
          <w:bCs w:val="1"/>
          <w:color w:val="auto"/>
        </w:rPr>
        <w:t xml:space="preserve">Forfeiture Events. </w:t>
      </w:r>
      <w:r>
        <w:rPr>
          <w:rFonts w:ascii="Arial" w:cs="Arial" w:eastAsia="Arial" w:hAnsi="Arial"/>
          <w:sz w:val="16"/>
          <w:szCs w:val="16"/>
          <w:color w:val="auto"/>
        </w:rPr>
        <w:t>The Committee may specify in an Award Agreement that the Holder’s rights, payments, and benefits with respect to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55" w:lineRule="exact"/>
        <w:rPr>
          <w:sz w:val="20"/>
          <w:szCs w:val="20"/>
          <w:color w:val="auto"/>
        </w:rPr>
      </w:pPr>
    </w:p>
    <w:p>
      <w:pPr>
        <w:ind w:left="660" w:right="20" w:hanging="647"/>
        <w:spacing w:after="0" w:line="253" w:lineRule="auto"/>
        <w:tabs>
          <w:tab w:leader="none" w:pos="640" w:val="left"/>
        </w:tabs>
        <w:rPr>
          <w:sz w:val="20"/>
          <w:szCs w:val="20"/>
          <w:color w:val="auto"/>
        </w:rPr>
      </w:pPr>
      <w:r>
        <w:rPr>
          <w:rFonts w:ascii="Arial" w:cs="Arial" w:eastAsia="Arial" w:hAnsi="Arial"/>
          <w:sz w:val="16"/>
          <w:szCs w:val="16"/>
          <w:color w:val="CE0D41"/>
        </w:rPr>
        <w:t>4.9</w:t>
      </w:r>
      <w:r>
        <w:rPr>
          <w:sz w:val="20"/>
          <w:szCs w:val="20"/>
          <w:color w:val="auto"/>
        </w:rPr>
        <w:tab/>
      </w:r>
      <w:r>
        <w:rPr>
          <w:rFonts w:ascii="Arial" w:cs="Arial" w:eastAsia="Arial" w:hAnsi="Arial"/>
          <w:sz w:val="16"/>
          <w:szCs w:val="16"/>
          <w:b w:val="1"/>
          <w:bCs w:val="1"/>
          <w:color w:val="auto"/>
        </w:rPr>
        <w:t xml:space="preserve">Award Agreements. </w:t>
      </w:r>
      <w:r>
        <w:rPr>
          <w:rFonts w:ascii="Arial" w:cs="Arial" w:eastAsia="Arial" w:hAnsi="Arial"/>
          <w:sz w:val="16"/>
          <w:szCs w:val="16"/>
          <w:color w:val="auto"/>
        </w:rPr>
        <w:t>The Award Agreement shall be signed by an executive officer of the Company, other than the Holder, on behalf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be 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55"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6"/>
          <w:szCs w:val="16"/>
          <w:color w:val="CE0D41"/>
        </w:rPr>
        <w:t>4.10</w:t>
      </w:r>
      <w:r>
        <w:rPr>
          <w:sz w:val="20"/>
          <w:szCs w:val="20"/>
          <w:color w:val="auto"/>
        </w:rPr>
        <w:tab/>
      </w:r>
      <w:r>
        <w:rPr>
          <w:rFonts w:ascii="Arial" w:cs="Arial" w:eastAsia="Arial" w:hAnsi="Arial"/>
          <w:sz w:val="16"/>
          <w:szCs w:val="16"/>
          <w:b w:val="1"/>
          <w:bCs w:val="1"/>
          <w:color w:val="auto"/>
        </w:rPr>
        <w:t xml:space="preserve">Amendments of Award Agreements. </w:t>
      </w:r>
      <w:r>
        <w:rPr>
          <w:rFonts w:ascii="Arial" w:cs="Arial" w:eastAsia="Arial" w:hAnsi="Arial"/>
          <w:sz w:val="16"/>
          <w:szCs w:val="16"/>
          <w:color w:val="auto"/>
        </w:rPr>
        <w:t>The terms of any outstanding Award under the Plan may be amended from time to time by the Committee, or</w:t>
      </w:r>
      <w:r>
        <w:rPr>
          <w:rFonts w:ascii="Arial" w:cs="Arial" w:eastAsia="Arial" w:hAnsi="Arial"/>
          <w:sz w:val="16"/>
          <w:szCs w:val="16"/>
          <w:b w:val="1"/>
          <w:bCs w:val="1"/>
          <w:color w:val="auto"/>
        </w:rPr>
        <w:t xml:space="preserve"> </w:t>
      </w:r>
      <w:r>
        <w:rPr>
          <w:rFonts w:ascii="Arial" w:cs="Arial" w:eastAsia="Arial" w:hAnsi="Arial"/>
          <w:sz w:val="16"/>
          <w:szCs w:val="16"/>
          <w:color w:val="auto"/>
        </w:rPr>
        <w:t>an authorized 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51" w:lineRule="exact"/>
        <w:rPr>
          <w:sz w:val="20"/>
          <w:szCs w:val="20"/>
          <w:color w:val="auto"/>
        </w:rPr>
      </w:pPr>
    </w:p>
    <w:p>
      <w:pPr>
        <w:ind w:left="660" w:right="280" w:hanging="647"/>
        <w:spacing w:after="0" w:line="259" w:lineRule="auto"/>
        <w:tabs>
          <w:tab w:leader="none" w:pos="640" w:val="left"/>
        </w:tabs>
        <w:rPr>
          <w:sz w:val="20"/>
          <w:szCs w:val="20"/>
          <w:color w:val="auto"/>
        </w:rPr>
      </w:pPr>
      <w:r>
        <w:rPr>
          <w:rFonts w:ascii="Arial" w:cs="Arial" w:eastAsia="Arial" w:hAnsi="Arial"/>
          <w:sz w:val="16"/>
          <w:szCs w:val="16"/>
          <w:color w:val="CE0D41"/>
        </w:rPr>
        <w:t>4.11</w:t>
      </w:r>
      <w:r>
        <w:rPr>
          <w:sz w:val="20"/>
          <w:szCs w:val="20"/>
          <w:color w:val="auto"/>
        </w:rPr>
        <w:tab/>
      </w:r>
      <w:r>
        <w:rPr>
          <w:rFonts w:ascii="Arial" w:cs="Arial" w:eastAsia="Arial" w:hAnsi="Arial"/>
          <w:sz w:val="16"/>
          <w:szCs w:val="16"/>
          <w:b w:val="1"/>
          <w:bCs w:val="1"/>
          <w:color w:val="auto"/>
        </w:rPr>
        <w:t xml:space="preserve">Rights as Shareholder. </w:t>
      </w:r>
      <w:r>
        <w:rPr>
          <w:rFonts w:ascii="Arial" w:cs="Arial" w:eastAsia="Arial" w:hAnsi="Arial"/>
          <w:sz w:val="16"/>
          <w:szCs w:val="16"/>
          <w:color w:val="auto"/>
        </w:rPr>
        <w:t>A Holder shall not have any rights as a shareholder with respect to Shares covered by an Option, a SAR, an RSU,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4.12</w:t>
      </w:r>
      <w:r>
        <w:rPr>
          <w:sz w:val="20"/>
          <w:szCs w:val="20"/>
          <w:color w:val="auto"/>
        </w:rPr>
        <w:tab/>
      </w: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Shares, when issued, may be represented by a certificate or by book or electronic entry.</w:t>
      </w:r>
    </w:p>
    <w:p>
      <w:pPr>
        <w:spacing w:after="0" w:line="194" w:lineRule="exact"/>
        <w:rPr>
          <w:sz w:val="20"/>
          <w:szCs w:val="20"/>
          <w:color w:val="auto"/>
        </w:rPr>
      </w:pPr>
    </w:p>
    <w:p>
      <w:pPr>
        <w:ind w:left="660" w:right="260" w:hanging="647"/>
        <w:spacing w:after="0" w:line="266" w:lineRule="auto"/>
        <w:tabs>
          <w:tab w:leader="none" w:pos="640" w:val="left"/>
        </w:tabs>
        <w:rPr>
          <w:sz w:val="20"/>
          <w:szCs w:val="20"/>
          <w:color w:val="auto"/>
        </w:rPr>
      </w:pPr>
      <w:r>
        <w:rPr>
          <w:rFonts w:ascii="Arial" w:cs="Arial" w:eastAsia="Arial" w:hAnsi="Arial"/>
          <w:sz w:val="16"/>
          <w:szCs w:val="16"/>
          <w:color w:val="CE0D41"/>
        </w:rPr>
        <w:t>4.13</w:t>
      </w:r>
      <w:r>
        <w:rPr>
          <w:sz w:val="20"/>
          <w:szCs w:val="20"/>
          <w:color w:val="auto"/>
        </w:rPr>
        <w:tab/>
      </w:r>
      <w:r>
        <w:rPr>
          <w:rFonts w:ascii="Arial" w:cs="Arial" w:eastAsia="Arial" w:hAnsi="Arial"/>
          <w:sz w:val="16"/>
          <w:szCs w:val="16"/>
          <w:b w:val="1"/>
          <w:bCs w:val="1"/>
          <w:color w:val="auto"/>
        </w:rPr>
        <w:t xml:space="preserve">Restrictions on Shares Received. </w:t>
      </w:r>
      <w:r>
        <w:rPr>
          <w:rFonts w:ascii="Arial" w:cs="Arial" w:eastAsia="Arial" w:hAnsi="Arial"/>
          <w:sz w:val="16"/>
          <w:szCs w:val="16"/>
          <w:color w:val="auto"/>
        </w:rPr>
        <w:t>Subject to applicable Irish, United States or other applicable laws, the Committee may impose such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45"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6"/>
          <w:szCs w:val="16"/>
          <w:color w:val="CE0D41"/>
        </w:rPr>
        <w:t>4.14</w:t>
      </w:r>
      <w:r>
        <w:rPr>
          <w:sz w:val="20"/>
          <w:szCs w:val="20"/>
          <w:color w:val="auto"/>
        </w:rPr>
        <w:tab/>
      </w: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The Plan and all Awards made hereunder shall be interpreted, construed and operated to reflect the intent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A-14</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w:t>
      </w:r>
    </w:p>
    <w:p>
      <w:pPr>
        <w:spacing w:after="0" w:line="339"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OPTIONS</w:t>
      </w:r>
    </w:p>
    <w:p>
      <w:pPr>
        <w:spacing w:after="0" w:line="351" w:lineRule="exact"/>
        <w:rPr>
          <w:sz w:val="20"/>
          <w:szCs w:val="20"/>
          <w:color w:val="auto"/>
        </w:rPr>
      </w:pPr>
    </w:p>
    <w:p>
      <w:pPr>
        <w:ind w:left="660" w:right="220" w:hanging="647"/>
        <w:spacing w:after="0" w:line="286" w:lineRule="auto"/>
        <w:tabs>
          <w:tab w:leader="none" w:pos="640" w:val="left"/>
        </w:tabs>
        <w:rPr>
          <w:sz w:val="20"/>
          <w:szCs w:val="20"/>
          <w:color w:val="auto"/>
        </w:rPr>
      </w:pPr>
      <w:r>
        <w:rPr>
          <w:rFonts w:ascii="Arial" w:cs="Arial" w:eastAsia="Arial" w:hAnsi="Arial"/>
          <w:sz w:val="16"/>
          <w:szCs w:val="16"/>
          <w:color w:val="CE0D41"/>
        </w:rPr>
        <w:t>5.1</w:t>
      </w:r>
      <w:r>
        <w:rPr>
          <w:sz w:val="20"/>
          <w:szCs w:val="20"/>
          <w:color w:val="auto"/>
        </w:rPr>
        <w:tab/>
      </w:r>
      <w:r>
        <w:rPr>
          <w:rFonts w:ascii="Arial" w:cs="Arial" w:eastAsia="Arial" w:hAnsi="Arial"/>
          <w:sz w:val="16"/>
          <w:szCs w:val="16"/>
          <w:b w:val="1"/>
          <w:bCs w:val="1"/>
          <w:color w:val="auto"/>
        </w:rPr>
        <w:t xml:space="preserve">Authority to Grant Options. </w:t>
      </w:r>
      <w:r>
        <w:rPr>
          <w:rFonts w:ascii="Arial" w:cs="Arial" w:eastAsia="Arial" w:hAnsi="Arial"/>
          <w:sz w:val="16"/>
          <w:szCs w:val="16"/>
          <w:color w:val="auto"/>
        </w:rPr>
        <w:t>Subject to the terms and provisions of the Plan, the Committee, at any time, and from time to time, may grant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to eligible persons in such number and upon such terms as the Committee shall determine.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5.2</w:t>
      </w:r>
      <w:r>
        <w:rPr>
          <w:sz w:val="20"/>
          <w:szCs w:val="20"/>
          <w:color w:val="auto"/>
        </w:rPr>
        <w:tab/>
      </w:r>
      <w:r>
        <w:rPr>
          <w:rFonts w:ascii="Arial" w:cs="Arial" w:eastAsia="Arial" w:hAnsi="Arial"/>
          <w:sz w:val="16"/>
          <w:szCs w:val="16"/>
          <w:b w:val="1"/>
          <w:bCs w:val="1"/>
          <w:color w:val="auto"/>
        </w:rPr>
        <w:t xml:space="preserve">Type of Options Available. </w:t>
      </w:r>
      <w:r>
        <w:rPr>
          <w:rFonts w:ascii="Arial" w:cs="Arial" w:eastAsia="Arial" w:hAnsi="Arial"/>
          <w:sz w:val="16"/>
          <w:szCs w:val="16"/>
          <w:color w:val="auto"/>
        </w:rPr>
        <w:t>Options granted under the Plan may be NSOs or ISOs.</w:t>
      </w:r>
    </w:p>
    <w:p>
      <w:pPr>
        <w:spacing w:after="0" w:line="194" w:lineRule="exact"/>
        <w:rPr>
          <w:sz w:val="20"/>
          <w:szCs w:val="20"/>
          <w:color w:val="auto"/>
        </w:rPr>
      </w:pPr>
    </w:p>
    <w:p>
      <w:pPr>
        <w:ind w:left="660" w:right="40" w:hanging="647"/>
        <w:spacing w:after="0" w:line="256" w:lineRule="auto"/>
        <w:tabs>
          <w:tab w:leader="none" w:pos="640" w:val="left"/>
        </w:tabs>
        <w:rPr>
          <w:sz w:val="20"/>
          <w:szCs w:val="20"/>
          <w:color w:val="auto"/>
        </w:rPr>
      </w:pPr>
      <w:r>
        <w:rPr>
          <w:rFonts w:ascii="Arial" w:cs="Arial" w:eastAsia="Arial" w:hAnsi="Arial"/>
          <w:sz w:val="16"/>
          <w:szCs w:val="16"/>
          <w:color w:val="CE0D41"/>
        </w:rPr>
        <w:t>5.3</w:t>
      </w:r>
      <w:r>
        <w:rPr>
          <w:sz w:val="20"/>
          <w:szCs w:val="20"/>
          <w:color w:val="auto"/>
        </w:rPr>
        <w:tab/>
      </w:r>
      <w:r>
        <w:rPr>
          <w:rFonts w:ascii="Arial" w:cs="Arial" w:eastAsia="Arial" w:hAnsi="Arial"/>
          <w:sz w:val="16"/>
          <w:szCs w:val="16"/>
          <w:b w:val="1"/>
          <w:bCs w:val="1"/>
          <w:color w:val="auto"/>
        </w:rPr>
        <w:t xml:space="preserve">Option Agreement. </w:t>
      </w:r>
      <w:r>
        <w:rPr>
          <w:rFonts w:ascii="Arial" w:cs="Arial" w:eastAsia="Arial" w:hAnsi="Arial"/>
          <w:sz w:val="16"/>
          <w:szCs w:val="16"/>
          <w:color w:val="auto"/>
        </w:rPr>
        <w:t>Each Option grant under the Plan shall be evidenced by an Award Agreement that shall specify (a) whether the Option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be an ISO or an NSO, (b) the Option Price, (c) the duration of the Option, (d) the number of Shares to which the Option pertains, (e) the exercise restrictions applicable to the Option and (f) 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53" w:lineRule="exact"/>
        <w:rPr>
          <w:sz w:val="20"/>
          <w:szCs w:val="20"/>
          <w:color w:val="auto"/>
        </w:rPr>
      </w:pPr>
    </w:p>
    <w:p>
      <w:pPr>
        <w:ind w:left="660" w:right="300" w:hanging="647"/>
        <w:spacing w:after="0" w:line="256" w:lineRule="auto"/>
        <w:tabs>
          <w:tab w:leader="none" w:pos="640" w:val="left"/>
        </w:tabs>
        <w:rPr>
          <w:sz w:val="20"/>
          <w:szCs w:val="20"/>
          <w:color w:val="auto"/>
        </w:rPr>
      </w:pPr>
      <w:r>
        <w:rPr>
          <w:rFonts w:ascii="Arial" w:cs="Arial" w:eastAsia="Arial" w:hAnsi="Arial"/>
          <w:sz w:val="16"/>
          <w:szCs w:val="16"/>
          <w:color w:val="CE0D41"/>
        </w:rPr>
        <w:t>5.4</w:t>
      </w:r>
      <w:r>
        <w:rPr>
          <w:sz w:val="20"/>
          <w:szCs w:val="20"/>
          <w:color w:val="auto"/>
        </w:rPr>
        <w:tab/>
      </w:r>
      <w:r>
        <w:rPr>
          <w:rFonts w:ascii="Arial" w:cs="Arial" w:eastAsia="Arial" w:hAnsi="Arial"/>
          <w:sz w:val="16"/>
          <w:szCs w:val="16"/>
          <w:b w:val="1"/>
          <w:bCs w:val="1"/>
          <w:color w:val="auto"/>
        </w:rPr>
        <w:t xml:space="preserve">Option Price. </w:t>
      </w:r>
      <w:r>
        <w:rPr>
          <w:rFonts w:ascii="Arial" w:cs="Arial" w:eastAsia="Arial" w:hAnsi="Arial"/>
          <w:sz w:val="16"/>
          <w:szCs w:val="16"/>
          <w:color w:val="auto"/>
        </w:rPr>
        <w:t>Except as otherwise specified in Section 4.5(a), the price at which Shares may be purchased under an Option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less 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53"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5.5</w:t>
      </w:r>
      <w:r>
        <w:rPr>
          <w:sz w:val="20"/>
          <w:szCs w:val="20"/>
          <w:color w:val="auto"/>
        </w:rPr>
        <w:tab/>
      </w:r>
      <w:r>
        <w:rPr>
          <w:rFonts w:ascii="Arial" w:cs="Arial" w:eastAsia="Arial" w:hAnsi="Arial"/>
          <w:sz w:val="16"/>
          <w:szCs w:val="16"/>
          <w:b w:val="1"/>
          <w:bCs w:val="1"/>
          <w:color w:val="auto"/>
        </w:rPr>
        <w:t xml:space="preserve">Duration of Option. </w:t>
      </w:r>
      <w:r>
        <w:rPr>
          <w:rFonts w:ascii="Arial" w:cs="Arial" w:eastAsia="Arial" w:hAnsi="Arial"/>
          <w:sz w:val="16"/>
          <w:szCs w:val="16"/>
          <w:color w:val="auto"/>
        </w:rPr>
        <w:t>An Option shall not be exercisable after the earlier of (a) the general term of the Option specified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5.6</w:t>
      </w:r>
      <w:r>
        <w:rPr>
          <w:sz w:val="20"/>
          <w:szCs w:val="20"/>
          <w:color w:val="auto"/>
        </w:rPr>
        <w:tab/>
      </w:r>
      <w:r>
        <w:rPr>
          <w:rFonts w:ascii="Arial" w:cs="Arial" w:eastAsia="Arial" w:hAnsi="Arial"/>
          <w:sz w:val="16"/>
          <w:szCs w:val="16"/>
          <w:b w:val="1"/>
          <w:bCs w:val="1"/>
          <w:color w:val="auto"/>
        </w:rPr>
        <w:t>Exercise of Option.</w:t>
      </w:r>
    </w:p>
    <w:p>
      <w:pPr>
        <w:spacing w:after="0" w:line="194" w:lineRule="exact"/>
        <w:rPr>
          <w:sz w:val="20"/>
          <w:szCs w:val="20"/>
          <w:color w:val="auto"/>
        </w:rPr>
      </w:pPr>
    </w:p>
    <w:p>
      <w:pPr>
        <w:ind w:left="980" w:right="20" w:hanging="324"/>
        <w:spacing w:after="0" w:line="253" w:lineRule="auto"/>
        <w:tabs>
          <w:tab w:leader="none" w:pos="980" w:val="left"/>
        </w:tabs>
        <w:numPr>
          <w:ilvl w:val="0"/>
          <w:numId w:val="121"/>
        </w:numPr>
        <w:rPr>
          <w:rFonts w:ascii="Arial" w:cs="Arial" w:eastAsia="Arial" w:hAnsi="Arial"/>
          <w:sz w:val="16"/>
          <w:szCs w:val="16"/>
          <w:color w:val="CE0D41"/>
        </w:rPr>
      </w:pPr>
      <w:r>
        <w:rPr>
          <w:rFonts w:ascii="Arial" w:cs="Arial" w:eastAsia="Arial" w:hAnsi="Arial"/>
          <w:sz w:val="16"/>
          <w:szCs w:val="16"/>
          <w:b w:val="1"/>
          <w:bCs w:val="1"/>
          <w:color w:val="auto"/>
        </w:rPr>
        <w:t xml:space="preserve">General Method of Exercise. </w:t>
      </w:r>
      <w:r>
        <w:rPr>
          <w:rFonts w:ascii="Arial" w:cs="Arial" w:eastAsia="Arial" w:hAnsi="Arial"/>
          <w:sz w:val="16"/>
          <w:szCs w:val="16"/>
          <w:color w:val="auto"/>
        </w:rPr>
        <w:t>Subject to the terms and provisions of the Plan and the applicable Award Agreement, Options may be exercised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6960"/>
        <w:spacing w:after="0"/>
        <w:tabs>
          <w:tab w:leader="none" w:pos="110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2" w:name="page113"/>
    <w:bookmarkEnd w:id="11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VI</w:t>
      </w:r>
    </w:p>
    <w:p>
      <w:pPr>
        <w:spacing w:after="0" w:line="245" w:lineRule="exact"/>
        <w:rPr>
          <w:sz w:val="20"/>
          <w:szCs w:val="20"/>
          <w:color w:val="auto"/>
        </w:rPr>
      </w:pPr>
    </w:p>
    <w:p>
      <w:pPr>
        <w:ind w:left="980"/>
        <w:spacing w:after="0" w:line="248" w:lineRule="auto"/>
        <w:rPr>
          <w:sz w:val="20"/>
          <w:szCs w:val="20"/>
          <w:color w:val="auto"/>
        </w:rPr>
      </w:pPr>
      <w:r>
        <w:rPr>
          <w:rFonts w:ascii="Arial" w:cs="Arial" w:eastAsia="Arial" w:hAnsi="Arial"/>
          <w:sz w:val="16"/>
          <w:szCs w:val="16"/>
          <w:color w:val="auto"/>
        </w:rPr>
        <w:t>(if approved in advance by the Committee or an executive officer of the Company) or (3) 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Tax-Related Items withholdings, if applicable) and any remaining balance of the aggregate Option Price (and/or applicable Tax-Related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60" w:lineRule="exact"/>
        <w:rPr>
          <w:sz w:val="20"/>
          <w:szCs w:val="20"/>
          <w:color w:val="auto"/>
        </w:rPr>
      </w:pPr>
    </w:p>
    <w:p>
      <w:pPr>
        <w:ind w:left="980" w:right="160" w:hanging="324"/>
        <w:spacing w:after="0" w:line="259" w:lineRule="auto"/>
        <w:tabs>
          <w:tab w:leader="none" w:pos="980" w:val="left"/>
        </w:tabs>
        <w:numPr>
          <w:ilvl w:val="0"/>
          <w:numId w:val="122"/>
        </w:numPr>
        <w:rPr>
          <w:rFonts w:ascii="Arial" w:cs="Arial" w:eastAsia="Arial" w:hAnsi="Arial"/>
          <w:sz w:val="16"/>
          <w:szCs w:val="16"/>
          <w:color w:val="CE0D41"/>
        </w:rPr>
      </w:pPr>
      <w:r>
        <w:rPr>
          <w:rFonts w:ascii="Arial" w:cs="Arial" w:eastAsia="Arial" w:hAnsi="Arial"/>
          <w:sz w:val="16"/>
          <w:szCs w:val="16"/>
          <w:b w:val="1"/>
          <w:bCs w:val="1"/>
          <w:color w:val="auto"/>
        </w:rPr>
        <w:t xml:space="preserve">Exercise Through Third-Party Broker. </w:t>
      </w:r>
      <w:r>
        <w:rPr>
          <w:rFonts w:ascii="Arial" w:cs="Arial" w:eastAsia="Arial" w:hAnsi="Arial"/>
          <w:sz w:val="16"/>
          <w:szCs w:val="16"/>
          <w:color w:val="auto"/>
        </w:rPr>
        <w:t>The Committee may permit or require a Holder to pay the Option Price and any applicable Tax-Related</w:t>
      </w:r>
      <w:r>
        <w:rPr>
          <w:rFonts w:ascii="Arial" w:cs="Arial" w:eastAsia="Arial" w:hAnsi="Arial"/>
          <w:sz w:val="16"/>
          <w:szCs w:val="16"/>
          <w:b w:val="1"/>
          <w:bCs w:val="1"/>
          <w:color w:val="auto"/>
        </w:rPr>
        <w:t xml:space="preserve"> </w:t>
      </w:r>
      <w:r>
        <w:rPr>
          <w:rFonts w:ascii="Arial" w:cs="Arial" w:eastAsia="Arial" w:hAnsi="Arial"/>
          <w:sz w:val="16"/>
          <w:szCs w:val="16"/>
          <w:color w:val="auto"/>
        </w:rPr>
        <w:t>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51" w:lineRule="exact"/>
        <w:rPr>
          <w:sz w:val="20"/>
          <w:szCs w:val="20"/>
          <w:color w:val="auto"/>
        </w:rPr>
      </w:pPr>
    </w:p>
    <w:p>
      <w:pPr>
        <w:jc w:val="both"/>
        <w:ind w:left="660" w:right="260" w:hanging="647"/>
        <w:spacing w:after="0" w:line="266" w:lineRule="auto"/>
        <w:tabs>
          <w:tab w:leader="none" w:pos="640" w:val="left"/>
        </w:tabs>
        <w:rPr>
          <w:sz w:val="20"/>
          <w:szCs w:val="20"/>
          <w:color w:val="auto"/>
        </w:rPr>
      </w:pPr>
      <w:r>
        <w:rPr>
          <w:rFonts w:ascii="Arial" w:cs="Arial" w:eastAsia="Arial" w:hAnsi="Arial"/>
          <w:sz w:val="16"/>
          <w:szCs w:val="16"/>
          <w:color w:val="CE0D41"/>
        </w:rPr>
        <w:t>5.7</w:t>
      </w:r>
      <w:r>
        <w:rPr>
          <w:sz w:val="20"/>
          <w:szCs w:val="20"/>
          <w:color w:val="auto"/>
        </w:rPr>
        <w:tab/>
      </w:r>
      <w:r>
        <w:rPr>
          <w:rFonts w:ascii="Arial" w:cs="Arial" w:eastAsia="Arial" w:hAnsi="Arial"/>
          <w:sz w:val="16"/>
          <w:szCs w:val="16"/>
          <w:b w:val="1"/>
          <w:bCs w:val="1"/>
          <w:color w:val="auto"/>
        </w:rPr>
        <w:t xml:space="preserve">Notification of Disqualifying Disposition. </w:t>
      </w:r>
      <w:r>
        <w:rPr>
          <w:rFonts w:ascii="Arial" w:cs="Arial" w:eastAsia="Arial" w:hAnsi="Arial"/>
          <w:sz w:val="16"/>
          <w:szCs w:val="16"/>
          <w:color w:val="auto"/>
        </w:rPr>
        <w:t>If any Holder shall make any disposition of Shares issued pursuant to the exercise of an ISO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described in section 421(b) of the Code (relating to certain disqualifying dispositions), such Holder shall notify the Company of such disposition within ten days thereof.</w:t>
      </w:r>
    </w:p>
    <w:p>
      <w:pPr>
        <w:spacing w:after="0" w:line="145"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Arial" w:cs="Arial" w:eastAsia="Arial" w:hAnsi="Arial"/>
          <w:sz w:val="16"/>
          <w:szCs w:val="16"/>
          <w:color w:val="CE0D41"/>
        </w:rPr>
        <w:t>5.8</w:t>
      </w:r>
      <w:r>
        <w:rPr>
          <w:sz w:val="20"/>
          <w:szCs w:val="20"/>
          <w:color w:val="auto"/>
        </w:rPr>
        <w:tab/>
      </w:r>
      <w:r>
        <w:rPr>
          <w:rFonts w:ascii="Arial" w:cs="Arial" w:eastAsia="Arial" w:hAnsi="Arial"/>
          <w:sz w:val="16"/>
          <w:szCs w:val="16"/>
          <w:b w:val="1"/>
          <w:bCs w:val="1"/>
          <w:color w:val="auto"/>
        </w:rPr>
        <w:t xml:space="preserve">No Rights as Shareholder. </w:t>
      </w:r>
      <w:r>
        <w:rPr>
          <w:rFonts w:ascii="Arial" w:cs="Arial" w:eastAsia="Arial" w:hAnsi="Arial"/>
          <w:sz w:val="16"/>
          <w:szCs w:val="16"/>
          <w:color w:val="auto"/>
        </w:rPr>
        <w:t>A Holder shall not have any rights as a shareholder with respect to Shares covered by an Option until the date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are issued by the Company; and, except as otherwise provided in Section 4.5(a), no adjustment for dividends, or otherwise, shall be made if the record date therefor is prior to the date of issuance of such Shares.</w:t>
      </w:r>
    </w:p>
    <w:p>
      <w:pPr>
        <w:spacing w:after="0" w:line="145" w:lineRule="exact"/>
        <w:rPr>
          <w:sz w:val="20"/>
          <w:szCs w:val="20"/>
          <w:color w:val="auto"/>
        </w:rPr>
      </w:pPr>
    </w:p>
    <w:p>
      <w:pPr>
        <w:ind w:left="660" w:right="80" w:hanging="647"/>
        <w:spacing w:after="0" w:line="253" w:lineRule="auto"/>
        <w:tabs>
          <w:tab w:leader="none" w:pos="640" w:val="left"/>
        </w:tabs>
        <w:rPr>
          <w:sz w:val="20"/>
          <w:szCs w:val="20"/>
          <w:color w:val="auto"/>
        </w:rPr>
      </w:pPr>
      <w:r>
        <w:rPr>
          <w:rFonts w:ascii="Arial" w:cs="Arial" w:eastAsia="Arial" w:hAnsi="Arial"/>
          <w:sz w:val="16"/>
          <w:szCs w:val="16"/>
          <w:color w:val="CE0D41"/>
        </w:rPr>
        <w:t>5.9</w:t>
      </w:r>
      <w:r>
        <w:rPr>
          <w:sz w:val="20"/>
          <w:szCs w:val="20"/>
          <w:color w:val="auto"/>
        </w:rPr>
        <w:tab/>
      </w:r>
      <w:r>
        <w:rPr>
          <w:rFonts w:ascii="Arial" w:cs="Arial" w:eastAsia="Arial" w:hAnsi="Arial"/>
          <w:sz w:val="16"/>
          <w:szCs w:val="16"/>
          <w:b w:val="1"/>
          <w:bCs w:val="1"/>
          <w:color w:val="auto"/>
        </w:rPr>
        <w:t xml:space="preserve">$100,000 Limitation on ISOs. </w:t>
      </w:r>
      <w:r>
        <w:rPr>
          <w:rFonts w:ascii="Arial" w:cs="Arial" w:eastAsia="Arial" w:hAnsi="Arial"/>
          <w:sz w:val="16"/>
          <w:szCs w:val="16"/>
          <w:color w:val="auto"/>
        </w:rPr>
        <w:t>To the extent that the aggregate Fair Market Value of Shares with respect to which ISOs first become exercisable by a</w:t>
      </w:r>
      <w:r>
        <w:rPr>
          <w:rFonts w:ascii="Arial" w:cs="Arial" w:eastAsia="Arial" w:hAnsi="Arial"/>
          <w:sz w:val="16"/>
          <w:szCs w:val="16"/>
          <w:b w:val="1"/>
          <w:bCs w:val="1"/>
          <w:color w:val="auto"/>
        </w:rPr>
        <w:t xml:space="preserve"> </w:t>
      </w:r>
      <w:r>
        <w:rPr>
          <w:rFonts w:ascii="Arial" w:cs="Arial" w:eastAsia="Arial" w:hAnsi="Arial"/>
          <w:sz w:val="16"/>
          <w:szCs w:val="16"/>
          <w:color w:val="auto"/>
        </w:rPr>
        <w:t>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SHARE APPRECIATION RIGHTS</w:t>
      </w:r>
    </w:p>
    <w:p>
      <w:pPr>
        <w:spacing w:after="0" w:line="35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6.1</w:t>
      </w:r>
      <w:r>
        <w:rPr>
          <w:sz w:val="20"/>
          <w:szCs w:val="20"/>
          <w:color w:val="auto"/>
        </w:rPr>
        <w:tab/>
      </w:r>
      <w:r>
        <w:rPr>
          <w:rFonts w:ascii="Arial" w:cs="Arial" w:eastAsia="Arial" w:hAnsi="Arial"/>
          <w:sz w:val="16"/>
          <w:szCs w:val="16"/>
          <w:b w:val="1"/>
          <w:bCs w:val="1"/>
          <w:color w:val="auto"/>
        </w:rPr>
        <w:t xml:space="preserve">Authority to Grant SAR Awards. </w:t>
      </w:r>
      <w:r>
        <w:rPr>
          <w:rFonts w:ascii="Arial" w:cs="Arial" w:eastAsia="Arial" w:hAnsi="Arial"/>
          <w:sz w:val="16"/>
          <w:szCs w:val="16"/>
          <w:color w:val="auto"/>
        </w:rPr>
        <w:t>Subject to the terms and provisions of the Plan, the Committee, at any time, and from time to time, may grant SARs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51" w:lineRule="exact"/>
        <w:rPr>
          <w:sz w:val="20"/>
          <w:szCs w:val="20"/>
          <w:color w:val="auto"/>
        </w:rPr>
      </w:pPr>
    </w:p>
    <w:p>
      <w:pPr>
        <w:ind w:left="660" w:right="100" w:hanging="647"/>
        <w:spacing w:after="0" w:line="266" w:lineRule="auto"/>
        <w:tabs>
          <w:tab w:leader="none" w:pos="640" w:val="left"/>
        </w:tabs>
        <w:rPr>
          <w:sz w:val="20"/>
          <w:szCs w:val="20"/>
          <w:color w:val="auto"/>
        </w:rPr>
      </w:pPr>
      <w:r>
        <w:rPr>
          <w:rFonts w:ascii="Arial" w:cs="Arial" w:eastAsia="Arial" w:hAnsi="Arial"/>
          <w:sz w:val="16"/>
          <w:szCs w:val="16"/>
          <w:color w:val="CE0D41"/>
        </w:rPr>
        <w:t>6.2</w:t>
      </w:r>
      <w:r>
        <w:rPr>
          <w:sz w:val="20"/>
          <w:szCs w:val="20"/>
          <w:color w:val="auto"/>
        </w:rPr>
        <w:tab/>
      </w:r>
      <w:r>
        <w:rPr>
          <w:rFonts w:ascii="Arial" w:cs="Arial" w:eastAsia="Arial" w:hAnsi="Arial"/>
          <w:sz w:val="16"/>
          <w:szCs w:val="16"/>
          <w:b w:val="1"/>
          <w:bCs w:val="1"/>
          <w:color w:val="auto"/>
        </w:rPr>
        <w:t xml:space="preserve">General Terms. </w:t>
      </w:r>
      <w:r>
        <w:rPr>
          <w:rFonts w:ascii="Arial" w:cs="Arial" w:eastAsia="Arial" w:hAnsi="Arial"/>
          <w:sz w:val="16"/>
          <w:szCs w:val="16"/>
          <w:color w:val="auto"/>
        </w:rPr>
        <w:t>Subject to the terms and conditions of the Plan, a SAR granted under the Plan shall confer on the recipient a right to receive,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thereof, 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6.3</w:t>
      </w:r>
      <w:r>
        <w:rPr>
          <w:sz w:val="20"/>
          <w:szCs w:val="20"/>
          <w:color w:val="auto"/>
        </w:rPr>
        <w:tab/>
      </w:r>
      <w:r>
        <w:rPr>
          <w:rFonts w:ascii="Arial" w:cs="Arial" w:eastAsia="Arial" w:hAnsi="Arial"/>
          <w:sz w:val="16"/>
          <w:szCs w:val="16"/>
          <w:b w:val="1"/>
          <w:bCs w:val="1"/>
          <w:color w:val="auto"/>
        </w:rPr>
        <w:t xml:space="preserve">SAR Agreement. </w:t>
      </w:r>
      <w:r>
        <w:rPr>
          <w:rFonts w:ascii="Arial" w:cs="Arial" w:eastAsia="Arial" w:hAnsi="Arial"/>
          <w:sz w:val="16"/>
          <w:szCs w:val="16"/>
          <w:color w:val="auto"/>
        </w:rPr>
        <w:t>Each Award of SARs granted under the Plan shall be evidenced by an Award Agreement that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A-16</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VII</w:t>
      </w:r>
    </w:p>
    <w:p>
      <w:pPr>
        <w:spacing w:after="0" w:line="339"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specify (a) the grant price of the SAR, (b) 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54"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6"/>
          <w:szCs w:val="16"/>
          <w:color w:val="CE0D41"/>
        </w:rPr>
        <w:t>6.4</w:t>
      </w:r>
      <w:r>
        <w:rPr>
          <w:sz w:val="20"/>
          <w:szCs w:val="20"/>
          <w:color w:val="auto"/>
        </w:rPr>
        <w:tab/>
      </w:r>
      <w:r>
        <w:rPr>
          <w:rFonts w:ascii="Arial" w:cs="Arial" w:eastAsia="Arial" w:hAnsi="Arial"/>
          <w:sz w:val="16"/>
          <w:szCs w:val="16"/>
          <w:b w:val="1"/>
          <w:bCs w:val="1"/>
          <w:color w:val="auto"/>
        </w:rPr>
        <w:t xml:space="preserve">Term of SAR. </w:t>
      </w:r>
      <w:r>
        <w:rPr>
          <w:rFonts w:ascii="Arial" w:cs="Arial" w:eastAsia="Arial" w:hAnsi="Arial"/>
          <w:sz w:val="16"/>
          <w:szCs w:val="16"/>
          <w:color w:val="auto"/>
        </w:rPr>
        <w:t>The term of a SAR granted under the Plan shall be determined by the Committee, in its sole discretion; provided that no SAR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on or after the tenth anniversary date of its grant.</w:t>
      </w:r>
    </w:p>
    <w:p>
      <w:pPr>
        <w:spacing w:after="0" w:line="129" w:lineRule="exact"/>
        <w:rPr>
          <w:sz w:val="20"/>
          <w:szCs w:val="20"/>
          <w:color w:val="auto"/>
        </w:rPr>
      </w:pPr>
    </w:p>
    <w:p>
      <w:pPr>
        <w:ind w:left="660" w:right="220" w:hanging="647"/>
        <w:spacing w:after="0" w:line="266" w:lineRule="auto"/>
        <w:tabs>
          <w:tab w:leader="none" w:pos="640" w:val="left"/>
        </w:tabs>
        <w:rPr>
          <w:sz w:val="20"/>
          <w:szCs w:val="20"/>
          <w:color w:val="auto"/>
        </w:rPr>
      </w:pPr>
      <w:r>
        <w:rPr>
          <w:rFonts w:ascii="Arial" w:cs="Arial" w:eastAsia="Arial" w:hAnsi="Arial"/>
          <w:sz w:val="16"/>
          <w:szCs w:val="16"/>
          <w:color w:val="CE0D41"/>
        </w:rPr>
        <w:t>6.5</w:t>
      </w:r>
      <w:r>
        <w:rPr>
          <w:sz w:val="20"/>
          <w:szCs w:val="20"/>
          <w:color w:val="auto"/>
        </w:rPr>
        <w:tab/>
      </w:r>
      <w:r>
        <w:rPr>
          <w:rFonts w:ascii="Arial" w:cs="Arial" w:eastAsia="Arial" w:hAnsi="Arial"/>
          <w:sz w:val="16"/>
          <w:szCs w:val="16"/>
          <w:b w:val="1"/>
          <w:bCs w:val="1"/>
          <w:color w:val="auto"/>
        </w:rPr>
        <w:t xml:space="preserve">Exercise of SAR. </w:t>
      </w:r>
      <w:r>
        <w:rPr>
          <w:rFonts w:ascii="Arial" w:cs="Arial" w:eastAsia="Arial" w:hAnsi="Arial"/>
          <w:sz w:val="16"/>
          <w:szCs w:val="16"/>
          <w:color w:val="auto"/>
        </w:rPr>
        <w:t>A SAR may be exercised upon whatever terms and conditions the Committee, in its sole discretion, imposes, 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45" w:lineRule="exact"/>
        <w:rPr>
          <w:sz w:val="20"/>
          <w:szCs w:val="20"/>
          <w:color w:val="auto"/>
        </w:rPr>
      </w:pPr>
    </w:p>
    <w:p>
      <w:pPr>
        <w:ind w:left="660" w:right="20" w:hanging="647"/>
        <w:spacing w:after="0" w:line="256" w:lineRule="auto"/>
        <w:tabs>
          <w:tab w:leader="none" w:pos="640" w:val="left"/>
        </w:tabs>
        <w:rPr>
          <w:sz w:val="20"/>
          <w:szCs w:val="20"/>
          <w:color w:val="auto"/>
        </w:rPr>
      </w:pPr>
      <w:r>
        <w:rPr>
          <w:rFonts w:ascii="Arial" w:cs="Arial" w:eastAsia="Arial" w:hAnsi="Arial"/>
          <w:sz w:val="16"/>
          <w:szCs w:val="16"/>
          <w:color w:val="CE0D41"/>
        </w:rPr>
        <w:t>6.6</w:t>
      </w:r>
      <w:r>
        <w:rPr>
          <w:sz w:val="20"/>
          <w:szCs w:val="20"/>
          <w:color w:val="auto"/>
        </w:rPr>
        <w:tab/>
      </w:r>
      <w:r>
        <w:rPr>
          <w:rFonts w:ascii="Arial" w:cs="Arial" w:eastAsia="Arial" w:hAnsi="Arial"/>
          <w:sz w:val="16"/>
          <w:szCs w:val="16"/>
          <w:b w:val="1"/>
          <w:bCs w:val="1"/>
          <w:color w:val="auto"/>
        </w:rPr>
        <w:t xml:space="preserve">Payment of SAR Amount. </w:t>
      </w:r>
      <w:r>
        <w:rPr>
          <w:rFonts w:ascii="Arial" w:cs="Arial" w:eastAsia="Arial" w:hAnsi="Arial"/>
          <w:sz w:val="16"/>
          <w:szCs w:val="16"/>
          <w:color w:val="auto"/>
        </w:rPr>
        <w:t>Upon the exercise of a SAR, a Holder shall be entitled to receive payment from the Company in an amount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53"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6.7</w:t>
      </w:r>
      <w:r>
        <w:rPr>
          <w:sz w:val="20"/>
          <w:szCs w:val="20"/>
          <w:color w:val="auto"/>
        </w:rPr>
        <w:tab/>
      </w: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Each Award Agreement shall set forth the extent to which the Holder of a SAR shall have the right to exercise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RESTRICTED SHARE AWARDS</w:t>
      </w:r>
    </w:p>
    <w:p>
      <w:pPr>
        <w:spacing w:after="0" w:line="351" w:lineRule="exact"/>
        <w:rPr>
          <w:sz w:val="20"/>
          <w:szCs w:val="20"/>
          <w:color w:val="auto"/>
        </w:rPr>
      </w:pPr>
    </w:p>
    <w:p>
      <w:pPr>
        <w:ind w:left="660" w:right="80" w:hanging="647"/>
        <w:spacing w:after="0" w:line="253" w:lineRule="auto"/>
        <w:tabs>
          <w:tab w:leader="none" w:pos="640" w:val="left"/>
        </w:tabs>
        <w:rPr>
          <w:sz w:val="20"/>
          <w:szCs w:val="20"/>
          <w:color w:val="auto"/>
        </w:rPr>
      </w:pPr>
      <w:r>
        <w:rPr>
          <w:rFonts w:ascii="Arial" w:cs="Arial" w:eastAsia="Arial" w:hAnsi="Arial"/>
          <w:sz w:val="16"/>
          <w:szCs w:val="16"/>
          <w:color w:val="CE0D41"/>
        </w:rPr>
        <w:t>7.1</w:t>
      </w:r>
      <w:r>
        <w:rPr>
          <w:sz w:val="20"/>
          <w:szCs w:val="20"/>
          <w:color w:val="auto"/>
        </w:rPr>
        <w:tab/>
      </w:r>
      <w:r>
        <w:rPr>
          <w:rFonts w:ascii="Arial" w:cs="Arial" w:eastAsia="Arial" w:hAnsi="Arial"/>
          <w:sz w:val="16"/>
          <w:szCs w:val="16"/>
          <w:b w:val="1"/>
          <w:bCs w:val="1"/>
          <w:color w:val="auto"/>
        </w:rPr>
        <w:t xml:space="preserve">Restricted Share Awards. </w:t>
      </w:r>
      <w:r>
        <w:rPr>
          <w:rFonts w:ascii="Arial" w:cs="Arial" w:eastAsia="Arial" w:hAnsi="Arial"/>
          <w:sz w:val="16"/>
          <w:szCs w:val="16"/>
          <w:color w:val="auto"/>
        </w:rPr>
        <w:t>The Committee may make Awards of Restricted Shares to eligible persons selected by it. The amount of, the vesting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5" w:lineRule="exact"/>
        <w:rPr>
          <w:sz w:val="20"/>
          <w:szCs w:val="20"/>
          <w:color w:val="auto"/>
        </w:rPr>
      </w:pPr>
    </w:p>
    <w:p>
      <w:pPr>
        <w:ind w:left="660" w:right="800" w:hanging="647"/>
        <w:spacing w:after="0" w:line="286" w:lineRule="auto"/>
        <w:tabs>
          <w:tab w:leader="none" w:pos="640" w:val="left"/>
        </w:tabs>
        <w:rPr>
          <w:sz w:val="20"/>
          <w:szCs w:val="20"/>
          <w:color w:val="auto"/>
        </w:rPr>
      </w:pPr>
      <w:r>
        <w:rPr>
          <w:rFonts w:ascii="Arial" w:cs="Arial" w:eastAsia="Arial" w:hAnsi="Arial"/>
          <w:sz w:val="16"/>
          <w:szCs w:val="16"/>
          <w:color w:val="CE0D41"/>
        </w:rPr>
        <w:t>7.2</w:t>
      </w:r>
      <w:r>
        <w:rPr>
          <w:sz w:val="20"/>
          <w:szCs w:val="20"/>
          <w:color w:val="auto"/>
        </w:rPr>
        <w:tab/>
      </w:r>
      <w:r>
        <w:rPr>
          <w:rFonts w:ascii="Arial" w:cs="Arial" w:eastAsia="Arial" w:hAnsi="Arial"/>
          <w:sz w:val="16"/>
          <w:szCs w:val="16"/>
          <w:b w:val="1"/>
          <w:bCs w:val="1"/>
          <w:color w:val="auto"/>
        </w:rPr>
        <w:t xml:space="preserve">Restricted Share Award Agreement. </w:t>
      </w:r>
      <w:r>
        <w:rPr>
          <w:rFonts w:ascii="Arial" w:cs="Arial" w:eastAsia="Arial" w:hAnsi="Arial"/>
          <w:sz w:val="16"/>
          <w:szCs w:val="16"/>
          <w:color w:val="auto"/>
        </w:rPr>
        <w:t>Each Restricted Share Award shall be evidenced by an Award Agreement that contains any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transferability restrictions and other provisions as the Committee may specify.</w:t>
      </w:r>
    </w:p>
    <w:p>
      <w:pPr>
        <w:spacing w:after="0" w:line="129" w:lineRule="exact"/>
        <w:rPr>
          <w:sz w:val="20"/>
          <w:szCs w:val="20"/>
          <w:color w:val="auto"/>
        </w:rPr>
      </w:pPr>
    </w:p>
    <w:p>
      <w:pPr>
        <w:ind w:left="660" w:right="20" w:hanging="647"/>
        <w:spacing w:after="0" w:line="254" w:lineRule="auto"/>
        <w:tabs>
          <w:tab w:leader="none" w:pos="640" w:val="left"/>
        </w:tabs>
        <w:rPr>
          <w:sz w:val="20"/>
          <w:szCs w:val="20"/>
          <w:color w:val="auto"/>
        </w:rPr>
      </w:pPr>
      <w:r>
        <w:rPr>
          <w:rFonts w:ascii="Arial" w:cs="Arial" w:eastAsia="Arial" w:hAnsi="Arial"/>
          <w:sz w:val="16"/>
          <w:szCs w:val="16"/>
          <w:color w:val="CE0D41"/>
        </w:rPr>
        <w:t>7.3</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At the time of the grant of Restricted Share Award, the Committee shall determine the price, if any, to be paid by the Holder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Share subject 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jc w:val="both"/>
        <w:ind w:left="660" w:right="60" w:hanging="647"/>
        <w:spacing w:after="0" w:line="259" w:lineRule="auto"/>
        <w:tabs>
          <w:tab w:leader="none" w:pos="640" w:val="left"/>
        </w:tabs>
        <w:rPr>
          <w:sz w:val="20"/>
          <w:szCs w:val="20"/>
          <w:color w:val="auto"/>
        </w:rPr>
      </w:pPr>
      <w:r>
        <w:rPr>
          <w:rFonts w:ascii="Arial" w:cs="Arial" w:eastAsia="Arial" w:hAnsi="Arial"/>
          <w:sz w:val="16"/>
          <w:szCs w:val="16"/>
          <w:color w:val="CE0D41"/>
        </w:rPr>
        <w:t>7.4</w:t>
      </w:r>
      <w:r>
        <w:rPr>
          <w:sz w:val="20"/>
          <w:szCs w:val="20"/>
          <w:color w:val="auto"/>
        </w:rPr>
        <w:tab/>
      </w:r>
      <w:r>
        <w:rPr>
          <w:rFonts w:ascii="Arial" w:cs="Arial" w:eastAsia="Arial" w:hAnsi="Arial"/>
          <w:sz w:val="16"/>
          <w:szCs w:val="16"/>
          <w:b w:val="1"/>
          <w:bCs w:val="1"/>
          <w:color w:val="auto"/>
        </w:rPr>
        <w:t xml:space="preserve">Holder’s Rights as Shareholder. </w:t>
      </w:r>
      <w:r>
        <w:rPr>
          <w:rFonts w:ascii="Arial" w:cs="Arial" w:eastAsia="Arial" w:hAnsi="Arial"/>
          <w:sz w:val="16"/>
          <w:szCs w:val="16"/>
          <w:color w:val="auto"/>
        </w:rPr>
        <w:t>Subject to the terms and conditions of the Plan, each recipient of a Restricted Share Award shall have all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of a 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4" w:name="page115"/>
    <w:bookmarkEnd w:id="11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VIII</w:t>
      </w:r>
    </w:p>
    <w:p>
      <w:pPr>
        <w:spacing w:after="0" w:line="245"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62" w:lineRule="exact"/>
        <w:rPr>
          <w:sz w:val="20"/>
          <w:szCs w:val="20"/>
          <w:color w:val="auto"/>
        </w:rPr>
      </w:pPr>
    </w:p>
    <w:p>
      <w:pPr>
        <w:ind w:left="660" w:right="20" w:hanging="647"/>
        <w:spacing w:after="0" w:line="250" w:lineRule="auto"/>
        <w:tabs>
          <w:tab w:leader="none" w:pos="640" w:val="left"/>
        </w:tabs>
        <w:rPr>
          <w:sz w:val="20"/>
          <w:szCs w:val="20"/>
          <w:color w:val="auto"/>
        </w:rPr>
      </w:pPr>
      <w:r>
        <w:rPr>
          <w:rFonts w:ascii="Arial" w:cs="Arial" w:eastAsia="Arial" w:hAnsi="Arial"/>
          <w:sz w:val="16"/>
          <w:szCs w:val="16"/>
          <w:color w:val="CE0D41"/>
        </w:rPr>
        <w:t>7.5</w:t>
      </w:r>
      <w:r>
        <w:rPr>
          <w:sz w:val="20"/>
          <w:szCs w:val="20"/>
          <w:color w:val="auto"/>
        </w:rPr>
        <w:tab/>
      </w: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Any Restricted Share Award granted under the Plan shall have a minimum vesting period (which may vest in ratable</w:t>
      </w:r>
      <w:r>
        <w:rPr>
          <w:rFonts w:ascii="Arial" w:cs="Arial" w:eastAsia="Arial" w:hAnsi="Arial"/>
          <w:sz w:val="16"/>
          <w:szCs w:val="16"/>
          <w:b w:val="1"/>
          <w:bCs w:val="1"/>
          <w:color w:val="auto"/>
        </w:rPr>
        <w:t xml:space="preserve"> </w:t>
      </w:r>
      <w:r>
        <w:rPr>
          <w:rFonts w:ascii="Arial" w:cs="Arial" w:eastAsia="Arial" w:hAnsi="Arial"/>
          <w:sz w:val="16"/>
          <w:szCs w:val="16"/>
          <w:color w:val="auto"/>
        </w:rPr>
        <w:t>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RESTRICTED SHARE UNIT AWARDS</w:t>
      </w:r>
    </w:p>
    <w:p>
      <w:pPr>
        <w:spacing w:after="0" w:line="351" w:lineRule="exact"/>
        <w:rPr>
          <w:sz w:val="20"/>
          <w:szCs w:val="20"/>
          <w:color w:val="auto"/>
        </w:rPr>
      </w:pPr>
    </w:p>
    <w:p>
      <w:pPr>
        <w:ind w:left="660" w:right="60" w:hanging="647"/>
        <w:spacing w:after="0" w:line="259" w:lineRule="auto"/>
        <w:tabs>
          <w:tab w:leader="none" w:pos="640" w:val="left"/>
        </w:tabs>
        <w:rPr>
          <w:sz w:val="20"/>
          <w:szCs w:val="20"/>
          <w:color w:val="auto"/>
        </w:rPr>
      </w:pPr>
      <w:r>
        <w:rPr>
          <w:rFonts w:ascii="Arial" w:cs="Arial" w:eastAsia="Arial" w:hAnsi="Arial"/>
          <w:sz w:val="16"/>
          <w:szCs w:val="16"/>
          <w:color w:val="CE0D41"/>
        </w:rPr>
        <w:t>8.1</w:t>
      </w:r>
      <w:r>
        <w:rPr>
          <w:sz w:val="20"/>
          <w:szCs w:val="20"/>
          <w:color w:val="auto"/>
        </w:rPr>
        <w:tab/>
      </w:r>
      <w:r>
        <w:rPr>
          <w:rFonts w:ascii="Arial" w:cs="Arial" w:eastAsia="Arial" w:hAnsi="Arial"/>
          <w:sz w:val="16"/>
          <w:szCs w:val="16"/>
          <w:b w:val="1"/>
          <w:bCs w:val="1"/>
          <w:color w:val="auto"/>
        </w:rPr>
        <w:t xml:space="preserve">Authority to Grant RSU Awards. </w:t>
      </w:r>
      <w:r>
        <w:rPr>
          <w:rFonts w:ascii="Arial" w:cs="Arial" w:eastAsia="Arial" w:hAnsi="Arial"/>
          <w:sz w:val="16"/>
          <w:szCs w:val="16"/>
          <w:color w:val="auto"/>
        </w:rPr>
        <w:t>Subject to the terms and provisions of the Plan, the Committee, at any time, and from time to time, may grant RSU</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51" w:lineRule="exact"/>
        <w:rPr>
          <w:sz w:val="20"/>
          <w:szCs w:val="20"/>
          <w:color w:val="auto"/>
        </w:rPr>
      </w:pPr>
    </w:p>
    <w:p>
      <w:pPr>
        <w:ind w:left="660" w:right="340" w:hanging="647"/>
        <w:spacing w:after="0" w:line="286" w:lineRule="auto"/>
        <w:tabs>
          <w:tab w:leader="none" w:pos="640" w:val="left"/>
        </w:tabs>
        <w:rPr>
          <w:sz w:val="20"/>
          <w:szCs w:val="20"/>
          <w:color w:val="auto"/>
        </w:rPr>
      </w:pPr>
      <w:r>
        <w:rPr>
          <w:rFonts w:ascii="Arial" w:cs="Arial" w:eastAsia="Arial" w:hAnsi="Arial"/>
          <w:sz w:val="16"/>
          <w:szCs w:val="16"/>
          <w:color w:val="CE0D41"/>
        </w:rPr>
        <w:t>8.2</w:t>
      </w:r>
      <w:r>
        <w:rPr>
          <w:sz w:val="20"/>
          <w:szCs w:val="20"/>
          <w:color w:val="auto"/>
        </w:rPr>
        <w:tab/>
      </w:r>
      <w:r>
        <w:rPr>
          <w:rFonts w:ascii="Arial" w:cs="Arial" w:eastAsia="Arial" w:hAnsi="Arial"/>
          <w:sz w:val="16"/>
          <w:szCs w:val="16"/>
          <w:b w:val="1"/>
          <w:bCs w:val="1"/>
          <w:color w:val="auto"/>
        </w:rPr>
        <w:t xml:space="preserve">RSU Award. </w:t>
      </w:r>
      <w:r>
        <w:rPr>
          <w:rFonts w:ascii="Arial" w:cs="Arial" w:eastAsia="Arial" w:hAnsi="Arial"/>
          <w:sz w:val="16"/>
          <w:szCs w:val="16"/>
          <w:color w:val="auto"/>
        </w:rPr>
        <w:t>An RSU Award shall be similar in nature to a Restricted Share Award except that no Shares are actually issued or transferred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until a later date specified in the applicable Award Agreement. Each RSU shall have a value equal to the Fair Market Value of a Share.</w:t>
      </w:r>
    </w:p>
    <w:p>
      <w:pPr>
        <w:spacing w:after="0" w:line="129"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16"/>
          <w:szCs w:val="16"/>
          <w:color w:val="CE0D41"/>
        </w:rPr>
        <w:t>8.3</w:t>
      </w:r>
      <w:r>
        <w:rPr>
          <w:sz w:val="20"/>
          <w:szCs w:val="20"/>
          <w:color w:val="auto"/>
        </w:rPr>
        <w:tab/>
      </w:r>
      <w:r>
        <w:rPr>
          <w:rFonts w:ascii="Arial" w:cs="Arial" w:eastAsia="Arial" w:hAnsi="Arial"/>
          <w:sz w:val="16"/>
          <w:szCs w:val="16"/>
          <w:b w:val="1"/>
          <w:bCs w:val="1"/>
          <w:color w:val="auto"/>
        </w:rPr>
        <w:t xml:space="preserve">RSU Award Agreement. </w:t>
      </w:r>
      <w:r>
        <w:rPr>
          <w:rFonts w:ascii="Arial" w:cs="Arial" w:eastAsia="Arial" w:hAnsi="Arial"/>
          <w:sz w:val="16"/>
          <w:szCs w:val="16"/>
          <w:color w:val="auto"/>
        </w:rPr>
        <w:t>Each RSU Award shall be evidenced by an Award Agreement that contains any Substantial Risk of Forfeiture, 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form and time of payment provisions and other provisions not inconsistent with the Plan as the Committee may specify.</w:t>
      </w:r>
    </w:p>
    <w:p>
      <w:pPr>
        <w:spacing w:after="0" w:line="129" w:lineRule="exact"/>
        <w:rPr>
          <w:sz w:val="20"/>
          <w:szCs w:val="20"/>
          <w:color w:val="auto"/>
        </w:rPr>
      </w:pPr>
    </w:p>
    <w:p>
      <w:pPr>
        <w:ind w:left="660" w:right="40" w:hanging="647"/>
        <w:spacing w:after="0" w:line="254" w:lineRule="auto"/>
        <w:tabs>
          <w:tab w:leader="none" w:pos="640" w:val="left"/>
        </w:tabs>
        <w:rPr>
          <w:sz w:val="20"/>
          <w:szCs w:val="20"/>
          <w:color w:val="auto"/>
        </w:rPr>
      </w:pPr>
      <w:r>
        <w:rPr>
          <w:rFonts w:ascii="Arial" w:cs="Arial" w:eastAsia="Arial" w:hAnsi="Arial"/>
          <w:sz w:val="16"/>
          <w:szCs w:val="16"/>
          <w:color w:val="CE0D41"/>
        </w:rPr>
        <w:t>8.4</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At the time of the grant of each RSU Award, the Committee shall determine the price, if any, to be paid by the Holder for each Share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Arial" w:cs="Arial" w:eastAsia="Arial" w:hAnsi="Arial"/>
          <w:sz w:val="16"/>
          <w:szCs w:val="16"/>
          <w:color w:val="CE0D41"/>
        </w:rPr>
        <w:t>8.5</w:t>
      </w:r>
      <w:r>
        <w:rPr>
          <w:sz w:val="20"/>
          <w:szCs w:val="20"/>
          <w:color w:val="auto"/>
        </w:rPr>
        <w:tab/>
      </w: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An Award Agreement for an RSU Award may specify that the Holder shall be entitled to receive, currently or on a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basis, a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A-18</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IX</w:t>
      </w:r>
    </w:p>
    <w:p>
      <w:pPr>
        <w:spacing w:after="0" w:line="339"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60" w:lineRule="exact"/>
        <w:rPr>
          <w:sz w:val="20"/>
          <w:szCs w:val="20"/>
          <w:color w:val="auto"/>
        </w:rPr>
      </w:pPr>
    </w:p>
    <w:p>
      <w:pPr>
        <w:ind w:left="660" w:right="620" w:hanging="647"/>
        <w:spacing w:after="0" w:line="286" w:lineRule="auto"/>
        <w:tabs>
          <w:tab w:leader="none" w:pos="640" w:val="left"/>
        </w:tabs>
        <w:rPr>
          <w:sz w:val="20"/>
          <w:szCs w:val="20"/>
          <w:color w:val="auto"/>
        </w:rPr>
      </w:pPr>
      <w:r>
        <w:rPr>
          <w:rFonts w:ascii="Arial" w:cs="Arial" w:eastAsia="Arial" w:hAnsi="Arial"/>
          <w:sz w:val="16"/>
          <w:szCs w:val="16"/>
          <w:color w:val="CE0D41"/>
        </w:rPr>
        <w:t>8.6</w:t>
      </w:r>
      <w:r>
        <w:rPr>
          <w:sz w:val="20"/>
          <w:szCs w:val="20"/>
          <w:color w:val="auto"/>
        </w:rPr>
        <w:tab/>
      </w:r>
      <w:r>
        <w:rPr>
          <w:rFonts w:ascii="Arial" w:cs="Arial" w:eastAsia="Arial" w:hAnsi="Arial"/>
          <w:sz w:val="16"/>
          <w:szCs w:val="16"/>
          <w:b w:val="1"/>
          <w:bCs w:val="1"/>
          <w:color w:val="auto"/>
        </w:rPr>
        <w:t xml:space="preserve">Form of Payment Under RSU Award. </w:t>
      </w:r>
      <w:r>
        <w:rPr>
          <w:rFonts w:ascii="Arial" w:cs="Arial" w:eastAsia="Arial" w:hAnsi="Arial"/>
          <w:sz w:val="16"/>
          <w:szCs w:val="16"/>
          <w:color w:val="auto"/>
        </w:rPr>
        <w:t>Payment under an RSU Award shall be made in either cash or Shares, or any combination thereof, as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the applicable Award Agreement.</w:t>
      </w:r>
    </w:p>
    <w:p>
      <w:pPr>
        <w:spacing w:after="0" w:line="129"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6"/>
          <w:szCs w:val="16"/>
          <w:color w:val="CE0D41"/>
        </w:rPr>
        <w:t>8.7</w:t>
      </w:r>
      <w:r>
        <w:rPr>
          <w:sz w:val="20"/>
          <w:szCs w:val="20"/>
          <w:color w:val="auto"/>
        </w:rPr>
        <w:tab/>
      </w:r>
      <w:r>
        <w:rPr>
          <w:rFonts w:ascii="Arial" w:cs="Arial" w:eastAsia="Arial" w:hAnsi="Arial"/>
          <w:sz w:val="16"/>
          <w:szCs w:val="16"/>
          <w:b w:val="1"/>
          <w:bCs w:val="1"/>
          <w:color w:val="auto"/>
        </w:rPr>
        <w:t xml:space="preserve">Time of Payment Under RSU Award. </w:t>
      </w:r>
      <w:r>
        <w:rPr>
          <w:rFonts w:ascii="Arial" w:cs="Arial" w:eastAsia="Arial" w:hAnsi="Arial"/>
          <w:sz w:val="16"/>
          <w:szCs w:val="16"/>
          <w:color w:val="auto"/>
        </w:rPr>
        <w:t>A Holder’s payment under an RSU Award shall be made at such time as is specified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51" w:lineRule="exact"/>
        <w:rPr>
          <w:sz w:val="20"/>
          <w:szCs w:val="20"/>
          <w:color w:val="auto"/>
        </w:rPr>
      </w:pPr>
    </w:p>
    <w:p>
      <w:pPr>
        <w:ind w:left="660" w:right="220" w:hanging="647"/>
        <w:spacing w:after="0" w:line="286" w:lineRule="auto"/>
        <w:tabs>
          <w:tab w:leader="none" w:pos="640" w:val="left"/>
        </w:tabs>
        <w:rPr>
          <w:sz w:val="20"/>
          <w:szCs w:val="20"/>
          <w:color w:val="auto"/>
        </w:rPr>
      </w:pPr>
      <w:r>
        <w:rPr>
          <w:rFonts w:ascii="Arial" w:cs="Arial" w:eastAsia="Arial" w:hAnsi="Arial"/>
          <w:sz w:val="16"/>
          <w:szCs w:val="16"/>
          <w:color w:val="CE0D41"/>
        </w:rPr>
        <w:t>8.8</w:t>
      </w:r>
      <w:r>
        <w:rPr>
          <w:sz w:val="20"/>
          <w:szCs w:val="20"/>
          <w:color w:val="auto"/>
        </w:rPr>
        <w:tab/>
      </w:r>
      <w:r>
        <w:rPr>
          <w:rFonts w:ascii="Arial" w:cs="Arial" w:eastAsia="Arial" w:hAnsi="Arial"/>
          <w:sz w:val="16"/>
          <w:szCs w:val="16"/>
          <w:b w:val="1"/>
          <w:bCs w:val="1"/>
          <w:color w:val="auto"/>
        </w:rPr>
        <w:t xml:space="preserve">No Rights as Shareholder. </w:t>
      </w:r>
      <w:r>
        <w:rPr>
          <w:rFonts w:ascii="Arial" w:cs="Arial" w:eastAsia="Arial" w:hAnsi="Arial"/>
          <w:sz w:val="16"/>
          <w:szCs w:val="16"/>
          <w:color w:val="auto"/>
        </w:rPr>
        <w:t>Each recipient of a RSU Award shall have no rights of a shareholder with respect to any Shares underlying such RSUs</w:t>
      </w:r>
      <w:r>
        <w:rPr>
          <w:rFonts w:ascii="Arial" w:cs="Arial" w:eastAsia="Arial" w:hAnsi="Arial"/>
          <w:sz w:val="16"/>
          <w:szCs w:val="16"/>
          <w:b w:val="1"/>
          <w:bCs w:val="1"/>
          <w:color w:val="auto"/>
        </w:rPr>
        <w:t xml:space="preserve"> </w:t>
      </w:r>
      <w:r>
        <w:rPr>
          <w:rFonts w:ascii="Arial" w:cs="Arial" w:eastAsia="Arial" w:hAnsi="Arial"/>
          <w:sz w:val="16"/>
          <w:szCs w:val="16"/>
          <w:color w:val="auto"/>
        </w:rPr>
        <w:t>until such date as the underlying Shares are issued.</w:t>
      </w:r>
    </w:p>
    <w:p>
      <w:pPr>
        <w:spacing w:after="0" w:line="129" w:lineRule="exact"/>
        <w:rPr>
          <w:sz w:val="20"/>
          <w:szCs w:val="20"/>
          <w:color w:val="auto"/>
        </w:rPr>
      </w:pPr>
    </w:p>
    <w:p>
      <w:pPr>
        <w:ind w:left="660" w:right="40" w:hanging="647"/>
        <w:spacing w:after="0" w:line="250" w:lineRule="auto"/>
        <w:tabs>
          <w:tab w:leader="none" w:pos="640" w:val="left"/>
        </w:tabs>
        <w:rPr>
          <w:sz w:val="20"/>
          <w:szCs w:val="20"/>
          <w:color w:val="auto"/>
        </w:rPr>
      </w:pPr>
      <w:r>
        <w:rPr>
          <w:rFonts w:ascii="Arial" w:cs="Arial" w:eastAsia="Arial" w:hAnsi="Arial"/>
          <w:sz w:val="16"/>
          <w:szCs w:val="16"/>
          <w:color w:val="CE0D41"/>
        </w:rPr>
        <w:t>8.9</w:t>
      </w:r>
      <w:r>
        <w:rPr>
          <w:sz w:val="20"/>
          <w:szCs w:val="20"/>
          <w:color w:val="auto"/>
        </w:rPr>
        <w:tab/>
      </w: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Any RSU Award granted under the Plan shall have a minimum vesting period (which may vest in ratable increments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3320"/>
        <w:spacing w:after="0" w:line="281" w:lineRule="auto"/>
        <w:rPr>
          <w:sz w:val="20"/>
          <w:szCs w:val="20"/>
          <w:color w:val="auto"/>
        </w:rPr>
      </w:pPr>
      <w:r>
        <w:rPr>
          <w:rFonts w:ascii="Arial" w:cs="Arial" w:eastAsia="Arial" w:hAnsi="Arial"/>
          <w:sz w:val="43"/>
          <w:szCs w:val="43"/>
          <w:b w:val="1"/>
          <w:bCs w:val="1"/>
          <w:color w:val="818284"/>
        </w:rPr>
        <w:t>PERFORMANCE SHARE AWARDS AND PERFORMANCE UNIT AWARDS</w:t>
      </w:r>
    </w:p>
    <w:p>
      <w:pPr>
        <w:spacing w:after="0" w:line="187" w:lineRule="exact"/>
        <w:rPr>
          <w:sz w:val="20"/>
          <w:szCs w:val="20"/>
          <w:color w:val="auto"/>
        </w:rPr>
      </w:pPr>
    </w:p>
    <w:p>
      <w:pPr>
        <w:ind w:left="660" w:right="40" w:hanging="647"/>
        <w:spacing w:after="0" w:line="253" w:lineRule="auto"/>
        <w:tabs>
          <w:tab w:leader="none" w:pos="640" w:val="left"/>
        </w:tabs>
        <w:rPr>
          <w:sz w:val="20"/>
          <w:szCs w:val="20"/>
          <w:color w:val="auto"/>
        </w:rPr>
      </w:pPr>
      <w:r>
        <w:rPr>
          <w:rFonts w:ascii="Arial" w:cs="Arial" w:eastAsia="Arial" w:hAnsi="Arial"/>
          <w:sz w:val="16"/>
          <w:szCs w:val="16"/>
          <w:color w:val="CE0D41"/>
        </w:rPr>
        <w:t>9.1</w:t>
      </w:r>
      <w:r>
        <w:rPr>
          <w:sz w:val="20"/>
          <w:szCs w:val="20"/>
          <w:color w:val="auto"/>
        </w:rPr>
        <w:tab/>
      </w:r>
      <w:r>
        <w:rPr>
          <w:rFonts w:ascii="Arial" w:cs="Arial" w:eastAsia="Arial" w:hAnsi="Arial"/>
          <w:sz w:val="16"/>
          <w:szCs w:val="16"/>
          <w:b w:val="1"/>
          <w:bCs w:val="1"/>
          <w:color w:val="auto"/>
        </w:rPr>
        <w:t xml:space="preserve">Authority to Grant Performance Share Awards and Performance Unit Awards. </w:t>
      </w:r>
      <w:r>
        <w:rPr>
          <w:rFonts w:ascii="Arial" w:cs="Arial" w:eastAsia="Arial" w:hAnsi="Arial"/>
          <w:sz w:val="16"/>
          <w:szCs w:val="16"/>
          <w:color w:val="auto"/>
        </w:rPr>
        <w:t>Subject to the terms and provisions of the Plan, the Committee,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6" w:name="page117"/>
    <w:bookmarkEnd w:id="11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IX</w:t>
      </w:r>
    </w:p>
    <w:p>
      <w:pPr>
        <w:spacing w:after="0" w:line="245" w:lineRule="exact"/>
        <w:rPr>
          <w:sz w:val="20"/>
          <w:szCs w:val="20"/>
          <w:color w:val="auto"/>
        </w:rPr>
      </w:pPr>
    </w:p>
    <w:p>
      <w:pPr>
        <w:ind w:left="660" w:right="180"/>
        <w:spacing w:after="0" w:line="251" w:lineRule="auto"/>
        <w:rPr>
          <w:sz w:val="20"/>
          <w:szCs w:val="20"/>
          <w:color w:val="auto"/>
        </w:rPr>
      </w:pPr>
      <w:r>
        <w:rPr>
          <w:rFonts w:ascii="Arial" w:cs="Arial" w:eastAsia="Arial" w:hAnsi="Arial"/>
          <w:sz w:val="16"/>
          <w:szCs w:val="16"/>
          <w:color w:val="auto"/>
        </w:rPr>
        <w:t>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6" w:lineRule="exact"/>
        <w:rPr>
          <w:sz w:val="20"/>
          <w:szCs w:val="20"/>
          <w:color w:val="auto"/>
        </w:rPr>
      </w:pPr>
    </w:p>
    <w:p>
      <w:pPr>
        <w:ind w:left="660" w:right="40" w:hanging="647"/>
        <w:spacing w:after="0" w:line="251" w:lineRule="auto"/>
        <w:tabs>
          <w:tab w:leader="none" w:pos="640" w:val="left"/>
        </w:tabs>
        <w:rPr>
          <w:sz w:val="20"/>
          <w:szCs w:val="20"/>
          <w:color w:val="auto"/>
        </w:rPr>
      </w:pPr>
      <w:r>
        <w:rPr>
          <w:rFonts w:ascii="Arial" w:cs="Arial" w:eastAsia="Arial" w:hAnsi="Arial"/>
          <w:sz w:val="16"/>
          <w:szCs w:val="16"/>
          <w:color w:val="CE0D41"/>
        </w:rPr>
        <w:t>9.2</w:t>
      </w:r>
      <w:r>
        <w:rPr>
          <w:sz w:val="20"/>
          <w:szCs w:val="20"/>
          <w:color w:val="auto"/>
        </w:rPr>
        <w:tab/>
      </w: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The Committee may, in its sole discretion, grant Performance Share Awards and Performance Unit Awards that are either intended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w:t>
      </w:r>
    </w:p>
    <w:p>
      <w:pPr>
        <w:spacing w:after="0" w:line="3" w:lineRule="exact"/>
        <w:rPr>
          <w:sz w:val="20"/>
          <w:szCs w:val="20"/>
          <w:color w:val="auto"/>
        </w:rPr>
      </w:pPr>
    </w:p>
    <w:p>
      <w:pPr>
        <w:ind w:left="660" w:right="300" w:hanging="4"/>
        <w:spacing w:after="0" w:line="260" w:lineRule="auto"/>
        <w:tabs>
          <w:tab w:leader="none" w:pos="90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and (d) below, except that the Performance Goals may be based on other quantifiable business criteria and except as otherwise provided in an Award Agreement.</w:t>
      </w:r>
    </w:p>
    <w:p>
      <w:pPr>
        <w:spacing w:after="0" w:line="149" w:lineRule="exact"/>
        <w:rPr>
          <w:sz w:val="20"/>
          <w:szCs w:val="20"/>
          <w:color w:val="auto"/>
        </w:rPr>
      </w:pPr>
    </w:p>
    <w:p>
      <w:pPr>
        <w:ind w:left="980" w:hanging="324"/>
        <w:spacing w:after="0" w:line="248" w:lineRule="auto"/>
        <w:tabs>
          <w:tab w:leader="none" w:pos="980" w:val="left"/>
        </w:tabs>
        <w:numPr>
          <w:ilvl w:val="0"/>
          <w:numId w:val="124"/>
        </w:numPr>
        <w:rPr>
          <w:rFonts w:ascii="Arial" w:cs="Arial" w:eastAsia="Arial" w:hAnsi="Arial"/>
          <w:sz w:val="16"/>
          <w:szCs w:val="16"/>
          <w:color w:val="CE0D41"/>
        </w:rPr>
      </w:pPr>
      <w:r>
        <w:rPr>
          <w:rFonts w:ascii="Arial" w:cs="Arial" w:eastAsia="Arial" w:hAnsi="Arial"/>
          <w:sz w:val="16"/>
          <w:szCs w:val="16"/>
          <w:b w:val="1"/>
          <w:bCs w:val="1"/>
          <w:color w:val="auto"/>
        </w:rPr>
        <w:t xml:space="preserve">Performance Goals. </w:t>
      </w:r>
      <w:r>
        <w:rPr>
          <w:rFonts w:ascii="Arial" w:cs="Arial" w:eastAsia="Arial" w:hAnsi="Arial"/>
          <w:sz w:val="16"/>
          <w:szCs w:val="16"/>
          <w:color w:val="auto"/>
        </w:rPr>
        <w:t>A Performance Goal must be objective such that a third party having knowledge of the relevant facts could, at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 (i) amounts reflected in the Company’s financial statements or</w:t>
      </w:r>
    </w:p>
    <w:p>
      <w:pPr>
        <w:spacing w:after="0" w:line="1" w:lineRule="exact"/>
        <w:rPr>
          <w:rFonts w:ascii="Arial" w:cs="Arial" w:eastAsia="Arial" w:hAnsi="Arial"/>
          <w:sz w:val="16"/>
          <w:szCs w:val="16"/>
          <w:color w:val="CE0D41"/>
        </w:rPr>
      </w:pPr>
    </w:p>
    <w:p>
      <w:pPr>
        <w:ind w:left="980" w:right="380"/>
        <w:spacing w:after="0" w:line="246" w:lineRule="auto"/>
        <w:rPr>
          <w:rFonts w:ascii="Arial" w:cs="Arial" w:eastAsia="Arial" w:hAnsi="Arial"/>
          <w:sz w:val="16"/>
          <w:szCs w:val="16"/>
          <w:color w:val="CE0D41"/>
        </w:rPr>
      </w:pPr>
      <w:r>
        <w:rPr>
          <w:rFonts w:ascii="Arial" w:cs="Arial" w:eastAsia="Arial" w:hAnsi="Arial"/>
          <w:sz w:val="16"/>
          <w:szCs w:val="16"/>
          <w:color w:val="auto"/>
        </w:rPr>
        <w:t>(ii) U.S. generally accepted accounting principles or (iii) any other methodology established by the Committee prior to the “Performance Goal Establishment Date” (as defined below). Performance Goals may be determined by including or excluding, in the Committee’s discretion</w:t>
      </w:r>
    </w:p>
    <w:p>
      <w:pPr>
        <w:ind w:left="980" w:right="40"/>
        <w:spacing w:after="0" w:line="248" w:lineRule="auto"/>
        <w:rPr>
          <w:rFonts w:ascii="Arial" w:cs="Arial" w:eastAsia="Arial" w:hAnsi="Arial"/>
          <w:sz w:val="16"/>
          <w:szCs w:val="16"/>
          <w:color w:val="CE0D41"/>
        </w:rPr>
      </w:pPr>
      <w:r>
        <w:rPr>
          <w:rFonts w:ascii="Arial" w:cs="Arial" w:eastAsia="Arial" w:hAnsi="Arial"/>
          <w:sz w:val="16"/>
          <w:szCs w:val="16"/>
          <w:color w:val="auto"/>
        </w:rPr>
        <w:t>(as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 Section 1.162-27(e)(2),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A-20</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IX</w:t>
      </w:r>
    </w:p>
    <w:p>
      <w:pPr>
        <w:spacing w:after="0" w:line="319" w:lineRule="exact"/>
        <w:rPr>
          <w:sz w:val="20"/>
          <w:szCs w:val="20"/>
          <w:color w:val="auto"/>
        </w:rPr>
      </w:pPr>
    </w:p>
    <w:p>
      <w:pPr>
        <w:ind w:left="980" w:hanging="324"/>
        <w:spacing w:after="0" w:line="259" w:lineRule="auto"/>
        <w:tabs>
          <w:tab w:leader="none" w:pos="980" w:val="left"/>
        </w:tabs>
        <w:numPr>
          <w:ilvl w:val="0"/>
          <w:numId w:val="125"/>
        </w:numPr>
        <w:rPr>
          <w:rFonts w:ascii="Arial" w:cs="Arial" w:eastAsia="Arial" w:hAnsi="Arial"/>
          <w:sz w:val="16"/>
          <w:szCs w:val="16"/>
          <w:color w:val="CE0D41"/>
        </w:rPr>
      </w:pPr>
      <w:r>
        <w:rPr>
          <w:rFonts w:ascii="Arial" w:cs="Arial" w:eastAsia="Arial" w:hAnsi="Arial"/>
          <w:sz w:val="16"/>
          <w:szCs w:val="16"/>
          <w:b w:val="1"/>
          <w:bCs w:val="1"/>
          <w:color w:val="auto"/>
        </w:rPr>
        <w:t xml:space="preserve">Time of Establishment of Performance Goals. </w:t>
      </w:r>
      <w:r>
        <w:rPr>
          <w:rFonts w:ascii="Arial" w:cs="Arial" w:eastAsia="Arial" w:hAnsi="Arial"/>
          <w:sz w:val="16"/>
          <w:szCs w:val="16"/>
          <w:color w:val="auto"/>
        </w:rPr>
        <w:t>A Performance Goal for a particular Performance Share Award or Performance Unit Award must</w:t>
      </w:r>
      <w:r>
        <w:rPr>
          <w:rFonts w:ascii="Arial" w:cs="Arial" w:eastAsia="Arial" w:hAnsi="Arial"/>
          <w:sz w:val="16"/>
          <w:szCs w:val="16"/>
          <w:b w:val="1"/>
          <w:bCs w:val="1"/>
          <w:color w:val="auto"/>
        </w:rPr>
        <w:t xml:space="preserve"> </w:t>
      </w:r>
      <w:r>
        <w:rPr>
          <w:rFonts w:ascii="Arial" w:cs="Arial" w:eastAsia="Arial" w:hAnsi="Arial"/>
          <w:sz w:val="16"/>
          <w:szCs w:val="16"/>
          <w:color w:val="auto"/>
        </w:rPr>
        <w:t>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16"/>
          <w:szCs w:val="16"/>
          <w:b w:val="1"/>
          <w:bCs w:val="1"/>
          <w:i w:val="1"/>
          <w:iCs w:val="1"/>
          <w:color w:val="auto"/>
        </w:rPr>
        <w:t>Performance Goal Establishment Date</w:t>
      </w:r>
      <w:r>
        <w:rPr>
          <w:rFonts w:ascii="Arial" w:cs="Arial" w:eastAsia="Arial" w:hAnsi="Arial"/>
          <w:sz w:val="16"/>
          <w:szCs w:val="16"/>
          <w:color w:val="auto"/>
        </w:rPr>
        <w:t>”).</w:t>
      </w:r>
    </w:p>
    <w:p>
      <w:pPr>
        <w:spacing w:after="0" w:line="151" w:lineRule="exact"/>
        <w:rPr>
          <w:rFonts w:ascii="Arial" w:cs="Arial" w:eastAsia="Arial" w:hAnsi="Arial"/>
          <w:sz w:val="16"/>
          <w:szCs w:val="16"/>
          <w:color w:val="CE0D41"/>
        </w:rPr>
      </w:pPr>
    </w:p>
    <w:p>
      <w:pPr>
        <w:ind w:left="980" w:right="400" w:hanging="324"/>
        <w:spacing w:after="0" w:line="286" w:lineRule="auto"/>
        <w:tabs>
          <w:tab w:leader="none" w:pos="980" w:val="left"/>
        </w:tabs>
        <w:numPr>
          <w:ilvl w:val="0"/>
          <w:numId w:val="125"/>
        </w:numPr>
        <w:rPr>
          <w:rFonts w:ascii="Arial" w:cs="Arial" w:eastAsia="Arial" w:hAnsi="Arial"/>
          <w:sz w:val="16"/>
          <w:szCs w:val="16"/>
          <w:color w:val="CE0D41"/>
        </w:rPr>
      </w:pPr>
      <w:r>
        <w:rPr>
          <w:rFonts w:ascii="Arial" w:cs="Arial" w:eastAsia="Arial" w:hAnsi="Arial"/>
          <w:sz w:val="16"/>
          <w:szCs w:val="16"/>
          <w:b w:val="1"/>
          <w:bCs w:val="1"/>
          <w:color w:val="auto"/>
        </w:rPr>
        <w:t xml:space="preserve">Increases Prohibited. </w:t>
      </w:r>
      <w:r>
        <w:rPr>
          <w:rFonts w:ascii="Arial" w:cs="Arial" w:eastAsia="Arial" w:hAnsi="Arial"/>
          <w:sz w:val="16"/>
          <w:szCs w:val="16"/>
          <w:color w:val="auto"/>
        </w:rPr>
        <w:t>None of the Committee or the Board may increase the amount of compensation payable under a Performance Share</w:t>
      </w:r>
      <w:r>
        <w:rPr>
          <w:rFonts w:ascii="Arial" w:cs="Arial" w:eastAsia="Arial" w:hAnsi="Arial"/>
          <w:sz w:val="16"/>
          <w:szCs w:val="16"/>
          <w:b w:val="1"/>
          <w:bCs w:val="1"/>
          <w:color w:val="auto"/>
        </w:rPr>
        <w:t xml:space="preserve"> </w:t>
      </w:r>
      <w:r>
        <w:rPr>
          <w:rFonts w:ascii="Arial" w:cs="Arial" w:eastAsia="Arial" w:hAnsi="Arial"/>
          <w:sz w:val="16"/>
          <w:szCs w:val="16"/>
          <w:color w:val="auto"/>
        </w:rPr>
        <w:t>Award or Performance Unit Award.</w:t>
      </w:r>
    </w:p>
    <w:p>
      <w:pPr>
        <w:spacing w:after="0" w:line="128" w:lineRule="exact"/>
        <w:rPr>
          <w:rFonts w:ascii="Arial" w:cs="Arial" w:eastAsia="Arial" w:hAnsi="Arial"/>
          <w:sz w:val="16"/>
          <w:szCs w:val="16"/>
          <w:color w:val="CE0D41"/>
        </w:rPr>
      </w:pPr>
    </w:p>
    <w:p>
      <w:pPr>
        <w:ind w:left="980" w:right="300" w:hanging="324"/>
        <w:spacing w:after="0" w:line="286" w:lineRule="auto"/>
        <w:tabs>
          <w:tab w:leader="none" w:pos="980" w:val="left"/>
        </w:tabs>
        <w:numPr>
          <w:ilvl w:val="0"/>
          <w:numId w:val="125"/>
        </w:numPr>
        <w:rPr>
          <w:rFonts w:ascii="Arial" w:cs="Arial" w:eastAsia="Arial" w:hAnsi="Arial"/>
          <w:sz w:val="16"/>
          <w:szCs w:val="16"/>
          <w:color w:val="CE0D41"/>
        </w:rPr>
      </w:pPr>
      <w:r>
        <w:rPr>
          <w:rFonts w:ascii="Arial" w:cs="Arial" w:eastAsia="Arial" w:hAnsi="Arial"/>
          <w:sz w:val="16"/>
          <w:szCs w:val="16"/>
          <w:b w:val="1"/>
          <w:bCs w:val="1"/>
          <w:color w:val="auto"/>
        </w:rPr>
        <w:t xml:space="preserve">Shareholder Approval. </w:t>
      </w:r>
      <w:r>
        <w:rPr>
          <w:rFonts w:ascii="Arial" w:cs="Arial" w:eastAsia="Arial" w:hAnsi="Arial"/>
          <w:sz w:val="16"/>
          <w:szCs w:val="16"/>
          <w:color w:val="auto"/>
        </w:rPr>
        <w:t>No issuances of Shares or payments of cash will be made pursuant to this Article IX unless the shareholder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Department of Treasury Regulation Section 1.162-27(e)(4) are satisfied.</w:t>
      </w:r>
    </w:p>
    <w:p>
      <w:pPr>
        <w:spacing w:after="0" w:line="129" w:lineRule="exact"/>
        <w:rPr>
          <w:sz w:val="20"/>
          <w:szCs w:val="20"/>
          <w:color w:val="auto"/>
        </w:rPr>
      </w:pPr>
    </w:p>
    <w:p>
      <w:pPr>
        <w:ind w:left="660" w:right="540" w:hanging="647"/>
        <w:spacing w:after="0" w:line="286" w:lineRule="auto"/>
        <w:tabs>
          <w:tab w:leader="none" w:pos="640" w:val="left"/>
        </w:tabs>
        <w:rPr>
          <w:sz w:val="20"/>
          <w:szCs w:val="20"/>
          <w:color w:val="auto"/>
        </w:rPr>
      </w:pPr>
      <w:r>
        <w:rPr>
          <w:rFonts w:ascii="Arial" w:cs="Arial" w:eastAsia="Arial" w:hAnsi="Arial"/>
          <w:sz w:val="16"/>
          <w:szCs w:val="16"/>
          <w:color w:val="CE0D41"/>
        </w:rPr>
        <w:t>9.3</w:t>
      </w:r>
      <w:r>
        <w:rPr>
          <w:sz w:val="20"/>
          <w:szCs w:val="20"/>
          <w:color w:val="auto"/>
        </w:rPr>
        <w:tab/>
      </w:r>
      <w:r>
        <w:rPr>
          <w:rFonts w:ascii="Arial" w:cs="Arial" w:eastAsia="Arial" w:hAnsi="Arial"/>
          <w:sz w:val="16"/>
          <w:szCs w:val="16"/>
          <w:b w:val="1"/>
          <w:bCs w:val="1"/>
          <w:color w:val="auto"/>
        </w:rPr>
        <w:t xml:space="preserve">Award Agreement. </w:t>
      </w:r>
      <w:r>
        <w:rPr>
          <w:rFonts w:ascii="Arial" w:cs="Arial" w:eastAsia="Arial" w:hAnsi="Arial"/>
          <w:sz w:val="16"/>
          <w:szCs w:val="16"/>
          <w:color w:val="auto"/>
        </w:rPr>
        <w:t>Each Performance Share Award or Performance Unit Award shall be evidenced by an Award Agreement that contains any</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transferability restrictions and other provisions not inconsistent with the Plan as the Committee may specify.</w:t>
      </w:r>
    </w:p>
    <w:p>
      <w:pPr>
        <w:spacing w:after="0" w:line="129" w:lineRule="exact"/>
        <w:rPr>
          <w:sz w:val="20"/>
          <w:szCs w:val="20"/>
          <w:color w:val="auto"/>
        </w:rPr>
      </w:pPr>
    </w:p>
    <w:p>
      <w:pPr>
        <w:ind w:left="660" w:right="20" w:hanging="647"/>
        <w:spacing w:after="0" w:line="253" w:lineRule="auto"/>
        <w:tabs>
          <w:tab w:leader="none" w:pos="640" w:val="left"/>
        </w:tabs>
        <w:rPr>
          <w:sz w:val="20"/>
          <w:szCs w:val="20"/>
          <w:color w:val="auto"/>
        </w:rPr>
      </w:pPr>
      <w:r>
        <w:rPr>
          <w:rFonts w:ascii="Arial" w:cs="Arial" w:eastAsia="Arial" w:hAnsi="Arial"/>
          <w:sz w:val="16"/>
          <w:szCs w:val="16"/>
          <w:color w:val="CE0D41"/>
        </w:rPr>
        <w:t>9.4</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At the time of the grant of the Performance Share Award or Performance Unit Award, the Committee shall determine the price, if</w:t>
      </w:r>
      <w:r>
        <w:rPr>
          <w:rFonts w:ascii="Arial" w:cs="Arial" w:eastAsia="Arial" w:hAnsi="Arial"/>
          <w:sz w:val="16"/>
          <w:szCs w:val="16"/>
          <w:b w:val="1"/>
          <w:bCs w:val="1"/>
          <w:color w:val="auto"/>
        </w:rPr>
        <w:t xml:space="preserve"> </w:t>
      </w:r>
      <w:r>
        <w:rPr>
          <w:rFonts w:ascii="Arial" w:cs="Arial" w:eastAsia="Arial" w:hAnsi="Arial"/>
          <w:sz w:val="16"/>
          <w:szCs w:val="16"/>
          <w:color w:val="auto"/>
        </w:rPr>
        <w:t>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9.5</w:t>
      </w:r>
      <w:r>
        <w:rPr>
          <w:sz w:val="20"/>
          <w:szCs w:val="20"/>
          <w:color w:val="auto"/>
        </w:rPr>
        <w:tab/>
      </w:r>
      <w:r>
        <w:rPr>
          <w:rFonts w:ascii="Arial" w:cs="Arial" w:eastAsia="Arial" w:hAnsi="Arial"/>
          <w:sz w:val="16"/>
          <w:szCs w:val="16"/>
          <w:b w:val="1"/>
          <w:bCs w:val="1"/>
          <w:color w:val="auto"/>
        </w:rPr>
        <w:t xml:space="preserve">Form of Payment Under Performance Unit Award. </w:t>
      </w:r>
      <w:r>
        <w:rPr>
          <w:rFonts w:ascii="Arial" w:cs="Arial" w:eastAsia="Arial" w:hAnsi="Arial"/>
          <w:sz w:val="16"/>
          <w:szCs w:val="16"/>
          <w:color w:val="auto"/>
        </w:rPr>
        <w:t>Payment under a Performance Unit Award shall be made in cash and/or Shares as specified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Award Agreement.</w:t>
      </w:r>
    </w:p>
    <w:p>
      <w:pPr>
        <w:spacing w:after="0" w:line="129" w:lineRule="exact"/>
        <w:rPr>
          <w:sz w:val="20"/>
          <w:szCs w:val="20"/>
          <w:color w:val="auto"/>
        </w:rPr>
      </w:pPr>
    </w:p>
    <w:p>
      <w:pPr>
        <w:jc w:val="both"/>
        <w:ind w:left="660" w:right="60" w:hanging="647"/>
        <w:spacing w:after="0" w:line="259" w:lineRule="auto"/>
        <w:tabs>
          <w:tab w:leader="none" w:pos="640" w:val="left"/>
        </w:tabs>
        <w:rPr>
          <w:sz w:val="20"/>
          <w:szCs w:val="20"/>
          <w:color w:val="auto"/>
        </w:rPr>
      </w:pPr>
      <w:r>
        <w:rPr>
          <w:rFonts w:ascii="Arial" w:cs="Arial" w:eastAsia="Arial" w:hAnsi="Arial"/>
          <w:sz w:val="16"/>
          <w:szCs w:val="16"/>
          <w:color w:val="CE0D41"/>
        </w:rPr>
        <w:t>9.6</w:t>
      </w:r>
      <w:r>
        <w:rPr>
          <w:sz w:val="20"/>
          <w:szCs w:val="20"/>
          <w:color w:val="auto"/>
        </w:rPr>
        <w:tab/>
      </w:r>
      <w:r>
        <w:rPr>
          <w:rFonts w:ascii="Arial" w:cs="Arial" w:eastAsia="Arial" w:hAnsi="Arial"/>
          <w:sz w:val="16"/>
          <w:szCs w:val="16"/>
          <w:b w:val="1"/>
          <w:bCs w:val="1"/>
          <w:color w:val="auto"/>
        </w:rPr>
        <w:t xml:space="preserve">Time of Payment Under Performance Unit Award. </w:t>
      </w:r>
      <w:r>
        <w:rPr>
          <w:rFonts w:ascii="Arial" w:cs="Arial" w:eastAsia="Arial" w:hAnsi="Arial"/>
          <w:sz w:val="16"/>
          <w:szCs w:val="16"/>
          <w:color w:val="auto"/>
        </w:rPr>
        <w:t>A Holder’s payment under a Performance Unit Award shall be made at such time as is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51"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6"/>
          <w:szCs w:val="16"/>
          <w:color w:val="CE0D41"/>
        </w:rPr>
        <w:t>9.7</w:t>
      </w:r>
      <w:r>
        <w:rPr>
          <w:sz w:val="20"/>
          <w:szCs w:val="20"/>
          <w:color w:val="auto"/>
        </w:rPr>
        <w:tab/>
      </w:r>
      <w:r>
        <w:rPr>
          <w:rFonts w:ascii="Arial" w:cs="Arial" w:eastAsia="Arial" w:hAnsi="Arial"/>
          <w:sz w:val="16"/>
          <w:szCs w:val="16"/>
          <w:b w:val="1"/>
          <w:bCs w:val="1"/>
          <w:color w:val="auto"/>
        </w:rPr>
        <w:t xml:space="preserve">Holder’s Rights as Shareholder With Respect to Performance Awards. </w:t>
      </w:r>
      <w:r>
        <w:rPr>
          <w:rFonts w:ascii="Arial" w:cs="Arial" w:eastAsia="Arial" w:hAnsi="Arial"/>
          <w:sz w:val="16"/>
          <w:szCs w:val="16"/>
          <w:color w:val="auto"/>
        </w:rPr>
        <w:t>Unless otherwise set forth in an Award Agreement, each Holder of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53" w:lineRule="exact"/>
        <w:rPr>
          <w:sz w:val="20"/>
          <w:szCs w:val="20"/>
          <w:color w:val="auto"/>
        </w:rPr>
      </w:pPr>
    </w:p>
    <w:p>
      <w:pPr>
        <w:ind w:left="660" w:right="20" w:hanging="647"/>
        <w:spacing w:after="0" w:line="249" w:lineRule="auto"/>
        <w:tabs>
          <w:tab w:leader="none" w:pos="640" w:val="left"/>
        </w:tabs>
        <w:rPr>
          <w:sz w:val="20"/>
          <w:szCs w:val="20"/>
          <w:color w:val="auto"/>
        </w:rPr>
      </w:pPr>
      <w:r>
        <w:rPr>
          <w:rFonts w:ascii="Arial" w:cs="Arial" w:eastAsia="Arial" w:hAnsi="Arial"/>
          <w:sz w:val="16"/>
          <w:szCs w:val="16"/>
          <w:color w:val="CE0D41"/>
        </w:rPr>
        <w:t>9.8</w:t>
      </w:r>
      <w:r>
        <w:rPr>
          <w:sz w:val="20"/>
          <w:szCs w:val="20"/>
          <w:color w:val="auto"/>
        </w:rPr>
        <w:tab/>
      </w:r>
      <w:r>
        <w:rPr>
          <w:rFonts w:ascii="Arial" w:cs="Arial" w:eastAsia="Arial" w:hAnsi="Arial"/>
          <w:sz w:val="16"/>
          <w:szCs w:val="16"/>
          <w:b w:val="1"/>
          <w:bCs w:val="1"/>
          <w:color w:val="auto"/>
        </w:rPr>
        <w:t xml:space="preserve">Minimum Performance Period. </w:t>
      </w:r>
      <w:r>
        <w:rPr>
          <w:rFonts w:ascii="Arial" w:cs="Arial" w:eastAsia="Arial" w:hAnsi="Arial"/>
          <w:sz w:val="16"/>
          <w:szCs w:val="16"/>
          <w:color w:val="auto"/>
        </w:rPr>
        <w:t>All Performance Share Awards and Performance Unit Awards granted under the Plan shall have a minimum</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of 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1"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8" w:name="page119"/>
    <w:bookmarkEnd w:id="118"/>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OTHER SHARE-BASED AWARDS</w:t>
      </w:r>
    </w:p>
    <w:p>
      <w:pPr>
        <w:spacing w:after="0" w:line="351"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6"/>
          <w:szCs w:val="16"/>
          <w:color w:val="CE0D41"/>
        </w:rPr>
        <w:t>10.1</w:t>
      </w:r>
      <w:r>
        <w:rPr>
          <w:sz w:val="20"/>
          <w:szCs w:val="20"/>
          <w:color w:val="auto"/>
        </w:rPr>
        <w:tab/>
      </w:r>
      <w:r>
        <w:rPr>
          <w:rFonts w:ascii="Arial" w:cs="Arial" w:eastAsia="Arial" w:hAnsi="Arial"/>
          <w:sz w:val="16"/>
          <w:szCs w:val="16"/>
          <w:b w:val="1"/>
          <w:bCs w:val="1"/>
          <w:color w:val="auto"/>
        </w:rPr>
        <w:t xml:space="preserve">Authority to Grant Other Share-Based Awards. </w:t>
      </w:r>
      <w:r>
        <w:rPr>
          <w:rFonts w:ascii="Arial" w:cs="Arial" w:eastAsia="Arial" w:hAnsi="Arial"/>
          <w:sz w:val="16"/>
          <w:szCs w:val="16"/>
          <w:color w:val="auto"/>
        </w:rPr>
        <w:t>The Committee may grant to eligible persons other types of equity-based or equity-related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53" w:lineRule="exact"/>
        <w:rPr>
          <w:sz w:val="20"/>
          <w:szCs w:val="20"/>
          <w:color w:val="auto"/>
        </w:rPr>
      </w:pPr>
    </w:p>
    <w:p>
      <w:pPr>
        <w:ind w:left="660" w:right="760" w:hanging="647"/>
        <w:spacing w:after="0" w:line="286" w:lineRule="auto"/>
        <w:tabs>
          <w:tab w:leader="none" w:pos="640" w:val="left"/>
        </w:tabs>
        <w:rPr>
          <w:sz w:val="20"/>
          <w:szCs w:val="20"/>
          <w:color w:val="auto"/>
        </w:rPr>
      </w:pPr>
      <w:r>
        <w:rPr>
          <w:rFonts w:ascii="Arial" w:cs="Arial" w:eastAsia="Arial" w:hAnsi="Arial"/>
          <w:sz w:val="16"/>
          <w:szCs w:val="16"/>
          <w:color w:val="CE0D41"/>
        </w:rPr>
        <w:t>10.2</w:t>
      </w:r>
      <w:r>
        <w:rPr>
          <w:sz w:val="20"/>
          <w:szCs w:val="20"/>
          <w:color w:val="auto"/>
        </w:rPr>
        <w:tab/>
      </w:r>
      <w:r>
        <w:rPr>
          <w:rFonts w:ascii="Arial" w:cs="Arial" w:eastAsia="Arial" w:hAnsi="Arial"/>
          <w:sz w:val="16"/>
          <w:szCs w:val="16"/>
          <w:b w:val="1"/>
          <w:bCs w:val="1"/>
          <w:color w:val="auto"/>
        </w:rPr>
        <w:t xml:space="preserve">Value of Other Share-Based Award. </w:t>
      </w:r>
      <w:r>
        <w:rPr>
          <w:rFonts w:ascii="Arial" w:cs="Arial" w:eastAsia="Arial" w:hAnsi="Arial"/>
          <w:sz w:val="16"/>
          <w:szCs w:val="16"/>
          <w:color w:val="auto"/>
        </w:rPr>
        <w:t>Each Other Share-Based Award shall be expressed in terms of Shares or units based on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w:t>
      </w:r>
    </w:p>
    <w:p>
      <w:pPr>
        <w:spacing w:after="0" w:line="129" w:lineRule="exact"/>
        <w:rPr>
          <w:sz w:val="20"/>
          <w:szCs w:val="20"/>
          <w:color w:val="auto"/>
        </w:rPr>
      </w:pPr>
    </w:p>
    <w:p>
      <w:pPr>
        <w:ind w:left="660" w:right="160" w:hanging="647"/>
        <w:spacing w:after="0" w:line="254" w:lineRule="auto"/>
        <w:tabs>
          <w:tab w:leader="none" w:pos="640" w:val="left"/>
        </w:tabs>
        <w:rPr>
          <w:sz w:val="20"/>
          <w:szCs w:val="20"/>
          <w:color w:val="auto"/>
        </w:rPr>
      </w:pPr>
      <w:r>
        <w:rPr>
          <w:rFonts w:ascii="Arial" w:cs="Arial" w:eastAsia="Arial" w:hAnsi="Arial"/>
          <w:sz w:val="16"/>
          <w:szCs w:val="16"/>
          <w:color w:val="CE0D41"/>
        </w:rPr>
        <w:t>10.3</w:t>
      </w:r>
      <w:r>
        <w:rPr>
          <w:sz w:val="20"/>
          <w:szCs w:val="20"/>
          <w:color w:val="auto"/>
        </w:rPr>
        <w:tab/>
      </w:r>
      <w:r>
        <w:rPr>
          <w:rFonts w:ascii="Arial" w:cs="Arial" w:eastAsia="Arial" w:hAnsi="Arial"/>
          <w:sz w:val="16"/>
          <w:szCs w:val="16"/>
          <w:b w:val="1"/>
          <w:bCs w:val="1"/>
          <w:color w:val="auto"/>
        </w:rPr>
        <w:t>Purchase Price</w:t>
      </w:r>
      <w:r>
        <w:rPr>
          <w:rFonts w:ascii="Arial" w:cs="Arial" w:eastAsia="Arial" w:hAnsi="Arial"/>
          <w:sz w:val="16"/>
          <w:szCs w:val="16"/>
          <w:color w:val="auto"/>
        </w:rPr>
        <w:t>. At the time of the Share-Based Award, the Committee shall determine the price, if any, to be paid by the Holder for each Share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10.4</w:t>
      </w:r>
      <w:r>
        <w:rPr>
          <w:sz w:val="20"/>
          <w:szCs w:val="20"/>
          <w:color w:val="auto"/>
        </w:rPr>
        <w:tab/>
      </w:r>
      <w:r>
        <w:rPr>
          <w:rFonts w:ascii="Arial" w:cs="Arial" w:eastAsia="Arial" w:hAnsi="Arial"/>
          <w:sz w:val="16"/>
          <w:szCs w:val="16"/>
          <w:b w:val="1"/>
          <w:bCs w:val="1"/>
          <w:color w:val="auto"/>
        </w:rPr>
        <w:t xml:space="preserve">Payment of Other Share-Based Award. </w:t>
      </w:r>
      <w:r>
        <w:rPr>
          <w:rFonts w:ascii="Arial" w:cs="Arial" w:eastAsia="Arial" w:hAnsi="Arial"/>
          <w:sz w:val="16"/>
          <w:szCs w:val="16"/>
          <w:color w:val="auto"/>
        </w:rPr>
        <w:t>Payment, if any, with respect to an Other Share-Based Award shall be made in accordance with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Award, in cash or Shares or any combination thereof as the Committee determines.</w:t>
      </w:r>
    </w:p>
    <w:p>
      <w:pPr>
        <w:spacing w:after="0" w:line="129" w:lineRule="exact"/>
        <w:rPr>
          <w:sz w:val="20"/>
          <w:szCs w:val="20"/>
          <w:color w:val="auto"/>
        </w:rPr>
      </w:pPr>
    </w:p>
    <w:p>
      <w:pPr>
        <w:ind w:left="660" w:right="140" w:hanging="647"/>
        <w:spacing w:after="0" w:line="266" w:lineRule="auto"/>
        <w:tabs>
          <w:tab w:leader="none" w:pos="640" w:val="left"/>
        </w:tabs>
        <w:rPr>
          <w:sz w:val="20"/>
          <w:szCs w:val="20"/>
          <w:color w:val="auto"/>
        </w:rPr>
      </w:pPr>
      <w:r>
        <w:rPr>
          <w:rFonts w:ascii="Arial" w:cs="Arial" w:eastAsia="Arial" w:hAnsi="Arial"/>
          <w:sz w:val="16"/>
          <w:szCs w:val="16"/>
          <w:color w:val="CE0D41"/>
        </w:rPr>
        <w:t>10.5</w:t>
      </w:r>
      <w:r>
        <w:rPr>
          <w:sz w:val="20"/>
          <w:szCs w:val="20"/>
          <w:color w:val="auto"/>
        </w:rPr>
        <w:tab/>
      </w: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Subject to Section 10.6, the Committee shall determine the extent to which a Holder’s rights with respect to Other</w:t>
      </w:r>
      <w:r>
        <w:rPr>
          <w:rFonts w:ascii="Arial" w:cs="Arial" w:eastAsia="Arial" w:hAnsi="Arial"/>
          <w:sz w:val="16"/>
          <w:szCs w:val="16"/>
          <w:b w:val="1"/>
          <w:bCs w:val="1"/>
          <w:color w:val="auto"/>
        </w:rPr>
        <w:t xml:space="preserve"> </w:t>
      </w:r>
      <w:r>
        <w:rPr>
          <w:rFonts w:ascii="Arial" w:cs="Arial" w:eastAsia="Arial" w:hAnsi="Arial"/>
          <w:sz w:val="16"/>
          <w:szCs w:val="16"/>
          <w:color w:val="auto"/>
        </w:rPr>
        <w:t>Share-Based Awards shall be affected by the Holder’s Termination of Employment. Such provisions shall be determined in the sole discretion of the Committee and need not be uniform among all Other Share-Based Awards issued pursuant to the Plan.</w:t>
      </w:r>
    </w:p>
    <w:p>
      <w:pPr>
        <w:spacing w:after="0" w:line="145" w:lineRule="exact"/>
        <w:rPr>
          <w:sz w:val="20"/>
          <w:szCs w:val="20"/>
          <w:color w:val="auto"/>
        </w:rPr>
      </w:pPr>
    </w:p>
    <w:p>
      <w:pPr>
        <w:ind w:left="660" w:right="20" w:hanging="647"/>
        <w:spacing w:after="0" w:line="250" w:lineRule="auto"/>
        <w:tabs>
          <w:tab w:leader="none" w:pos="640" w:val="left"/>
        </w:tabs>
        <w:rPr>
          <w:sz w:val="20"/>
          <w:szCs w:val="20"/>
          <w:color w:val="auto"/>
        </w:rPr>
      </w:pPr>
      <w:r>
        <w:rPr>
          <w:rFonts w:ascii="Arial" w:cs="Arial" w:eastAsia="Arial" w:hAnsi="Arial"/>
          <w:sz w:val="16"/>
          <w:szCs w:val="16"/>
          <w:color w:val="CE0D41"/>
        </w:rPr>
        <w:t>10.6</w:t>
      </w:r>
      <w:r>
        <w:rPr>
          <w:sz w:val="20"/>
          <w:szCs w:val="20"/>
          <w:color w:val="auto"/>
        </w:rPr>
        <w:tab/>
      </w: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Other Share-Based Awards granted under the Plan shall have a minimum vesting period (which may vest in ratable</w:t>
      </w:r>
      <w:r>
        <w:rPr>
          <w:rFonts w:ascii="Arial" w:cs="Arial" w:eastAsia="Arial" w:hAnsi="Arial"/>
          <w:sz w:val="16"/>
          <w:szCs w:val="16"/>
          <w:b w:val="1"/>
          <w:bCs w:val="1"/>
          <w:color w:val="auto"/>
        </w:rPr>
        <w:t xml:space="preserve"> </w:t>
      </w:r>
      <w:r>
        <w:rPr>
          <w:rFonts w:ascii="Arial" w:cs="Arial" w:eastAsia="Arial" w:hAnsi="Arial"/>
          <w:sz w:val="16"/>
          <w:szCs w:val="16"/>
          <w:color w:val="auto"/>
        </w:rPr>
        <w:t>increments or other 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A-22</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84" w:right="299" w:bottom="1440" w:gutter="0" w:footer="0" w:header="0"/>
        </w:sectPr>
      </w:pPr>
    </w:p>
    <w:bookmarkStart w:id="119" w:name="page120"/>
    <w:bookmarkEnd w:id="119"/>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CASH-BASED AWARDS</w:t>
      </w:r>
    </w:p>
    <w:p>
      <w:pPr>
        <w:spacing w:after="0" w:line="351" w:lineRule="exact"/>
        <w:rPr>
          <w:sz w:val="20"/>
          <w:szCs w:val="20"/>
          <w:color w:val="auto"/>
        </w:rPr>
      </w:pPr>
    </w:p>
    <w:p>
      <w:pPr>
        <w:ind w:left="660" w:right="20" w:hanging="647"/>
        <w:spacing w:after="0" w:line="254" w:lineRule="auto"/>
        <w:tabs>
          <w:tab w:leader="none" w:pos="640" w:val="left"/>
        </w:tabs>
        <w:rPr>
          <w:sz w:val="20"/>
          <w:szCs w:val="20"/>
          <w:color w:val="auto"/>
        </w:rPr>
      </w:pPr>
      <w:r>
        <w:rPr>
          <w:rFonts w:ascii="Arial" w:cs="Arial" w:eastAsia="Arial" w:hAnsi="Arial"/>
          <w:sz w:val="16"/>
          <w:szCs w:val="16"/>
          <w:color w:val="CE0D41"/>
        </w:rPr>
        <w:t>11.1</w:t>
      </w:r>
      <w:r>
        <w:rPr>
          <w:sz w:val="20"/>
          <w:szCs w:val="20"/>
          <w:color w:val="auto"/>
        </w:rPr>
        <w:tab/>
      </w:r>
      <w:r>
        <w:rPr>
          <w:rFonts w:ascii="Arial" w:cs="Arial" w:eastAsia="Arial" w:hAnsi="Arial"/>
          <w:sz w:val="16"/>
          <w:szCs w:val="16"/>
          <w:b w:val="1"/>
          <w:bCs w:val="1"/>
          <w:color w:val="auto"/>
        </w:rPr>
        <w:t xml:space="preserve">Authority to Grant Cash-Based Awards. </w:t>
      </w:r>
      <w:r>
        <w:rPr>
          <w:rFonts w:ascii="Arial" w:cs="Arial" w:eastAsia="Arial" w:hAnsi="Arial"/>
          <w:sz w:val="16"/>
          <w:szCs w:val="16"/>
          <w:color w:val="auto"/>
        </w:rPr>
        <w:t>Subject to the terms and provisions of the Plan, the Committee, at any time, and from time to time, may</w:t>
      </w:r>
      <w:r>
        <w:rPr>
          <w:rFonts w:ascii="Arial" w:cs="Arial" w:eastAsia="Arial" w:hAnsi="Arial"/>
          <w:sz w:val="16"/>
          <w:szCs w:val="16"/>
          <w:b w:val="1"/>
          <w:bCs w:val="1"/>
          <w:color w:val="auto"/>
        </w:rPr>
        <w:t xml:space="preserve"> </w:t>
      </w:r>
      <w:r>
        <w:rPr>
          <w:rFonts w:ascii="Arial" w:cs="Arial" w:eastAsia="Arial" w:hAnsi="Arial"/>
          <w:sz w:val="16"/>
          <w:szCs w:val="16"/>
          <w:color w:val="auto"/>
        </w:rPr>
        <w:t>grant Awards of 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155" w:lineRule="exact"/>
        <w:rPr>
          <w:sz w:val="20"/>
          <w:szCs w:val="20"/>
          <w:color w:val="auto"/>
        </w:rPr>
      </w:pPr>
    </w:p>
    <w:p>
      <w:pPr>
        <w:ind w:left="660" w:right="580" w:hanging="647"/>
        <w:spacing w:after="0" w:line="286" w:lineRule="auto"/>
        <w:tabs>
          <w:tab w:leader="none" w:pos="640" w:val="left"/>
        </w:tabs>
        <w:rPr>
          <w:sz w:val="20"/>
          <w:szCs w:val="20"/>
          <w:color w:val="auto"/>
        </w:rPr>
      </w:pPr>
      <w:r>
        <w:rPr>
          <w:rFonts w:ascii="Arial" w:cs="Arial" w:eastAsia="Arial" w:hAnsi="Arial"/>
          <w:sz w:val="16"/>
          <w:szCs w:val="16"/>
          <w:color w:val="CE0D41"/>
        </w:rPr>
        <w:t>11.2</w:t>
      </w:r>
      <w:r>
        <w:rPr>
          <w:sz w:val="20"/>
          <w:szCs w:val="20"/>
          <w:color w:val="auto"/>
        </w:rPr>
        <w:tab/>
      </w:r>
      <w:r>
        <w:rPr>
          <w:rFonts w:ascii="Arial" w:cs="Arial" w:eastAsia="Arial" w:hAnsi="Arial"/>
          <w:sz w:val="16"/>
          <w:szCs w:val="16"/>
          <w:b w:val="1"/>
          <w:bCs w:val="1"/>
          <w:color w:val="auto"/>
        </w:rPr>
        <w:t xml:space="preserve">Value of Cash-Based Award. </w:t>
      </w:r>
      <w:r>
        <w:rPr>
          <w:rFonts w:ascii="Arial" w:cs="Arial" w:eastAsia="Arial" w:hAnsi="Arial"/>
          <w:sz w:val="16"/>
          <w:szCs w:val="16"/>
          <w:color w:val="auto"/>
        </w:rPr>
        <w:t>Each Cash-Based Award shall specify a payment amount or payment range (including manner of calculation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as determined by the Committee.</w:t>
      </w:r>
    </w:p>
    <w:p>
      <w:pPr>
        <w:spacing w:after="0" w:line="129" w:lineRule="exact"/>
        <w:rPr>
          <w:sz w:val="20"/>
          <w:szCs w:val="20"/>
          <w:color w:val="auto"/>
        </w:rPr>
      </w:pPr>
    </w:p>
    <w:p>
      <w:pPr>
        <w:ind w:left="660" w:right="140" w:hanging="647"/>
        <w:spacing w:after="0" w:line="286" w:lineRule="auto"/>
        <w:tabs>
          <w:tab w:leader="none" w:pos="640" w:val="left"/>
        </w:tabs>
        <w:rPr>
          <w:sz w:val="20"/>
          <w:szCs w:val="20"/>
          <w:color w:val="auto"/>
        </w:rPr>
      </w:pPr>
      <w:r>
        <w:rPr>
          <w:rFonts w:ascii="Arial" w:cs="Arial" w:eastAsia="Arial" w:hAnsi="Arial"/>
          <w:sz w:val="16"/>
          <w:szCs w:val="16"/>
          <w:color w:val="CE0D41"/>
        </w:rPr>
        <w:t>11.3</w:t>
      </w:r>
      <w:r>
        <w:rPr>
          <w:sz w:val="20"/>
          <w:szCs w:val="20"/>
          <w:color w:val="auto"/>
        </w:rPr>
        <w:tab/>
      </w:r>
      <w:r>
        <w:rPr>
          <w:rFonts w:ascii="Arial" w:cs="Arial" w:eastAsia="Arial" w:hAnsi="Arial"/>
          <w:sz w:val="16"/>
          <w:szCs w:val="16"/>
          <w:b w:val="1"/>
          <w:bCs w:val="1"/>
          <w:color w:val="auto"/>
        </w:rPr>
        <w:t xml:space="preserve">Payment of Cash-Based Award. </w:t>
      </w:r>
      <w:r>
        <w:rPr>
          <w:rFonts w:ascii="Arial" w:cs="Arial" w:eastAsia="Arial" w:hAnsi="Arial"/>
          <w:sz w:val="16"/>
          <w:szCs w:val="16"/>
          <w:color w:val="auto"/>
        </w:rPr>
        <w:t>Payment, if any, with respect to a Cash-Based Award shall be made in accordance with the terms of the Award, in</w:t>
      </w:r>
      <w:r>
        <w:rPr>
          <w:rFonts w:ascii="Arial" w:cs="Arial" w:eastAsia="Arial" w:hAnsi="Arial"/>
          <w:sz w:val="16"/>
          <w:szCs w:val="16"/>
          <w:b w:val="1"/>
          <w:bCs w:val="1"/>
          <w:color w:val="auto"/>
        </w:rPr>
        <w:t xml:space="preserve"> </w:t>
      </w:r>
      <w:r>
        <w:rPr>
          <w:rFonts w:ascii="Arial" w:cs="Arial" w:eastAsia="Arial" w:hAnsi="Arial"/>
          <w:sz w:val="16"/>
          <w:szCs w:val="16"/>
          <w:color w:val="auto"/>
        </w:rPr>
        <w:t>cash.</w:t>
      </w:r>
    </w:p>
    <w:p>
      <w:pPr>
        <w:spacing w:after="0" w:line="129" w:lineRule="exact"/>
        <w:rPr>
          <w:sz w:val="20"/>
          <w:szCs w:val="20"/>
          <w:color w:val="auto"/>
        </w:rPr>
      </w:pPr>
    </w:p>
    <w:p>
      <w:pPr>
        <w:ind w:left="660" w:right="340" w:hanging="647"/>
        <w:spacing w:after="0" w:line="266" w:lineRule="auto"/>
        <w:tabs>
          <w:tab w:leader="none" w:pos="640" w:val="left"/>
        </w:tabs>
        <w:rPr>
          <w:sz w:val="20"/>
          <w:szCs w:val="20"/>
          <w:color w:val="auto"/>
        </w:rPr>
      </w:pPr>
      <w:r>
        <w:rPr>
          <w:rFonts w:ascii="Arial" w:cs="Arial" w:eastAsia="Arial" w:hAnsi="Arial"/>
          <w:sz w:val="16"/>
          <w:szCs w:val="16"/>
          <w:color w:val="CE0D41"/>
        </w:rPr>
        <w:t>11.4</w:t>
      </w:r>
      <w:r>
        <w:rPr>
          <w:sz w:val="20"/>
          <w:szCs w:val="20"/>
          <w:color w:val="auto"/>
        </w:rPr>
        <w:tab/>
      </w: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The Committee shall determine the extent to which a Holder’s rights with respect to Cash-Based Awards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affected by the Holder’s Termination of Employment. Such provisions shall be determined in the sole discretion of the Committee and need not be uniform among all Cash-Based Awards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SUBSTITUTION AWARDS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20" w:name="page121"/>
    <w:bookmarkEnd w:id="120"/>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ADMINISTRATION</w:t>
      </w:r>
    </w:p>
    <w:p>
      <w:pPr>
        <w:spacing w:after="0" w:line="35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13.1</w:t>
      </w:r>
      <w:r>
        <w:rPr>
          <w:sz w:val="20"/>
          <w:szCs w:val="20"/>
          <w:color w:val="auto"/>
        </w:rPr>
        <w:tab/>
      </w:r>
      <w:r>
        <w:rPr>
          <w:rFonts w:ascii="Arial" w:cs="Arial" w:eastAsia="Arial" w:hAnsi="Arial"/>
          <w:sz w:val="16"/>
          <w:szCs w:val="16"/>
          <w:b w:val="1"/>
          <w:bCs w:val="1"/>
          <w:color w:val="auto"/>
        </w:rPr>
        <w:t xml:space="preserve">Awards. </w:t>
      </w:r>
      <w:r>
        <w:rPr>
          <w:rFonts w:ascii="Arial" w:cs="Arial" w:eastAsia="Arial" w:hAnsi="Arial"/>
          <w:sz w:val="16"/>
          <w:szCs w:val="16"/>
          <w:color w:val="auto"/>
        </w:rPr>
        <w:t>The Plan shall be administered by the Committee. The members of the Committee shall serve at the discretion of the Board.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full 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51" w:lineRule="exact"/>
        <w:rPr>
          <w:sz w:val="20"/>
          <w:szCs w:val="20"/>
          <w:color w:val="auto"/>
        </w:rPr>
      </w:pPr>
    </w:p>
    <w:p>
      <w:pPr>
        <w:ind w:left="660" w:right="60" w:hanging="647"/>
        <w:spacing w:after="0" w:line="252" w:lineRule="auto"/>
        <w:tabs>
          <w:tab w:leader="none" w:pos="640" w:val="left"/>
        </w:tabs>
        <w:rPr>
          <w:sz w:val="20"/>
          <w:szCs w:val="20"/>
          <w:color w:val="auto"/>
        </w:rPr>
      </w:pPr>
      <w:r>
        <w:rPr>
          <w:rFonts w:ascii="Arial" w:cs="Arial" w:eastAsia="Arial" w:hAnsi="Arial"/>
          <w:sz w:val="16"/>
          <w:szCs w:val="16"/>
          <w:color w:val="CE0D41"/>
        </w:rPr>
        <w:t>13.2</w:t>
      </w:r>
      <w:r>
        <w:rPr>
          <w:sz w:val="20"/>
          <w:szCs w:val="20"/>
          <w:color w:val="auto"/>
        </w:rPr>
        <w:tab/>
      </w:r>
      <w:r>
        <w:rPr>
          <w:rFonts w:ascii="Arial" w:cs="Arial" w:eastAsia="Arial" w:hAnsi="Arial"/>
          <w:sz w:val="16"/>
          <w:szCs w:val="16"/>
          <w:b w:val="1"/>
          <w:bCs w:val="1"/>
          <w:color w:val="auto"/>
        </w:rPr>
        <w:t xml:space="preserve">Authority of the Committee. </w:t>
      </w:r>
      <w:r>
        <w:rPr>
          <w:rFonts w:ascii="Arial" w:cs="Arial" w:eastAsia="Arial" w:hAnsi="Arial"/>
          <w:sz w:val="16"/>
          <w:szCs w:val="16"/>
          <w:color w:val="auto"/>
        </w:rPr>
        <w:t>The Committee may adopt its own rules of procedure. A majority of the members of the Committee shall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176"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Designate Holders to receive Awards;</w:t>
      </w:r>
    </w:p>
    <w:p>
      <w:pPr>
        <w:spacing w:after="0" w:line="19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Determine the type or types of Awards to be granted to each Holder;</w:t>
      </w:r>
    </w:p>
    <w:p>
      <w:pPr>
        <w:spacing w:after="0" w:line="19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Determine the number of Awards to be granted and the number of Shares to which an Award will relate;</w:t>
      </w:r>
    </w:p>
    <w:p>
      <w:pPr>
        <w:spacing w:after="0" w:line="194" w:lineRule="exact"/>
        <w:rPr>
          <w:rFonts w:ascii="Arial" w:cs="Arial" w:eastAsia="Arial" w:hAnsi="Arial"/>
          <w:sz w:val="16"/>
          <w:szCs w:val="16"/>
          <w:color w:val="CE0D41"/>
        </w:rPr>
      </w:pPr>
    </w:p>
    <w:p>
      <w:pPr>
        <w:ind w:left="980" w:right="120" w:hanging="324"/>
        <w:spacing w:after="0" w:line="248"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81" w:lineRule="exact"/>
        <w:rPr>
          <w:rFonts w:ascii="Arial" w:cs="Arial" w:eastAsia="Arial" w:hAnsi="Arial"/>
          <w:sz w:val="16"/>
          <w:szCs w:val="16"/>
          <w:color w:val="CE0D41"/>
        </w:rPr>
      </w:pPr>
    </w:p>
    <w:p>
      <w:pPr>
        <w:ind w:left="980" w:right="320" w:hanging="324"/>
        <w:spacing w:after="0" w:line="253"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7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Prescribe the form of each Award Agreement, which need not be identical for each Holder;</w:t>
      </w:r>
    </w:p>
    <w:p>
      <w:pPr>
        <w:spacing w:after="0" w:line="19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Decide all other matters that must be determined in connection with an Award;</w:t>
      </w:r>
    </w:p>
    <w:p>
      <w:pPr>
        <w:spacing w:after="0" w:line="194" w:lineRule="exact"/>
        <w:rPr>
          <w:rFonts w:ascii="Arial" w:cs="Arial" w:eastAsia="Arial" w:hAnsi="Arial"/>
          <w:sz w:val="16"/>
          <w:szCs w:val="16"/>
          <w:color w:val="CE0D41"/>
        </w:rPr>
      </w:pPr>
    </w:p>
    <w:p>
      <w:pPr>
        <w:ind w:left="980" w:right="20" w:hanging="324"/>
        <w:spacing w:after="0" w:line="25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76"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Interpret the terms of, and any matter arising pursuant to, the Plan, any sub-plan or Award Agreement;</w:t>
      </w:r>
    </w:p>
    <w:p>
      <w:pPr>
        <w:spacing w:after="0" w:line="194" w:lineRule="exact"/>
        <w:rPr>
          <w:rFonts w:ascii="Arial" w:cs="Arial" w:eastAsia="Arial" w:hAnsi="Arial"/>
          <w:sz w:val="16"/>
          <w:szCs w:val="16"/>
          <w:color w:val="CE0D41"/>
        </w:rPr>
      </w:pPr>
    </w:p>
    <w:p>
      <w:pPr>
        <w:ind w:left="980" w:right="80" w:hanging="324"/>
        <w:spacing w:after="0" w:line="26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68" w:lineRule="exact"/>
        <w:rPr>
          <w:rFonts w:ascii="Arial" w:cs="Arial" w:eastAsia="Arial" w:hAnsi="Arial"/>
          <w:sz w:val="16"/>
          <w:szCs w:val="16"/>
          <w:color w:val="CE0D41"/>
        </w:rPr>
      </w:pPr>
    </w:p>
    <w:p>
      <w:pPr>
        <w:ind w:left="980" w:right="40" w:hanging="324"/>
        <w:spacing w:after="0" w:line="26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As permitted by law and stock exchange rules and the terms and provisions of the Plan, the Committee may delegate its authority as identified in this Section 13.2; and</w:t>
      </w:r>
    </w:p>
    <w:p>
      <w:pPr>
        <w:spacing w:after="0" w:line="168" w:lineRule="exact"/>
        <w:rPr>
          <w:rFonts w:ascii="Arial" w:cs="Arial" w:eastAsia="Arial" w:hAnsi="Arial"/>
          <w:sz w:val="16"/>
          <w:szCs w:val="16"/>
          <w:color w:val="CE0D41"/>
        </w:rPr>
      </w:pPr>
    </w:p>
    <w:p>
      <w:pPr>
        <w:ind w:left="980" w:right="160" w:hanging="324"/>
        <w:spacing w:after="0" w:line="26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Make all other decisions and determinations that may be required pursuant to the Plan, or any sub-plan or Award Agreement as the Committee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A-24</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84" w:right="279" w:bottom="1440" w:gutter="0" w:footer="0" w:header="0"/>
        </w:sectPr>
      </w:pPr>
    </w:p>
    <w:bookmarkStart w:id="121" w:name="page122"/>
    <w:bookmarkEnd w:id="12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XV</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or advisable to administer the Plan, any sub-plan or Award Agreement.</w:t>
      </w:r>
    </w:p>
    <w:p>
      <w:pPr>
        <w:spacing w:after="0" w:line="174" w:lineRule="exact"/>
        <w:rPr>
          <w:sz w:val="20"/>
          <w:szCs w:val="20"/>
          <w:color w:val="auto"/>
        </w:rPr>
      </w:pPr>
    </w:p>
    <w:p>
      <w:pPr>
        <w:ind w:left="660" w:right="200" w:hanging="647"/>
        <w:spacing w:after="0" w:line="266" w:lineRule="auto"/>
        <w:tabs>
          <w:tab w:leader="none" w:pos="640" w:val="left"/>
        </w:tabs>
        <w:rPr>
          <w:sz w:val="20"/>
          <w:szCs w:val="20"/>
          <w:color w:val="auto"/>
        </w:rPr>
      </w:pPr>
      <w:r>
        <w:rPr>
          <w:rFonts w:ascii="Arial" w:cs="Arial" w:eastAsia="Arial" w:hAnsi="Arial"/>
          <w:sz w:val="16"/>
          <w:szCs w:val="16"/>
          <w:color w:val="CE0D41"/>
        </w:rPr>
        <w:t>13.3</w:t>
      </w:r>
      <w:r>
        <w:rPr>
          <w:sz w:val="20"/>
          <w:szCs w:val="20"/>
          <w:color w:val="auto"/>
        </w:rPr>
        <w:tab/>
      </w:r>
      <w:r>
        <w:rPr>
          <w:rFonts w:ascii="Arial" w:cs="Arial" w:eastAsia="Arial" w:hAnsi="Arial"/>
          <w:sz w:val="16"/>
          <w:szCs w:val="16"/>
          <w:b w:val="1"/>
          <w:bCs w:val="1"/>
          <w:color w:val="auto"/>
        </w:rPr>
        <w:t xml:space="preserve">Decisions Binding. </w:t>
      </w:r>
      <w:r>
        <w:rPr>
          <w:rFonts w:ascii="Arial" w:cs="Arial" w:eastAsia="Arial" w:hAnsi="Arial"/>
          <w:sz w:val="16"/>
          <w:szCs w:val="16"/>
          <w:color w:val="auto"/>
        </w:rPr>
        <w:t>All determinations and decisions made by the Committee or the Board, as the case may be, pursuant to the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all related orders and resolutions of the Committee or the Board, as the case may be, shall be final, conclusive and binding on all persons, including the Company, the Holders and the estates and beneficiaries of Holders.</w:t>
      </w:r>
    </w:p>
    <w:p>
      <w:pPr>
        <w:spacing w:after="0" w:line="145" w:lineRule="exact"/>
        <w:rPr>
          <w:sz w:val="20"/>
          <w:szCs w:val="20"/>
          <w:color w:val="auto"/>
        </w:rPr>
      </w:pPr>
    </w:p>
    <w:p>
      <w:pPr>
        <w:ind w:left="660" w:right="40" w:hanging="647"/>
        <w:spacing w:after="0" w:line="251" w:lineRule="auto"/>
        <w:tabs>
          <w:tab w:leader="none" w:pos="640" w:val="left"/>
        </w:tabs>
        <w:rPr>
          <w:sz w:val="20"/>
          <w:szCs w:val="20"/>
          <w:color w:val="auto"/>
        </w:rPr>
      </w:pPr>
      <w:r>
        <w:rPr>
          <w:rFonts w:ascii="Arial" w:cs="Arial" w:eastAsia="Arial" w:hAnsi="Arial"/>
          <w:sz w:val="16"/>
          <w:szCs w:val="16"/>
          <w:color w:val="CE0D41"/>
        </w:rPr>
        <w:t>13.4</w:t>
      </w:r>
      <w:r>
        <w:rPr>
          <w:sz w:val="20"/>
          <w:szCs w:val="20"/>
          <w:color w:val="auto"/>
        </w:rPr>
        <w:tab/>
      </w:r>
      <w:r>
        <w:rPr>
          <w:rFonts w:ascii="Arial" w:cs="Arial" w:eastAsia="Arial" w:hAnsi="Arial"/>
          <w:sz w:val="16"/>
          <w:szCs w:val="16"/>
          <w:b w:val="1"/>
          <w:bCs w:val="1"/>
          <w:color w:val="auto"/>
        </w:rPr>
        <w:t xml:space="preserve">No Liability to Holders. </w:t>
      </w:r>
      <w:r>
        <w:rPr>
          <w:rFonts w:ascii="Arial" w:cs="Arial" w:eastAsia="Arial" w:hAnsi="Arial"/>
          <w:sz w:val="16"/>
          <w:szCs w:val="16"/>
          <w:color w:val="auto"/>
        </w:rPr>
        <w:t>The Committee may employ attorneys, consultants, accountants, appraisers, brokers or other persons and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AMENDMENT OR TERMINATION OF PLAN</w:t>
      </w:r>
    </w:p>
    <w:p>
      <w:pPr>
        <w:spacing w:after="0" w:line="351" w:lineRule="exact"/>
        <w:rPr>
          <w:sz w:val="20"/>
          <w:szCs w:val="20"/>
          <w:color w:val="auto"/>
        </w:rPr>
      </w:pPr>
    </w:p>
    <w:p>
      <w:pPr>
        <w:ind w:left="660" w:right="80" w:hanging="647"/>
        <w:spacing w:after="0" w:line="256" w:lineRule="auto"/>
        <w:tabs>
          <w:tab w:leader="none" w:pos="640" w:val="left"/>
        </w:tabs>
        <w:rPr>
          <w:sz w:val="20"/>
          <w:szCs w:val="20"/>
          <w:color w:val="auto"/>
        </w:rPr>
      </w:pPr>
      <w:r>
        <w:rPr>
          <w:rFonts w:ascii="Arial" w:cs="Arial" w:eastAsia="Arial" w:hAnsi="Arial"/>
          <w:sz w:val="16"/>
          <w:szCs w:val="16"/>
          <w:color w:val="CE0D41"/>
        </w:rPr>
        <w:t>14.1</w:t>
      </w:r>
      <w:r>
        <w:rPr>
          <w:sz w:val="20"/>
          <w:szCs w:val="20"/>
          <w:color w:val="auto"/>
        </w:rPr>
        <w:tab/>
      </w:r>
      <w:r>
        <w:rPr>
          <w:rFonts w:ascii="Arial" w:cs="Arial" w:eastAsia="Arial" w:hAnsi="Arial"/>
          <w:sz w:val="16"/>
          <w:szCs w:val="16"/>
          <w:b w:val="1"/>
          <w:bCs w:val="1"/>
          <w:color w:val="auto"/>
        </w:rPr>
        <w:t xml:space="preserve">Amendment, Modification, Suspension, and Termination. </w:t>
      </w:r>
      <w:r>
        <w:rPr>
          <w:rFonts w:ascii="Arial" w:cs="Arial" w:eastAsia="Arial" w:hAnsi="Arial"/>
          <w:sz w:val="16"/>
          <w:szCs w:val="16"/>
          <w:color w:val="auto"/>
        </w:rPr>
        <w:t>Subject to Section 14.2, the Board may, at any time and from time to time, alter, amend,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no amendment or modification of the Plan shall be made without shareholder approval if shareholder approval is required by applicable law or stock exchange rules.</w:t>
      </w:r>
    </w:p>
    <w:p>
      <w:pPr>
        <w:spacing w:after="0" w:line="153"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Arial" w:cs="Arial" w:eastAsia="Arial" w:hAnsi="Arial"/>
          <w:sz w:val="16"/>
          <w:szCs w:val="16"/>
          <w:color w:val="CE0D41"/>
        </w:rPr>
        <w:t>14.2</w:t>
      </w:r>
      <w:r>
        <w:rPr>
          <w:sz w:val="20"/>
          <w:szCs w:val="20"/>
          <w:color w:val="auto"/>
        </w:rPr>
        <w:tab/>
      </w:r>
      <w:r>
        <w:rPr>
          <w:rFonts w:ascii="Arial" w:cs="Arial" w:eastAsia="Arial" w:hAnsi="Arial"/>
          <w:sz w:val="16"/>
          <w:szCs w:val="16"/>
          <w:b w:val="1"/>
          <w:bCs w:val="1"/>
          <w:color w:val="auto"/>
        </w:rPr>
        <w:t xml:space="preserve">Awards Previously Granted. </w:t>
      </w:r>
      <w:r>
        <w:rPr>
          <w:rFonts w:ascii="Arial" w:cs="Arial" w:eastAsia="Arial" w:hAnsi="Arial"/>
          <w:sz w:val="16"/>
          <w:szCs w:val="16"/>
          <w:color w:val="auto"/>
        </w:rPr>
        <w:t>Notwithstanding any contrary provision of the Plan, no alteration, amendment, restatement, modification, suspension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the Plan or an Award Agreement shall adversely affect in any material way any Award previously granted under the Plan, without the written consent of the Holder holding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MISCELLANEOUS</w:t>
      </w:r>
    </w:p>
    <w:p>
      <w:pPr>
        <w:spacing w:after="0" w:line="351" w:lineRule="exact"/>
        <w:rPr>
          <w:sz w:val="20"/>
          <w:szCs w:val="20"/>
          <w:color w:val="auto"/>
        </w:rPr>
      </w:pPr>
    </w:p>
    <w:p>
      <w:pPr>
        <w:ind w:left="660" w:right="20" w:hanging="647"/>
        <w:spacing w:after="0" w:line="252" w:lineRule="auto"/>
        <w:tabs>
          <w:tab w:leader="none" w:pos="640" w:val="left"/>
        </w:tabs>
        <w:rPr>
          <w:sz w:val="20"/>
          <w:szCs w:val="20"/>
          <w:color w:val="auto"/>
        </w:rPr>
      </w:pPr>
      <w:r>
        <w:rPr>
          <w:rFonts w:ascii="Arial" w:cs="Arial" w:eastAsia="Arial" w:hAnsi="Arial"/>
          <w:sz w:val="16"/>
          <w:szCs w:val="16"/>
          <w:color w:val="CE0D41"/>
        </w:rPr>
        <w:t>15.1</w:t>
      </w:r>
      <w:r>
        <w:rPr>
          <w:sz w:val="20"/>
          <w:szCs w:val="20"/>
          <w:color w:val="auto"/>
        </w:rPr>
        <w:tab/>
      </w:r>
      <w:r>
        <w:rPr>
          <w:rFonts w:ascii="Arial" w:cs="Arial" w:eastAsia="Arial" w:hAnsi="Arial"/>
          <w:sz w:val="16"/>
          <w:szCs w:val="16"/>
          <w:b w:val="1"/>
          <w:bCs w:val="1"/>
          <w:color w:val="auto"/>
        </w:rPr>
        <w:t xml:space="preserve">Unfunded Plan/No Establishment of a Trust Fund. </w:t>
      </w:r>
      <w:r>
        <w:rPr>
          <w:rFonts w:ascii="Arial" w:cs="Arial" w:eastAsia="Arial" w:hAnsi="Arial"/>
          <w:sz w:val="16"/>
          <w:szCs w:val="16"/>
          <w:color w:val="auto"/>
        </w:rPr>
        <w:t>Holders shall have no right, title, or interest whatsoever in or to any investments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22" w:name="page123"/>
    <w:bookmarkEnd w:id="12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XV</w:t>
      </w:r>
    </w:p>
    <w:p>
      <w:pPr>
        <w:spacing w:after="0" w:line="245" w:lineRule="exact"/>
        <w:rPr>
          <w:sz w:val="20"/>
          <w:szCs w:val="20"/>
          <w:color w:val="auto"/>
        </w:rPr>
      </w:pPr>
    </w:p>
    <w:p>
      <w:pPr>
        <w:ind w:left="660" w:right="680"/>
        <w:spacing w:after="0" w:line="260" w:lineRule="auto"/>
        <w:rPr>
          <w:sz w:val="20"/>
          <w:szCs w:val="20"/>
          <w:color w:val="auto"/>
        </w:rPr>
      </w:pPr>
      <w:r>
        <w:rPr>
          <w:rFonts w:ascii="Arial" w:cs="Arial" w:eastAsia="Arial" w:hAnsi="Arial"/>
          <w:sz w:val="16"/>
          <w:szCs w:val="16"/>
          <w:color w:val="auto"/>
        </w:rPr>
        <w:t>any Holder under the Plan. The Plan is not intended to be subject to the United States Employee Retirement Income Security Act of 1974, as amended.</w:t>
      </w:r>
    </w:p>
    <w:p>
      <w:pPr>
        <w:spacing w:after="0" w:line="149"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6"/>
          <w:szCs w:val="16"/>
          <w:color w:val="CE0D41"/>
        </w:rPr>
        <w:t>15.2</w:t>
      </w:r>
      <w:r>
        <w:rPr>
          <w:sz w:val="20"/>
          <w:szCs w:val="20"/>
          <w:color w:val="auto"/>
        </w:rPr>
        <w:tab/>
      </w:r>
      <w:r>
        <w:rPr>
          <w:rFonts w:ascii="Arial" w:cs="Arial" w:eastAsia="Arial" w:hAnsi="Arial"/>
          <w:sz w:val="16"/>
          <w:szCs w:val="16"/>
          <w:b w:val="1"/>
          <w:bCs w:val="1"/>
          <w:color w:val="auto"/>
        </w:rPr>
        <w:t xml:space="preserve">No Employment Obligation. </w:t>
      </w:r>
      <w:r>
        <w:rPr>
          <w:rFonts w:ascii="Arial" w:cs="Arial" w:eastAsia="Arial" w:hAnsi="Arial"/>
          <w:sz w:val="16"/>
          <w:szCs w:val="16"/>
          <w:color w:val="auto"/>
        </w:rPr>
        <w:t>The granting of any Award shall not constitute an employment or service contract, express or implied, alter any “at will”</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53"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6"/>
          <w:szCs w:val="16"/>
          <w:color w:val="CE0D41"/>
        </w:rPr>
        <w:t>15.3</w:t>
      </w:r>
      <w:r>
        <w:rPr>
          <w:sz w:val="20"/>
          <w:szCs w:val="20"/>
          <w:color w:val="auto"/>
        </w:rPr>
        <w:tab/>
      </w:r>
      <w:r>
        <w:rPr>
          <w:rFonts w:ascii="Arial" w:cs="Arial" w:eastAsia="Arial" w:hAnsi="Arial"/>
          <w:sz w:val="16"/>
          <w:szCs w:val="16"/>
          <w:b w:val="1"/>
          <w:bCs w:val="1"/>
          <w:color w:val="auto"/>
        </w:rPr>
        <w:t xml:space="preserve">Transfers and Leaves of Absence. </w:t>
      </w:r>
      <w:r>
        <w:rPr>
          <w:rFonts w:ascii="Arial" w:cs="Arial" w:eastAsia="Arial" w:hAnsi="Arial"/>
          <w:sz w:val="16"/>
          <w:szCs w:val="16"/>
          <w:color w:val="auto"/>
        </w:rPr>
        <w:t>For purposes of the Plan, unless the Committee determines otherwise: (a) a transfer of a Holder’s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an 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161" w:lineRule="exact"/>
        <w:rPr>
          <w:sz w:val="20"/>
          <w:szCs w:val="20"/>
          <w:color w:val="auto"/>
        </w:rPr>
      </w:pPr>
    </w:p>
    <w:p>
      <w:pPr>
        <w:ind w:left="660" w:right="60" w:hanging="647"/>
        <w:spacing w:after="0" w:line="249" w:lineRule="auto"/>
        <w:tabs>
          <w:tab w:leader="none" w:pos="640" w:val="left"/>
        </w:tabs>
        <w:rPr>
          <w:sz w:val="20"/>
          <w:szCs w:val="20"/>
          <w:color w:val="auto"/>
        </w:rPr>
      </w:pPr>
      <w:r>
        <w:rPr>
          <w:rFonts w:ascii="Arial" w:cs="Arial" w:eastAsia="Arial" w:hAnsi="Arial"/>
          <w:sz w:val="16"/>
          <w:szCs w:val="16"/>
          <w:color w:val="CE0D42"/>
        </w:rPr>
        <w:t>15.4</w:t>
      </w:r>
      <w:r>
        <w:rPr>
          <w:sz w:val="20"/>
          <w:szCs w:val="20"/>
          <w:color w:val="auto"/>
        </w:rPr>
        <w:tab/>
      </w: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or any Affiliate shall have the authority and right to deduct or withhold or require a Holder to remit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an amount sufficient to satisfy Tax-Related Items with respect to any taxable event concerning a Holder arising as a result of the Plan or to take such other action as may be necessary in the opinion of the Company or any Affiliate, as appropriate, to satisfy withholding obligations for the payment of Tax-Related Items, including but not limited to (a) 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based on the minimum statutory withholding rates or other applicable minimum withholding rates. No Shares shall be delivered hereunder to any Holder or other person until the Holder or such other person has made arrangements acceptable to the Company for the satisfaction of the Tax-Related Items withholdings obligations with respect to any taxable event concerning the Holder or such other person arising as a result of the Plan.</w:t>
      </w:r>
    </w:p>
    <w:p>
      <w:pPr>
        <w:spacing w:after="0" w:line="164"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Arial" w:cs="Arial" w:eastAsia="Arial" w:hAnsi="Arial"/>
          <w:sz w:val="16"/>
          <w:szCs w:val="16"/>
          <w:color w:val="CE0D41"/>
        </w:rPr>
        <w:t>15.5</w:t>
      </w:r>
      <w:r>
        <w:rPr>
          <w:sz w:val="20"/>
          <w:szCs w:val="20"/>
          <w:color w:val="auto"/>
        </w:rPr>
        <w:tab/>
      </w:r>
      <w:r>
        <w:rPr>
          <w:rFonts w:ascii="Arial" w:cs="Arial" w:eastAsia="Arial" w:hAnsi="Arial"/>
          <w:sz w:val="16"/>
          <w:szCs w:val="16"/>
          <w:b w:val="1"/>
          <w:bCs w:val="1"/>
          <w:color w:val="auto"/>
        </w:rPr>
        <w:t xml:space="preserve">Gender and Number. </w:t>
      </w:r>
      <w:r>
        <w:rPr>
          <w:rFonts w:ascii="Arial" w:cs="Arial" w:eastAsia="Arial" w:hAnsi="Arial"/>
          <w:sz w:val="16"/>
          <w:szCs w:val="16"/>
          <w:color w:val="auto"/>
        </w:rPr>
        <w:t>If the context requires, words of one gender when used in the Plan shall include the other and words used in the singular or</w:t>
      </w:r>
      <w:r>
        <w:rPr>
          <w:rFonts w:ascii="Arial" w:cs="Arial" w:eastAsia="Arial" w:hAnsi="Arial"/>
          <w:sz w:val="16"/>
          <w:szCs w:val="16"/>
          <w:b w:val="1"/>
          <w:bCs w:val="1"/>
          <w:color w:val="auto"/>
        </w:rPr>
        <w:t xml:space="preserve"> </w:t>
      </w:r>
      <w:r>
        <w:rPr>
          <w:rFonts w:ascii="Arial" w:cs="Arial" w:eastAsia="Arial" w:hAnsi="Arial"/>
          <w:sz w:val="16"/>
          <w:szCs w:val="16"/>
          <w:color w:val="auto"/>
        </w:rPr>
        <w:t>plural shall include the other.</w:t>
      </w:r>
    </w:p>
    <w:p>
      <w:pPr>
        <w:spacing w:after="0" w:line="12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6"/>
          <w:szCs w:val="16"/>
          <w:color w:val="CE0D41"/>
        </w:rPr>
        <w:t>15.6</w:t>
      </w:r>
      <w:r>
        <w:rPr>
          <w:sz w:val="20"/>
          <w:szCs w:val="20"/>
          <w:color w:val="auto"/>
        </w:rPr>
        <w:tab/>
      </w: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In the event any provision of the Plan shall be held illegal or invalid for any reason, the illegality or invalidity shall not affect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parts of the Plan, and the Plan shall be construed and enforced as if the illegal or invalid provision had not been included.</w:t>
      </w:r>
    </w:p>
    <w:p>
      <w:pPr>
        <w:spacing w:after="0" w:line="129" w:lineRule="exact"/>
        <w:rPr>
          <w:sz w:val="20"/>
          <w:szCs w:val="20"/>
          <w:color w:val="auto"/>
        </w:rPr>
      </w:pPr>
    </w:p>
    <w:p>
      <w:pPr>
        <w:ind w:left="660" w:right="260" w:hanging="647"/>
        <w:spacing w:after="0" w:line="286" w:lineRule="auto"/>
        <w:tabs>
          <w:tab w:leader="none" w:pos="640" w:val="left"/>
        </w:tabs>
        <w:rPr>
          <w:sz w:val="20"/>
          <w:szCs w:val="20"/>
          <w:color w:val="auto"/>
        </w:rPr>
      </w:pPr>
      <w:r>
        <w:rPr>
          <w:rFonts w:ascii="Arial" w:cs="Arial" w:eastAsia="Arial" w:hAnsi="Arial"/>
          <w:sz w:val="16"/>
          <w:szCs w:val="16"/>
          <w:color w:val="CE0D41"/>
        </w:rPr>
        <w:t>15.7</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Headings of Articles and Sections are included for convenience of reference only and do not constitute part of the Plan and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used in construing the terms and provisions of the Plan.</w:t>
      </w:r>
    </w:p>
    <w:p>
      <w:pPr>
        <w:spacing w:after="0" w:line="129" w:lineRule="exact"/>
        <w:rPr>
          <w:sz w:val="20"/>
          <w:szCs w:val="20"/>
          <w:color w:val="auto"/>
        </w:rPr>
      </w:pPr>
    </w:p>
    <w:p>
      <w:pPr>
        <w:ind w:left="660" w:right="260" w:hanging="647"/>
        <w:spacing w:after="0" w:line="286" w:lineRule="auto"/>
        <w:tabs>
          <w:tab w:leader="none" w:pos="640" w:val="left"/>
        </w:tabs>
        <w:rPr>
          <w:sz w:val="20"/>
          <w:szCs w:val="20"/>
          <w:color w:val="auto"/>
        </w:rPr>
      </w:pPr>
      <w:r>
        <w:rPr>
          <w:rFonts w:ascii="Arial" w:cs="Arial" w:eastAsia="Arial" w:hAnsi="Arial"/>
          <w:sz w:val="16"/>
          <w:szCs w:val="16"/>
          <w:color w:val="CE0D41"/>
        </w:rPr>
        <w:t>15.8</w:t>
      </w:r>
      <w:r>
        <w:rPr>
          <w:sz w:val="20"/>
          <w:szCs w:val="20"/>
          <w:color w:val="auto"/>
        </w:rPr>
        <w:tab/>
      </w:r>
      <w:r>
        <w:rPr>
          <w:rFonts w:ascii="Arial" w:cs="Arial" w:eastAsia="Arial" w:hAnsi="Arial"/>
          <w:sz w:val="16"/>
          <w:szCs w:val="16"/>
          <w:b w:val="1"/>
          <w:bCs w:val="1"/>
          <w:color w:val="auto"/>
        </w:rPr>
        <w:t xml:space="preserve">Other Compensation Plans. </w:t>
      </w:r>
      <w:r>
        <w:rPr>
          <w:rFonts w:ascii="Arial" w:cs="Arial" w:eastAsia="Arial" w:hAnsi="Arial"/>
          <w:sz w:val="16"/>
          <w:szCs w:val="16"/>
          <w:color w:val="auto"/>
        </w:rPr>
        <w:t>The adoption of the Plan shall not affect any outstanding options, restricted shares or restricted share units, nor shall</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preclude the Company from establishing any other forms of incentive compensation arrangements for Employees or Directors.</w:t>
      </w:r>
    </w:p>
    <w:p>
      <w:pPr>
        <w:spacing w:after="0" w:line="129"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15.9</w:t>
      </w:r>
      <w:r>
        <w:rPr>
          <w:sz w:val="20"/>
          <w:szCs w:val="20"/>
          <w:color w:val="auto"/>
        </w:rPr>
        <w:tab/>
      </w:r>
      <w:r>
        <w:rPr>
          <w:rFonts w:ascii="Arial" w:cs="Arial" w:eastAsia="Arial" w:hAnsi="Arial"/>
          <w:sz w:val="16"/>
          <w:szCs w:val="16"/>
          <w:b w:val="1"/>
          <w:bCs w:val="1"/>
          <w:color w:val="auto"/>
        </w:rPr>
        <w:t xml:space="preserve">Other Awards. </w:t>
      </w:r>
      <w:r>
        <w:rPr>
          <w:rFonts w:ascii="Arial" w:cs="Arial" w:eastAsia="Arial" w:hAnsi="Arial"/>
          <w:sz w:val="16"/>
          <w:szCs w:val="16"/>
          <w:color w:val="auto"/>
        </w:rPr>
        <w:t>The grant of an Award shall not confer upon the Holder the right to receive any future or other Awards under the Plan,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may be granted to similarly situated Holders, or the right to receive future Awards upon the same terms or conditions as previously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A-26</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XV</w:t>
      </w:r>
    </w:p>
    <w:p>
      <w:pPr>
        <w:spacing w:after="0" w:line="319" w:lineRule="exact"/>
        <w:rPr>
          <w:sz w:val="20"/>
          <w:szCs w:val="20"/>
          <w:color w:val="auto"/>
        </w:rPr>
      </w:pPr>
    </w:p>
    <w:p>
      <w:pPr>
        <w:ind w:left="660" w:right="380" w:hanging="647"/>
        <w:spacing w:after="0" w:line="259" w:lineRule="auto"/>
        <w:tabs>
          <w:tab w:leader="none" w:pos="640" w:val="left"/>
        </w:tabs>
        <w:rPr>
          <w:sz w:val="20"/>
          <w:szCs w:val="20"/>
          <w:color w:val="auto"/>
        </w:rPr>
      </w:pPr>
      <w:r>
        <w:rPr>
          <w:rFonts w:ascii="Arial" w:cs="Arial" w:eastAsia="Arial" w:hAnsi="Arial"/>
          <w:sz w:val="16"/>
          <w:szCs w:val="16"/>
          <w:color w:val="CE0D41"/>
        </w:rPr>
        <w:t>15.10</w:t>
      </w:r>
      <w:r>
        <w:rPr>
          <w:sz w:val="20"/>
          <w:szCs w:val="20"/>
          <w:color w:val="auto"/>
        </w:rPr>
        <w:tab/>
      </w:r>
      <w:r>
        <w:rPr>
          <w:rFonts w:ascii="Arial" w:cs="Arial" w:eastAsia="Arial" w:hAnsi="Arial"/>
          <w:sz w:val="16"/>
          <w:szCs w:val="16"/>
          <w:b w:val="1"/>
          <w:bCs w:val="1"/>
          <w:color w:val="auto"/>
        </w:rPr>
        <w:t xml:space="preserve">Successors. </w:t>
      </w:r>
      <w:r>
        <w:rPr>
          <w:rFonts w:ascii="Arial" w:cs="Arial" w:eastAsia="Arial" w:hAnsi="Arial"/>
          <w:sz w:val="16"/>
          <w:szCs w:val="16"/>
          <w:color w:val="auto"/>
        </w:rPr>
        <w:t>All obligations of the Company under the Plan with respect to Awards granted hereunder shall be binding on any successor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51" w:lineRule="exact"/>
        <w:rPr>
          <w:sz w:val="20"/>
          <w:szCs w:val="20"/>
          <w:color w:val="auto"/>
        </w:rPr>
      </w:pPr>
    </w:p>
    <w:p>
      <w:pPr>
        <w:ind w:left="660" w:right="380" w:hanging="647"/>
        <w:spacing w:after="0" w:line="286" w:lineRule="auto"/>
        <w:tabs>
          <w:tab w:leader="none" w:pos="640" w:val="left"/>
        </w:tabs>
        <w:rPr>
          <w:sz w:val="20"/>
          <w:szCs w:val="20"/>
          <w:color w:val="auto"/>
        </w:rPr>
      </w:pPr>
      <w:r>
        <w:rPr>
          <w:rFonts w:ascii="Arial" w:cs="Arial" w:eastAsia="Arial" w:hAnsi="Arial"/>
          <w:sz w:val="16"/>
          <w:szCs w:val="16"/>
          <w:color w:val="CE0D41"/>
        </w:rPr>
        <w:t>15.11</w:t>
      </w:r>
      <w:r>
        <w:rPr>
          <w:sz w:val="20"/>
          <w:szCs w:val="20"/>
          <w:color w:val="auto"/>
        </w:rPr>
        <w:tab/>
      </w:r>
      <w:r>
        <w:rPr>
          <w:rFonts w:ascii="Arial" w:cs="Arial" w:eastAsia="Arial" w:hAnsi="Arial"/>
          <w:sz w:val="16"/>
          <w:szCs w:val="16"/>
          <w:b w:val="1"/>
          <w:bCs w:val="1"/>
          <w:color w:val="auto"/>
        </w:rPr>
        <w:t xml:space="preserve">Law Limitations/Governmental Approvals. </w:t>
      </w:r>
      <w:r>
        <w:rPr>
          <w:rFonts w:ascii="Arial" w:cs="Arial" w:eastAsia="Arial" w:hAnsi="Arial"/>
          <w:sz w:val="16"/>
          <w:szCs w:val="16"/>
          <w:color w:val="auto"/>
        </w:rPr>
        <w:t>The granting of Awards and the issuance of Shares under the Plan shall be subject to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laws, rules, and regulations, and to such approvals by any governmental agencies or securities exchanges as may be required.</w:t>
      </w:r>
    </w:p>
    <w:p>
      <w:pPr>
        <w:spacing w:after="0" w:line="129" w:lineRule="exact"/>
        <w:rPr>
          <w:sz w:val="20"/>
          <w:szCs w:val="20"/>
          <w:color w:val="auto"/>
        </w:rPr>
      </w:pPr>
    </w:p>
    <w:p>
      <w:pPr>
        <w:ind w:left="660" w:right="100" w:hanging="647"/>
        <w:spacing w:after="0" w:line="286" w:lineRule="auto"/>
        <w:tabs>
          <w:tab w:leader="none" w:pos="640" w:val="left"/>
        </w:tabs>
        <w:rPr>
          <w:sz w:val="20"/>
          <w:szCs w:val="20"/>
          <w:color w:val="auto"/>
        </w:rPr>
      </w:pPr>
      <w:r>
        <w:rPr>
          <w:rFonts w:ascii="Arial" w:cs="Arial" w:eastAsia="Arial" w:hAnsi="Arial"/>
          <w:sz w:val="16"/>
          <w:szCs w:val="16"/>
          <w:color w:val="CE0D41"/>
        </w:rPr>
        <w:t>15.12</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shall be issued or acquired pursuant to the Plan or any Award. If the application of any provision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or any Award Agreement would yield a fractional Share, such fractional Share shall be rounded down to the next whole Share.</w:t>
      </w:r>
    </w:p>
    <w:p>
      <w:pPr>
        <w:spacing w:after="0" w:line="129" w:lineRule="exact"/>
        <w:rPr>
          <w:sz w:val="20"/>
          <w:szCs w:val="20"/>
          <w:color w:val="auto"/>
        </w:rPr>
      </w:pPr>
    </w:p>
    <w:p>
      <w:pPr>
        <w:jc w:val="both"/>
        <w:ind w:left="660" w:right="40" w:hanging="647"/>
        <w:spacing w:after="0" w:line="266" w:lineRule="auto"/>
        <w:tabs>
          <w:tab w:leader="none" w:pos="640" w:val="left"/>
        </w:tabs>
        <w:rPr>
          <w:sz w:val="20"/>
          <w:szCs w:val="20"/>
          <w:color w:val="auto"/>
        </w:rPr>
      </w:pPr>
      <w:r>
        <w:rPr>
          <w:rFonts w:ascii="Arial" w:cs="Arial" w:eastAsia="Arial" w:hAnsi="Arial"/>
          <w:sz w:val="16"/>
          <w:szCs w:val="16"/>
          <w:color w:val="CE0D41"/>
        </w:rPr>
        <w:t>15.13</w:t>
      </w:r>
      <w:r>
        <w:rPr>
          <w:sz w:val="20"/>
          <w:szCs w:val="20"/>
          <w:color w:val="auto"/>
        </w:rPr>
        <w:tab/>
      </w:r>
      <w:r>
        <w:rPr>
          <w:rFonts w:ascii="Arial" w:cs="Arial" w:eastAsia="Arial" w:hAnsi="Arial"/>
          <w:sz w:val="16"/>
          <w:szCs w:val="16"/>
          <w:b w:val="1"/>
          <w:bCs w:val="1"/>
          <w:color w:val="auto"/>
        </w:rPr>
        <w:t xml:space="preserve">Investment Representations. </w:t>
      </w:r>
      <w:r>
        <w:rPr>
          <w:rFonts w:ascii="Arial" w:cs="Arial" w:eastAsia="Arial" w:hAnsi="Arial"/>
          <w:sz w:val="16"/>
          <w:szCs w:val="16"/>
          <w:color w:val="auto"/>
        </w:rPr>
        <w:t>The Committee may require any person receiving Awards or Shares pursuant to an Award under the Plan to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and warrant 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45" w:lineRule="exact"/>
        <w:rPr>
          <w:sz w:val="20"/>
          <w:szCs w:val="20"/>
          <w:color w:val="auto"/>
        </w:rPr>
      </w:pPr>
    </w:p>
    <w:p>
      <w:pPr>
        <w:ind w:left="660" w:right="200" w:hanging="647"/>
        <w:spacing w:after="0" w:line="251" w:lineRule="auto"/>
        <w:tabs>
          <w:tab w:leader="none" w:pos="640" w:val="left"/>
        </w:tabs>
        <w:rPr>
          <w:sz w:val="20"/>
          <w:szCs w:val="20"/>
          <w:color w:val="auto"/>
        </w:rPr>
      </w:pPr>
      <w:r>
        <w:rPr>
          <w:rFonts w:ascii="Arial" w:cs="Arial" w:eastAsia="Arial" w:hAnsi="Arial"/>
          <w:sz w:val="16"/>
          <w:szCs w:val="16"/>
          <w:color w:val="CE0D41"/>
        </w:rPr>
        <w:t>15.14</w:t>
      </w:r>
      <w:r>
        <w:rPr>
          <w:sz w:val="20"/>
          <w:szCs w:val="20"/>
          <w:color w:val="auto"/>
        </w:rPr>
        <w:tab/>
      </w:r>
      <w:r>
        <w:rPr>
          <w:rFonts w:ascii="Arial" w:cs="Arial" w:eastAsia="Arial" w:hAnsi="Arial"/>
          <w:sz w:val="16"/>
          <w:szCs w:val="16"/>
          <w:b w:val="1"/>
          <w:bCs w:val="1"/>
          <w:color w:val="auto"/>
        </w:rPr>
        <w:t xml:space="preserve">Persons Residing Outside of Ireland or the United States. </w:t>
      </w:r>
      <w:r>
        <w:rPr>
          <w:rFonts w:ascii="Arial" w:cs="Arial" w:eastAsia="Arial" w:hAnsi="Arial"/>
          <w:sz w:val="16"/>
          <w:szCs w:val="16"/>
          <w:color w:val="auto"/>
        </w:rPr>
        <w:t>Notwithstanding any provision of the Plan to the contrary, in order to comply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in other 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156" w:lineRule="exact"/>
        <w:rPr>
          <w:sz w:val="20"/>
          <w:szCs w:val="20"/>
          <w:color w:val="auto"/>
        </w:rPr>
      </w:pPr>
    </w:p>
    <w:p>
      <w:pPr>
        <w:jc w:val="both"/>
        <w:ind w:left="660" w:right="80" w:hanging="647"/>
        <w:spacing w:after="0" w:line="266" w:lineRule="auto"/>
        <w:tabs>
          <w:tab w:leader="none" w:pos="640" w:val="left"/>
        </w:tabs>
        <w:rPr>
          <w:sz w:val="20"/>
          <w:szCs w:val="20"/>
          <w:color w:val="auto"/>
        </w:rPr>
      </w:pPr>
      <w:r>
        <w:rPr>
          <w:rFonts w:ascii="Arial" w:cs="Arial" w:eastAsia="Arial" w:hAnsi="Arial"/>
          <w:sz w:val="16"/>
          <w:szCs w:val="16"/>
          <w:color w:val="CE0D41"/>
        </w:rPr>
        <w:t>15.15</w:t>
      </w:r>
      <w:r>
        <w:rPr>
          <w:sz w:val="20"/>
          <w:szCs w:val="20"/>
          <w:color w:val="auto"/>
        </w:rPr>
        <w:tab/>
      </w: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validity, construction and effect of the Plan and any rules and regulations relating to the Plan shall be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applicable United States federal law and the laws of the State of Texas, without regard to any conflict of laws principles, except to the extent that the laws of Ireland mandatorily apply.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15.16</w:t>
      </w:r>
      <w:r>
        <w:rPr>
          <w:sz w:val="20"/>
          <w:szCs w:val="20"/>
          <w:color w:val="auto"/>
        </w:rPr>
        <w:tab/>
      </w:r>
      <w:r>
        <w:rPr>
          <w:rFonts w:ascii="Arial" w:cs="Arial" w:eastAsia="Arial" w:hAnsi="Arial"/>
          <w:sz w:val="16"/>
          <w:szCs w:val="16"/>
          <w:b w:val="1"/>
          <w:bCs w:val="1"/>
          <w:color w:val="auto"/>
        </w:rPr>
        <w:t xml:space="preserve">Purchase Rights. </w:t>
      </w:r>
      <w:r>
        <w:rPr>
          <w:rFonts w:ascii="Arial" w:cs="Arial" w:eastAsia="Arial" w:hAnsi="Arial"/>
          <w:sz w:val="16"/>
          <w:szCs w:val="16"/>
          <w:color w:val="auto"/>
        </w:rPr>
        <w:t>Any right of the Company to purchase or repurchase a Share shall include a right to redeem the Share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7026910</wp:posOffset>
            </wp:positionV>
            <wp:extent cx="72466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A-28</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25" w:name="page126"/>
    <w:bookmarkEnd w:id="125"/>
    <w:p>
      <w:pPr>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88931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93175"/>
                    </a:xfrm>
                    <a:prstGeom prst="rect">
                      <a:avLst/>
                    </a:prstGeom>
                    <a:noFill/>
                  </pic:spPr>
                </pic:pic>
              </a:graphicData>
            </a:graphic>
          </wp:anchor>
        </w:drawing>
        <w:t>WEATHERFORD’S TECHNOLOGY RECOGNIZED BY THE INDUSTRY</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FFFFFF"/>
        </w:rPr>
        <w:t>Weatherford is a proud recipient of two 2015 Offshore Technology Conference (OTC) Spotlight on New Technology Awards for the Red Eye® Subsea Water-cut Meter and the Total Vibration Monitor with Angular Rate Gyro (TVM+), and is also honored to receive the 2015 E&amp;P Special Meritorious Awards for Engineering Innovation for the Rig-Free Light-Duty Pulling and Jacking Unit.</w:t>
      </w:r>
    </w:p>
    <w:p>
      <w:pPr>
        <w:spacing w:after="0" w:line="17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FFFFFF"/>
        </w:rPr>
        <w:t>The Red Eye meter uses near-infrared absorption to provide water-onset detection, water-cut measurement, and water-to-hydrate inhibitor-ratio measurement. The meter, which features a number of first-to-market, innovative technologies, can operate in full three-phase flow streams at any gas-volume fraction and is not affected by changes in salinity, eliminating the need for corrections related to these factors.</w:t>
      </w:r>
    </w:p>
    <w:p>
      <w:pPr>
        <w:spacing w:after="0" w:line="176"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FFFFFF"/>
        </w:rPr>
        <w:t>Our TVM+ is a downhole sensor that provides critical drilling dynamics data in real-time and recorded formats and utilizes the industry’s first MEMS-based (micro-electromechanical system) angular-rate gyro. This unique device enables downhole-sensor measurements of angular rotation in never-before-seen detail, yielding new insights into drillstring dynamics and drilling management.</w:t>
      </w:r>
    </w:p>
    <w:p>
      <w:pPr>
        <w:spacing w:after="0" w:line="36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FFFFFF"/>
        </w:rPr>
        <w:t>The Rig-Free Light-Duty Pulling and Jacking Unit is highly mobile and adaptable, offering clients tremendous potential to improve efficiency and limit the expense of intervention and abandonment operations. The modular design of the unit enables fast and efficient transport to the wellsite, and an innovative self-clamping skidding assembly enables movement from well to well without the need to rig down any main system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6233795</wp:posOffset>
            </wp:positionV>
            <wp:extent cx="7246620" cy="342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720"/>
          </w:cols>
          <w:pgMar w:left="980" w:top="883" w:right="119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68865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688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At Weatherford,</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we provide our people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with continuous support,</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challenging and exciting</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responsibility, and the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opportunity to make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a difference.</w:t>
      </w:r>
    </w:p>
    <w:p>
      <w:pPr>
        <w:spacing w:after="0" w:line="200" w:lineRule="exact"/>
        <w:rPr>
          <w:sz w:val="20"/>
          <w:szCs w:val="20"/>
          <w:color w:val="auto"/>
        </w:rPr>
      </w:pPr>
    </w:p>
    <w:p>
      <w:pPr>
        <w:spacing w:after="0" w:line="318"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Our culture allows us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to find solutions to our</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clients’ toughest</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challenges in</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environments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around the world.</w:t>
      </w:r>
    </w:p>
    <w:p>
      <w:pPr>
        <w:spacing w:after="0" w:line="200" w:lineRule="exact"/>
        <w:rPr>
          <w:sz w:val="20"/>
          <w:szCs w:val="20"/>
          <w:color w:val="auto"/>
        </w:rPr>
      </w:pPr>
    </w:p>
    <w:p>
      <w:pPr>
        <w:spacing w:after="0" w:line="318"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90% of the photographs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used in the Company's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annual report were taken</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by our employees, some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of which are included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2908935</wp:posOffset>
            </wp:positionV>
            <wp:extent cx="7246620" cy="342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301" w:lineRule="exact"/>
        <w:rPr>
          <w:sz w:val="20"/>
          <w:szCs w:val="20"/>
          <w:color w:val="auto"/>
        </w:rPr>
      </w:pPr>
    </w:p>
    <w:p>
      <w:pPr>
        <w:ind w:left="360" w:right="1860"/>
        <w:spacing w:after="0" w:line="259" w:lineRule="auto"/>
        <w:rPr>
          <w:sz w:val="20"/>
          <w:szCs w:val="20"/>
          <w:color w:val="auto"/>
        </w:rPr>
      </w:pPr>
      <w:r>
        <w:rPr>
          <w:rFonts w:ascii="Arial" w:cs="Arial" w:eastAsia="Arial" w:hAnsi="Arial"/>
          <w:sz w:val="16"/>
          <w:szCs w:val="16"/>
          <w:b w:val="1"/>
          <w:bCs w:val="1"/>
          <w:i w:val="1"/>
          <w:iCs w:val="1"/>
          <w:color w:val="auto"/>
        </w:rPr>
        <w:t>WEATHERFORD INTERNATIONAL PLC ATTN: NATALIA G. SHEHADEH BAHNHOFSTRASSE 1 6340 BAAR, SWITZERLAND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right="24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5:59 A.M. Central European Time on June 15, 2015 (11:59 P.M. New York Time on June 14, 2015). Have your proxy card in hand when you access the web site and follow the instructions to obtain your records and to create an electronic voting instruction form.</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26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5:59 A.M. Central European Time on June 15, 2015 (11:59 P.M. New York Time on June 14, 2015).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2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40"/>
          </w:cols>
          <w:pgMar w:left="240" w:top="40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380" w:type="dxa"/>
            <w:vAlign w:val="bottom"/>
            <w:gridSpan w:val="7"/>
          </w:tcPr>
          <w:p>
            <w:pPr>
              <w:spacing w:after="0"/>
              <w:rPr>
                <w:sz w:val="20"/>
                <w:szCs w:val="20"/>
                <w:color w:val="auto"/>
              </w:rPr>
            </w:pPr>
            <w:r>
              <w:rPr>
                <w:rFonts w:ascii="Arial" w:cs="Arial" w:eastAsia="Arial" w:hAnsi="Arial"/>
                <w:sz w:val="13"/>
                <w:szCs w:val="13"/>
                <w:color w:val="231F20"/>
                <w:w w:val="97"/>
              </w:rPr>
              <w:t>TO VOTE, MARK BLOCKS BELOW IN BLUE OR BLACK INK AS FOLLOWS:</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Arial" w:cs="Arial" w:eastAsia="Arial" w:hAnsi="Arial"/>
                <w:sz w:val="13"/>
                <w:szCs w:val="13"/>
                <w:color w:val="231F20"/>
              </w:rPr>
              <w:t>M88679-P65396</w:t>
            </w:r>
          </w:p>
        </w:tc>
        <w:tc>
          <w:tcPr>
            <w:tcW w:w="260" w:type="dxa"/>
            <w:vAlign w:val="bottom"/>
          </w:tcPr>
          <w:p>
            <w:pPr>
              <w:spacing w:after="0"/>
              <w:rPr>
                <w:sz w:val="20"/>
                <w:szCs w:val="20"/>
                <w:color w:val="auto"/>
              </w:rPr>
            </w:pPr>
          </w:p>
        </w:tc>
        <w:tc>
          <w:tcPr>
            <w:tcW w:w="2840" w:type="dxa"/>
            <w:vAlign w:val="bottom"/>
            <w:gridSpan w:val="6"/>
          </w:tcPr>
          <w:p>
            <w:pPr>
              <w:ind w:left="160"/>
              <w:spacing w:after="0"/>
              <w:rPr>
                <w:sz w:val="20"/>
                <w:szCs w:val="20"/>
                <w:color w:val="auto"/>
              </w:rPr>
            </w:pPr>
            <w:r>
              <w:rPr>
                <w:rFonts w:ascii="Arial" w:cs="Arial" w:eastAsia="Arial" w:hAnsi="Arial"/>
                <w:sz w:val="13"/>
                <w:szCs w:val="13"/>
                <w:color w:val="231F20"/>
                <w:w w:val="97"/>
              </w:rPr>
              <w:t>KEEP THIS PORTION FOR YOUR RECORDS</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8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260" w:type="dxa"/>
            <w:vAlign w:val="bottom"/>
          </w:tcPr>
          <w:p>
            <w:pPr>
              <w:spacing w:after="0"/>
              <w:rPr>
                <w:sz w:val="13"/>
                <w:szCs w:val="13"/>
                <w:color w:val="auto"/>
              </w:rPr>
            </w:pPr>
          </w:p>
        </w:tc>
        <w:tc>
          <w:tcPr>
            <w:tcW w:w="2840" w:type="dxa"/>
            <w:vAlign w:val="bottom"/>
            <w:gridSpan w:val="6"/>
          </w:tcPr>
          <w:p>
            <w:pPr>
              <w:jc w:val="center"/>
              <w:spacing w:after="0"/>
              <w:rPr>
                <w:sz w:val="20"/>
                <w:szCs w:val="20"/>
                <w:color w:val="auto"/>
              </w:rPr>
            </w:pPr>
            <w:r>
              <w:rPr>
                <w:rFonts w:ascii="Arial" w:cs="Arial" w:eastAsia="Arial" w:hAnsi="Arial"/>
                <w:sz w:val="13"/>
                <w:szCs w:val="13"/>
                <w:color w:val="231F20"/>
                <w:w w:val="95"/>
              </w:rPr>
              <w:t>DETACH AND RETURN THIS PORTION ONLY</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80" w:type="dxa"/>
            <w:vAlign w:val="bottom"/>
            <w:gridSpan w:val="7"/>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gridSpan w:val="3"/>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tcPr>
          <w:p>
            <w:pPr>
              <w:spacing w:after="0"/>
              <w:rPr>
                <w:sz w:val="17"/>
                <w:szCs w:val="17"/>
                <w:color w:val="auto"/>
              </w:rPr>
            </w:pPr>
          </w:p>
        </w:tc>
        <w:tc>
          <w:tcPr>
            <w:tcW w:w="3100" w:type="dxa"/>
            <w:vAlign w:val="bottom"/>
            <w:gridSpan w:val="4"/>
          </w:tcPr>
          <w:p>
            <w:pPr>
              <w:ind w:left="40"/>
              <w:spacing w:after="0"/>
              <w:rPr>
                <w:sz w:val="20"/>
                <w:szCs w:val="20"/>
                <w:color w:val="auto"/>
              </w:rPr>
            </w:pPr>
            <w:r>
              <w:rPr>
                <w:rFonts w:ascii="Arial" w:cs="Arial" w:eastAsia="Arial" w:hAnsi="Arial"/>
                <w:sz w:val="13"/>
                <w:szCs w:val="13"/>
                <w:b w:val="1"/>
                <w:bCs w:val="1"/>
                <w:color w:val="auto"/>
              </w:rPr>
              <w:t>WEATHERFORD INTERNATIONAL PLC</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The Board of Directors recommends you vote FOR the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60" w:type="dxa"/>
            <w:vAlign w:val="bottom"/>
            <w:gridSpan w:val="5"/>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3"/>
          </w:tcPr>
          <w:p>
            <w:pPr>
              <w:ind w:left="20"/>
              <w:spacing w:after="0"/>
              <w:rPr>
                <w:sz w:val="20"/>
                <w:szCs w:val="20"/>
                <w:color w:val="auto"/>
              </w:rPr>
            </w:pPr>
            <w:r>
              <w:rPr>
                <w:rFonts w:ascii="Arial" w:cs="Arial" w:eastAsia="Arial" w:hAnsi="Arial"/>
                <w:sz w:val="13"/>
                <w:szCs w:val="13"/>
                <w:b w:val="1"/>
                <w:bCs w:val="1"/>
                <w:color w:val="auto"/>
              </w:rPr>
              <w:t>following proposals: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0" w:type="dxa"/>
            <w:vAlign w:val="bottom"/>
            <w:tcBorders>
              <w:right w:val="single" w:sz="8" w:color="auto"/>
            </w:tcBorders>
          </w:tcPr>
          <w:p>
            <w:pPr>
              <w:spacing w:after="0"/>
              <w:rPr>
                <w:sz w:val="8"/>
                <w:szCs w:val="8"/>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1.</w:t>
            </w:r>
          </w:p>
        </w:tc>
        <w:tc>
          <w:tcPr>
            <w:tcW w:w="2540" w:type="dxa"/>
            <w:vAlign w:val="bottom"/>
            <w:gridSpan w:val="2"/>
            <w:vMerge w:val="restart"/>
          </w:tcPr>
          <w:p>
            <w:pPr>
              <w:ind w:left="160"/>
              <w:spacing w:after="0"/>
              <w:rPr>
                <w:sz w:val="20"/>
                <w:szCs w:val="20"/>
                <w:color w:val="auto"/>
              </w:rPr>
            </w:pPr>
            <w:r>
              <w:rPr>
                <w:rFonts w:ascii="Arial" w:cs="Arial" w:eastAsia="Arial" w:hAnsi="Arial"/>
                <w:sz w:val="13"/>
                <w:szCs w:val="13"/>
                <w:color w:val="auto"/>
              </w:rPr>
              <w:t>Election of Directors</w:t>
            </w: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40" w:type="dxa"/>
            <w:vAlign w:val="bottom"/>
            <w:gridSpan w:val="2"/>
          </w:tcPr>
          <w:p>
            <w:pPr>
              <w:ind w:left="160"/>
              <w:spacing w:after="0"/>
              <w:rPr>
                <w:sz w:val="20"/>
                <w:szCs w:val="20"/>
                <w:color w:val="auto"/>
              </w:rPr>
            </w:pPr>
            <w:r>
              <w:rPr>
                <w:rFonts w:ascii="Arial" w:cs="Arial" w:eastAsia="Arial" w:hAnsi="Arial"/>
                <w:sz w:val="13"/>
                <w:szCs w:val="13"/>
                <w:b w:val="1"/>
                <w:bCs w:val="1"/>
                <w:color w:val="auto"/>
              </w:rPr>
              <w:t>Nominees:</w:t>
            </w:r>
          </w:p>
        </w:tc>
        <w:tc>
          <w:tcPr>
            <w:tcW w:w="260" w:type="dxa"/>
            <w:vAlign w:val="bottom"/>
          </w:tcPr>
          <w:p>
            <w:pPr>
              <w:spacing w:after="0"/>
              <w:rPr>
                <w:sz w:val="23"/>
                <w:szCs w:val="23"/>
                <w:color w:val="auto"/>
              </w:rPr>
            </w:pPr>
          </w:p>
        </w:tc>
        <w:tc>
          <w:tcPr>
            <w:tcW w:w="980" w:type="dxa"/>
            <w:vAlign w:val="bottom"/>
          </w:tcPr>
          <w:p>
            <w:pPr>
              <w:jc w:val="center"/>
              <w:ind w:left="516"/>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1a.</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Mohamed A. Awad</w:t>
            </w:r>
          </w:p>
        </w:tc>
        <w:tc>
          <w:tcPr>
            <w:tcW w:w="260" w:type="dxa"/>
            <w:vAlign w:val="bottom"/>
          </w:tcPr>
          <w:p>
            <w:pPr>
              <w:spacing w:after="0"/>
              <w:rPr>
                <w:sz w:val="16"/>
                <w:szCs w:val="16"/>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7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1b.</w:t>
            </w:r>
          </w:p>
        </w:tc>
        <w:tc>
          <w:tcPr>
            <w:tcW w:w="2020" w:type="dxa"/>
            <w:vAlign w:val="bottom"/>
          </w:tcPr>
          <w:p>
            <w:pPr>
              <w:ind w:left="180"/>
              <w:spacing w:after="0"/>
              <w:rPr>
                <w:sz w:val="20"/>
                <w:szCs w:val="20"/>
                <w:color w:val="auto"/>
              </w:rPr>
            </w:pPr>
            <w:r>
              <w:rPr>
                <w:rFonts w:ascii="Arial" w:cs="Arial" w:eastAsia="Arial" w:hAnsi="Arial"/>
                <w:sz w:val="13"/>
                <w:szCs w:val="13"/>
                <w:color w:val="auto"/>
              </w:rPr>
              <w:t>David J. Butters</w:t>
            </w:r>
          </w:p>
        </w:tc>
        <w:tc>
          <w:tcPr>
            <w:tcW w:w="260" w:type="dxa"/>
            <w:vAlign w:val="bottom"/>
          </w:tcPr>
          <w:p>
            <w:pPr>
              <w:spacing w:after="0"/>
              <w:rPr>
                <w:sz w:val="24"/>
                <w:szCs w:val="24"/>
                <w:color w:val="auto"/>
              </w:rPr>
            </w:pPr>
          </w:p>
        </w:tc>
        <w:tc>
          <w:tcPr>
            <w:tcW w:w="980" w:type="dxa"/>
            <w:vAlign w:val="bottom"/>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3800" w:type="dxa"/>
            <w:vAlign w:val="bottom"/>
            <w:gridSpan w:val="3"/>
          </w:tcPr>
          <w:p>
            <w:pPr>
              <w:ind w:left="260"/>
              <w:spacing w:after="0"/>
              <w:rPr>
                <w:sz w:val="20"/>
                <w:szCs w:val="20"/>
                <w:color w:val="auto"/>
              </w:rPr>
            </w:pPr>
            <w:r>
              <w:rPr>
                <w:rFonts w:ascii="Arial" w:cs="Arial" w:eastAsia="Arial" w:hAnsi="Arial"/>
                <w:sz w:val="13"/>
                <w:szCs w:val="13"/>
                <w:color w:val="auto"/>
              </w:rPr>
              <w:t>To ratify the appointment of KPMG LLP as the Company’s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1c.</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Dr. Bernard J. Duroc-Danner</w:t>
            </w:r>
          </w:p>
        </w:tc>
        <w:tc>
          <w:tcPr>
            <w:tcW w:w="260" w:type="dxa"/>
            <w:vAlign w:val="bottom"/>
          </w:tcPr>
          <w:p>
            <w:pPr>
              <w:spacing w:after="0"/>
              <w:rPr>
                <w:sz w:val="11"/>
                <w:szCs w:val="11"/>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independent registered public accounting firm and auditor for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w w:val="98"/>
              </w:rPr>
              <w:t>the financial year ending December 31, 2015 and to authorize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1d.</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John D. Gass</w:t>
            </w:r>
          </w:p>
        </w:tc>
        <w:tc>
          <w:tcPr>
            <w:tcW w:w="260" w:type="dxa"/>
            <w:vAlign w:val="bottom"/>
          </w:tcPr>
          <w:p>
            <w:pPr>
              <w:spacing w:after="0"/>
              <w:rPr>
                <w:sz w:val="11"/>
                <w:szCs w:val="11"/>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the board of directors of the Company, acting through the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0" w:type="dxa"/>
            <w:vAlign w:val="bottom"/>
            <w:gridSpan w:val="3"/>
          </w:tcPr>
          <w:p>
            <w:pPr>
              <w:ind w:left="260"/>
              <w:spacing w:after="0"/>
              <w:rPr>
                <w:sz w:val="20"/>
                <w:szCs w:val="20"/>
                <w:color w:val="auto"/>
              </w:rPr>
            </w:pPr>
            <w:r>
              <w:rPr>
                <w:rFonts w:ascii="Arial" w:cs="Arial" w:eastAsia="Arial" w:hAnsi="Arial"/>
                <w:sz w:val="13"/>
                <w:szCs w:val="13"/>
                <w:color w:val="auto"/>
              </w:rPr>
              <w:t>Audit Committee, to determine the auditor’s remuneration.</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1e.</w:t>
            </w:r>
          </w:p>
        </w:tc>
        <w:tc>
          <w:tcPr>
            <w:tcW w:w="2020" w:type="dxa"/>
            <w:vAlign w:val="bottom"/>
          </w:tcPr>
          <w:p>
            <w:pPr>
              <w:ind w:left="180"/>
              <w:spacing w:after="0"/>
              <w:rPr>
                <w:sz w:val="20"/>
                <w:szCs w:val="20"/>
                <w:color w:val="auto"/>
              </w:rPr>
            </w:pPr>
            <w:r>
              <w:rPr>
                <w:rFonts w:ascii="Arial" w:cs="Arial" w:eastAsia="Arial" w:hAnsi="Arial"/>
                <w:sz w:val="13"/>
                <w:szCs w:val="13"/>
                <w:color w:val="auto"/>
              </w:rPr>
              <w:t>Sir Emyr Jones Parry</w:t>
            </w:r>
          </w:p>
        </w:tc>
        <w:tc>
          <w:tcPr>
            <w:tcW w:w="260" w:type="dxa"/>
            <w:vAlign w:val="bottom"/>
          </w:tcPr>
          <w:p>
            <w:pPr>
              <w:spacing w:after="0"/>
              <w:rPr>
                <w:sz w:val="21"/>
                <w:szCs w:val="21"/>
                <w:color w:val="auto"/>
              </w:rPr>
            </w:pPr>
          </w:p>
        </w:tc>
        <w:tc>
          <w:tcPr>
            <w:tcW w:w="980" w:type="dxa"/>
            <w:vAlign w:val="bottom"/>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1f.</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Francis S. Kalman</w:t>
            </w:r>
          </w:p>
        </w:tc>
        <w:tc>
          <w:tcPr>
            <w:tcW w:w="260" w:type="dxa"/>
            <w:vAlign w:val="bottom"/>
          </w:tcPr>
          <w:p>
            <w:pPr>
              <w:spacing w:after="0"/>
              <w:rPr>
                <w:sz w:val="12"/>
                <w:szCs w:val="12"/>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w:t>
            </w:r>
          </w:p>
        </w:tc>
        <w:tc>
          <w:tcPr>
            <w:tcW w:w="3800" w:type="dxa"/>
            <w:vAlign w:val="bottom"/>
            <w:gridSpan w:val="3"/>
          </w:tcPr>
          <w:p>
            <w:pPr>
              <w:ind w:left="260"/>
              <w:spacing w:after="0" w:line="145" w:lineRule="exact"/>
              <w:rPr>
                <w:sz w:val="20"/>
                <w:szCs w:val="20"/>
                <w:color w:val="auto"/>
              </w:rPr>
            </w:pPr>
            <w:r>
              <w:rPr>
                <w:rFonts w:ascii="Arial" w:cs="Arial" w:eastAsia="Arial" w:hAnsi="Arial"/>
                <w:sz w:val="13"/>
                <w:szCs w:val="13"/>
                <w:color w:val="auto"/>
              </w:rPr>
              <w:t>To adopt an advisory resolution approving the compensation</w:t>
            </w:r>
          </w:p>
        </w:tc>
        <w:tc>
          <w:tcPr>
            <w:tcW w:w="3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line="145" w:lineRule="exact"/>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ind w:left="260"/>
              <w:spacing w:after="0"/>
              <w:rPr>
                <w:sz w:val="20"/>
                <w:szCs w:val="20"/>
                <w:color w:val="auto"/>
              </w:rPr>
            </w:pPr>
            <w:r>
              <w:rPr>
                <w:rFonts w:ascii="Arial" w:cs="Arial" w:eastAsia="Arial" w:hAnsi="Arial"/>
                <w:sz w:val="13"/>
                <w:szCs w:val="13"/>
                <w:color w:val="auto"/>
              </w:rPr>
              <w:t>of the named executive officers.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1g.</w:t>
            </w:r>
          </w:p>
        </w:tc>
        <w:tc>
          <w:tcPr>
            <w:tcW w:w="2020" w:type="dxa"/>
            <w:vAlign w:val="bottom"/>
          </w:tcPr>
          <w:p>
            <w:pPr>
              <w:ind w:left="180"/>
              <w:spacing w:after="0"/>
              <w:rPr>
                <w:sz w:val="20"/>
                <w:szCs w:val="20"/>
                <w:color w:val="auto"/>
              </w:rPr>
            </w:pPr>
            <w:r>
              <w:rPr>
                <w:rFonts w:ascii="Arial" w:cs="Arial" w:eastAsia="Arial" w:hAnsi="Arial"/>
                <w:sz w:val="13"/>
                <w:szCs w:val="13"/>
                <w:color w:val="auto"/>
              </w:rPr>
              <w:t>William E. Macaulay</w:t>
            </w:r>
          </w:p>
        </w:tc>
        <w:tc>
          <w:tcPr>
            <w:tcW w:w="260" w:type="dxa"/>
            <w:vAlign w:val="bottom"/>
          </w:tcPr>
          <w:p>
            <w:pPr>
              <w:spacing w:after="0"/>
              <w:rPr>
                <w:sz w:val="22"/>
                <w:szCs w:val="22"/>
                <w:color w:val="auto"/>
              </w:rPr>
            </w:pPr>
          </w:p>
        </w:tc>
        <w:tc>
          <w:tcPr>
            <w:tcW w:w="980" w:type="dxa"/>
            <w:vAlign w:val="bottom"/>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3800" w:type="dxa"/>
            <w:vAlign w:val="bottom"/>
            <w:gridSpan w:val="3"/>
          </w:tcPr>
          <w:p>
            <w:pPr>
              <w:ind w:left="260"/>
              <w:spacing w:after="0"/>
              <w:rPr>
                <w:sz w:val="20"/>
                <w:szCs w:val="20"/>
                <w:color w:val="auto"/>
              </w:rPr>
            </w:pPr>
            <w:r>
              <w:rPr>
                <w:rFonts w:ascii="Arial" w:cs="Arial" w:eastAsia="Arial" w:hAnsi="Arial"/>
                <w:sz w:val="13"/>
                <w:szCs w:val="13"/>
                <w:color w:val="auto"/>
              </w:rPr>
              <w:t>To approve an amendment to Weatherford’s 2010 Omnibus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1h.</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Robert K. Moses, Jr.</w:t>
            </w:r>
          </w:p>
        </w:tc>
        <w:tc>
          <w:tcPr>
            <w:tcW w:w="260" w:type="dxa"/>
            <w:vAlign w:val="bottom"/>
          </w:tcPr>
          <w:p>
            <w:pPr>
              <w:spacing w:after="0"/>
              <w:rPr>
                <w:sz w:val="13"/>
                <w:szCs w:val="13"/>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ind w:left="260"/>
              <w:spacing w:after="0"/>
              <w:rPr>
                <w:sz w:val="20"/>
                <w:szCs w:val="20"/>
                <w:color w:val="auto"/>
              </w:rPr>
            </w:pPr>
            <w:r>
              <w:rPr>
                <w:rFonts w:ascii="Arial" w:cs="Arial" w:eastAsia="Arial" w:hAnsi="Arial"/>
                <w:sz w:val="13"/>
                <w:szCs w:val="13"/>
                <w:color w:val="auto"/>
              </w:rPr>
              <w:t>Incentive Plan.</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1i.</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Dr. Guillermo Ortiz</w:t>
            </w:r>
          </w:p>
        </w:tc>
        <w:tc>
          <w:tcPr>
            <w:tcW w:w="260" w:type="dxa"/>
            <w:vAlign w:val="bottom"/>
          </w:tcPr>
          <w:p>
            <w:pPr>
              <w:spacing w:after="0"/>
              <w:rPr>
                <w:sz w:val="12"/>
                <w:szCs w:val="12"/>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w:t>
            </w:r>
          </w:p>
        </w:tc>
        <w:tc>
          <w:tcPr>
            <w:tcW w:w="3800" w:type="dxa"/>
            <w:vAlign w:val="bottom"/>
            <w:gridSpan w:val="3"/>
          </w:tcPr>
          <w:p>
            <w:pPr>
              <w:ind w:left="260"/>
              <w:spacing w:after="0" w:line="145" w:lineRule="exact"/>
              <w:rPr>
                <w:sz w:val="20"/>
                <w:szCs w:val="20"/>
                <w:color w:val="auto"/>
              </w:rPr>
            </w:pPr>
            <w:r>
              <w:rPr>
                <w:rFonts w:ascii="Arial" w:cs="Arial" w:eastAsia="Arial" w:hAnsi="Arial"/>
                <w:sz w:val="13"/>
                <w:szCs w:val="13"/>
                <w:color w:val="auto"/>
              </w:rPr>
              <w:t>To authorize holding the 2016 Annual General Meeting at a</w:t>
            </w:r>
          </w:p>
        </w:tc>
        <w:tc>
          <w:tcPr>
            <w:tcW w:w="3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line="145" w:lineRule="exact"/>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location outside of Ireland as currently required under Irish</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1j.</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Robert A. Rayne</w:t>
            </w:r>
          </w:p>
        </w:tc>
        <w:tc>
          <w:tcPr>
            <w:tcW w:w="260" w:type="dxa"/>
            <w:vAlign w:val="bottom"/>
          </w:tcPr>
          <w:p>
            <w:pPr>
              <w:spacing w:after="0"/>
              <w:rPr>
                <w:sz w:val="13"/>
                <w:szCs w:val="13"/>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ind w:left="260"/>
              <w:spacing w:after="0"/>
              <w:rPr>
                <w:sz w:val="20"/>
                <w:szCs w:val="20"/>
                <w:color w:val="auto"/>
              </w:rPr>
            </w:pPr>
            <w:r>
              <w:rPr>
                <w:rFonts w:ascii="Arial" w:cs="Arial" w:eastAsia="Arial" w:hAnsi="Arial"/>
                <w:sz w:val="13"/>
                <w:szCs w:val="13"/>
                <w:color w:val="auto"/>
              </w:rPr>
              <w:t>law.</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40" w:type="dxa"/>
            <w:vAlign w:val="bottom"/>
            <w:tcBorders>
              <w:right w:val="single" w:sz="8" w:color="auto"/>
            </w:tcBorders>
          </w:tcPr>
          <w:p>
            <w:pPr>
              <w:spacing w:after="0"/>
              <w:rPr>
                <w:sz w:val="24"/>
                <w:szCs w:val="24"/>
                <w:color w:val="auto"/>
              </w:rPr>
            </w:pPr>
          </w:p>
        </w:tc>
        <w:tc>
          <w:tcPr>
            <w:tcW w:w="9860" w:type="dxa"/>
            <w:vAlign w:val="bottom"/>
            <w:gridSpan w:val="14"/>
          </w:tcPr>
          <w:p>
            <w:pPr>
              <w:ind w:left="24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9860" w:type="dxa"/>
            <w:vAlign w:val="bottom"/>
            <w:gridSpan w:val="14"/>
          </w:tcPr>
          <w:p>
            <w:pPr>
              <w:ind w:left="240"/>
              <w:spacing w:after="0"/>
              <w:rPr>
                <w:sz w:val="20"/>
                <w:szCs w:val="20"/>
                <w:color w:val="auto"/>
              </w:rPr>
            </w:pPr>
            <w:r>
              <w:rPr>
                <w:rFonts w:ascii="Arial" w:cs="Arial" w:eastAsia="Arial" w:hAnsi="Arial"/>
                <w:sz w:val="13"/>
                <w:szCs w:val="13"/>
                <w:color w:val="auto"/>
              </w:rPr>
              <w:t>should each sign personally. All holders must sign. If a corporation or partnership, please sign in full corporate or partnership name by authorized officer.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40" w:type="dxa"/>
            <w:vAlign w:val="bottom"/>
            <w:tcBorders>
              <w:righ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3"/>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20" w:type="dxa"/>
            <w:vAlign w:val="bottom"/>
            <w:tcBorders>
              <w:top w:val="single" w:sz="8" w:color="auto"/>
              <w:bottom w:val="single" w:sz="8" w:color="auto"/>
            </w:tcBorders>
            <w:gridSpan w:val="2"/>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3"/>
          </w:tcPr>
          <w:p>
            <w:pPr>
              <w:spacing w:after="0"/>
              <w:rPr>
                <w:sz w:val="20"/>
                <w:szCs w:val="20"/>
                <w:color w:val="auto"/>
              </w:rPr>
            </w:pPr>
            <w:r>
              <w:rPr>
                <w:rFonts w:ascii="Arial" w:cs="Arial" w:eastAsia="Arial" w:hAnsi="Arial"/>
                <w:sz w:val="13"/>
                <w:szCs w:val="13"/>
                <w:color w:val="auto"/>
              </w:rPr>
              <w:t>Signature [PLEASE SIGN WITHIN BOX]</w:t>
            </w:r>
          </w:p>
        </w:tc>
        <w:tc>
          <w:tcPr>
            <w:tcW w:w="12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Signature (Joint Owners)</w:t>
            </w:r>
          </w:p>
        </w:tc>
        <w:tc>
          <w:tcPr>
            <w:tcW w:w="152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20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98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60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126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-3892550</wp:posOffset>
            </wp:positionV>
            <wp:extent cx="724662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80"/>
          </w:cols>
          <w:pgMar w:left="240" w:top="401" w:right="179" w:bottom="144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and Proxy Statement, Annual Report and Irish Statutory Accounts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M88680-P65396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57150</wp:posOffset>
            </wp:positionV>
            <wp:extent cx="7276465" cy="39573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6465" cy="395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WEATHERFORD INTERNATIONAL PLC</w:t>
      </w:r>
    </w:p>
    <w:p>
      <w:pPr>
        <w:spacing w:after="0" w:line="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Annual General Meeting of Shareholders</w:t>
      </w:r>
    </w:p>
    <w:p>
      <w:pPr>
        <w:ind w:left="3000"/>
        <w:spacing w:after="0" w:line="230" w:lineRule="auto"/>
        <w:rPr>
          <w:sz w:val="20"/>
          <w:szCs w:val="20"/>
          <w:color w:val="auto"/>
        </w:rPr>
      </w:pPr>
      <w:r>
        <w:rPr>
          <w:rFonts w:ascii="Arial" w:cs="Arial" w:eastAsia="Arial" w:hAnsi="Arial"/>
          <w:sz w:val="22"/>
          <w:szCs w:val="22"/>
          <w:b w:val="1"/>
          <w:bCs w:val="1"/>
          <w:color w:val="auto"/>
        </w:rPr>
        <w:t>June 16, 2015 10:00 A.M. (Central European Time)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 xml:space="preserve">The undersigned shareholder of Weatherford International plc (“Weatherford”) hereby appoints Natalia G. Shehadeh or, failing her, Bernard J. Duroc-Danner as proxy, each with the power of substitution, for the undersigned to vote the number of ordinary shares of Weatherford that the undersigned would be entitled to vote if personally present at the Annual General Meeting of Shareholders of Weatherford to be held on June 16, 2015, at 10:00 A.M. (Central European Time) at The Mandarin Oriental Hotel, Quai Turrettini 1, 1201 Geneva, Switzerland, and any adjournment or postponement thereof, on the reverse side matters that are more particularly described in the Proxy Statement for the Annual General Meeting. </w:t>
      </w:r>
      <w:r>
        <w:rPr>
          <w:rFonts w:ascii="Arial" w:cs="Arial" w:eastAsia="Arial" w:hAnsi="Arial"/>
          <w:sz w:val="18"/>
          <w:szCs w:val="18"/>
          <w:b w:val="1"/>
          <w:bCs w:val="1"/>
          <w:color w:val="auto"/>
        </w:rPr>
        <w:t>The undersigned hereby revokes all proxies previously given by the undersigned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at the Annual General Meeting.</w:t>
      </w:r>
    </w:p>
    <w:p>
      <w:pPr>
        <w:spacing w:after="0" w:line="168" w:lineRule="exact"/>
        <w:rPr>
          <w:sz w:val="20"/>
          <w:szCs w:val="20"/>
          <w:color w:val="auto"/>
        </w:rPr>
      </w:pPr>
    </w:p>
    <w:p>
      <w:pPr>
        <w:jc w:val="both"/>
        <w:ind w:right="140"/>
        <w:spacing w:after="0" w:line="244" w:lineRule="auto"/>
        <w:rPr>
          <w:sz w:val="20"/>
          <w:szCs w:val="20"/>
          <w:color w:val="auto"/>
        </w:rPr>
      </w:pPr>
      <w:r>
        <w:rPr>
          <w:rFonts w:ascii="Arial" w:cs="Arial" w:eastAsia="Arial" w:hAnsi="Arial"/>
          <w:sz w:val="18"/>
          <w:szCs w:val="18"/>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desertion on such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acknowledges receipt of Notice of, and the Proxy Statement for,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320675</wp:posOffset>
            </wp:positionV>
            <wp:extent cx="7246620" cy="342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240"/>
      </w:cols>
      <w:pgMar w:left="4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upperLetter"/>
      <w:start w:val="24"/>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upperLetter"/>
      <w:start w:val="24"/>
    </w:lvl>
  </w:abstractNum>
  <w:abstractNum w:abstractNumId="3">
    <w:nsid w:val="2F305DEF"/>
    <w:multiLevelType w:val="hybridMultilevel"/>
    <w:lvl w:ilvl="0">
      <w:lvlJc w:val="left"/>
      <w:lvlText w:val="["/>
      <w:numFmt w:val="bullet"/>
      <w:start w:val="1"/>
    </w:lvl>
    <w:lvl w:ilvl="1">
      <w:lvlJc w:val="left"/>
      <w:lvlText w:val="%2)"/>
      <w:numFmt w:val="decimal"/>
      <w:start w:val="1"/>
    </w:lvl>
  </w:abstractNum>
  <w:abstractNum w:abstractNumId="4">
    <w:nsid w:val="25A70BF7"/>
    <w:multiLevelType w:val="hybridMultilevel"/>
    <w:lvl w:ilvl="0">
      <w:lvlJc w:val="left"/>
      <w:lvlText w:val="["/>
      <w:numFmt w:val="bullet"/>
      <w:start w:val="1"/>
    </w:lvl>
    <w:lvl w:ilvl="1">
      <w:lvlJc w:val="left"/>
      <w:lvlText w:val="%2)"/>
      <w:numFmt w:val="decimal"/>
      <w:start w:val="1"/>
    </w:lvl>
  </w:abstractNum>
  <w:abstractNum w:abstractNumId="5">
    <w:nsid w:val="1DBABF00"/>
    <w:multiLevelType w:val="hybridMultilevel"/>
    <w:lvl w:ilvl="0">
      <w:lvlJc w:val="left"/>
      <w:lvlText w:val="X"/>
      <w:numFmt w:val="bullet"/>
      <w:start w:val="1"/>
    </w:lvl>
  </w:abstractNum>
  <w:abstractNum w:abstractNumId="6">
    <w:nsid w:val="4AD084E9"/>
    <w:multiLevelType w:val="hybridMultilevel"/>
    <w:lvl w:ilvl="0">
      <w:lvlJc w:val="left"/>
      <w:lvlText w:val="%1"/>
      <w:numFmt w:val="lowerRoman"/>
      <w:start w:val="2"/>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1"/>
      <w:numFmt w:val="lowerRoman"/>
      <w:start w:val="4"/>
    </w:lvl>
  </w:abstractNum>
  <w:abstractNum w:abstractNumId="10">
    <w:nsid w:val="100F8FCA"/>
    <w:multiLevelType w:val="hybridMultilevel"/>
    <w:lvl w:ilvl="0">
      <w:lvlJc w:val="left"/>
      <w:lvlText w:val="%1"/>
      <w:numFmt w:val="lowerRoman"/>
      <w:start w:val="6"/>
    </w:lvl>
  </w:abstractNum>
  <w:abstractNum w:abstractNumId="11">
    <w:nsid w:val="6590700B"/>
    <w:multiLevelType w:val="hybridMultilevel"/>
    <w:lvl w:ilvl="0">
      <w:lvlJc w:val="left"/>
      <w:lvlText w:val="%1"/>
      <w:numFmt w:val="lowerRoman"/>
      <w:start w:val="8"/>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x"/>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1"/>
      <w:numFmt w:val="lowerRoman"/>
      <w:start w:val="12"/>
    </w:lvl>
  </w:abstractNum>
  <w:abstractNum w:abstractNumId="22">
    <w:nsid w:val="540A471C"/>
    <w:multiLevelType w:val="hybridMultilevel"/>
    <w:lvl w:ilvl="0">
      <w:lvlJc w:val="left"/>
      <w:lvlText w:val="%1."/>
      <w:numFmt w:val="decimal"/>
      <w:start w:val="2"/>
    </w:lvl>
  </w:abstractNum>
  <w:abstractNum w:abstractNumId="23">
    <w:nsid w:val="7BD3EE7B"/>
    <w:multiLevelType w:val="hybridMultilevel"/>
    <w:lvl w:ilvl="0">
      <w:lvlJc w:val="left"/>
      <w:lvlText w:val="%1"/>
      <w:numFmt w:val="lowerRoman"/>
      <w:start w:val="14"/>
    </w:lvl>
  </w:abstractNum>
  <w:abstractNum w:abstractNumId="24">
    <w:nsid w:val="51D9C564"/>
    <w:multiLevelType w:val="hybridMultilevel"/>
    <w:lvl w:ilvl="0">
      <w:lvlJc w:val="left"/>
      <w:lvlText w:val="%1."/>
      <w:numFmt w:val="decimal"/>
      <w:start w:val="1"/>
    </w:lvl>
    <w:lvl w:ilvl="1">
      <w:lvlJc w:val="left"/>
      <w:lvlText w:val="(%2)"/>
      <w:numFmt w:val="decimal"/>
      <w:start w:val="1"/>
    </w:lvl>
  </w:abstractNum>
  <w:abstractNum w:abstractNumId="25">
    <w:nsid w:val="613EFDC5"/>
    <w:multiLevelType w:val="hybridMultilevel"/>
    <w:lvl w:ilvl="0">
      <w:lvlJc w:val="left"/>
      <w:lvlText w:val="2"/>
      <w:numFmt w:val="bullet"/>
      <w:start w:val="1"/>
    </w:lvl>
  </w:abstractNum>
  <w:abstractNum w:abstractNumId="26">
    <w:nsid w:val="BF72B14"/>
    <w:multiLevelType w:val="hybridMultilevel"/>
    <w:lvl w:ilvl="0">
      <w:lvlJc w:val="left"/>
      <w:lvlText w:val="%1"/>
      <w:numFmt w:val="decimal"/>
      <w:start w:val="22"/>
    </w:lvl>
  </w:abstractNum>
  <w:abstractNum w:abstractNumId="27">
    <w:nsid w:val="11447B73"/>
    <w:multiLevelType w:val="hybridMultilevel"/>
    <w:lvl w:ilvl="0">
      <w:lvlJc w:val="left"/>
      <w:lvlText w:val="%1"/>
      <w:numFmt w:val="decimal"/>
      <w:start w:val="23"/>
    </w:lvl>
  </w:abstractNum>
  <w:abstractNum w:abstractNumId="28">
    <w:nsid w:val="42963E5A"/>
    <w:multiLevelType w:val="hybridMultilevel"/>
    <w:lvl w:ilvl="0">
      <w:lvlJc w:val="left"/>
      <w:lvlText w:val="%1"/>
      <w:numFmt w:val="decimal"/>
      <w:start w:val="23"/>
    </w:lvl>
  </w:abstractNum>
  <w:abstractNum w:abstractNumId="29">
    <w:nsid w:val="A0382C5"/>
    <w:multiLevelType w:val="hybridMultilevel"/>
    <w:lvl w:ilvl="0">
      <w:lvlJc w:val="left"/>
      <w:lvlText w:val="4"/>
      <w:numFmt w:val="bullet"/>
      <w:start w:val="1"/>
    </w:lvl>
  </w:abstractNum>
  <w:abstractNum w:abstractNumId="30">
    <w:nsid w:val="8F2B15E"/>
    <w:multiLevelType w:val="hybridMultilevel"/>
    <w:lvl w:ilvl="0">
      <w:lvlJc w:val="left"/>
      <w:lvlText w:val="(%1)"/>
      <w:numFmt w:val="decimal"/>
      <w:start w:val="1"/>
    </w:lvl>
  </w:abstractNum>
  <w:abstractNum w:abstractNumId="31">
    <w:nsid w:val="1A32234B"/>
    <w:multiLevelType w:val="hybridMultilevel"/>
    <w:lvl w:ilvl="0">
      <w:lvlJc w:val="left"/>
      <w:lvlText w:val="6"/>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8"/>
      <w:numFmt w:val="bullet"/>
      <w:start w:val="1"/>
    </w:lvl>
  </w:abstractNum>
  <w:abstractNum w:abstractNumId="34">
    <w:nsid w:val="4962813B"/>
    <w:multiLevelType w:val="hybridMultilevel"/>
    <w:lvl w:ilvl="0">
      <w:lvlJc w:val="left"/>
      <w:lvlText w:val="%1"/>
      <w:numFmt w:val="decimal"/>
      <w:start w:val="10"/>
    </w:lvl>
  </w:abstractNum>
  <w:abstractNum w:abstractNumId="35">
    <w:nsid w:val="60B6DF70"/>
    <w:multiLevelType w:val="hybridMultilevel"/>
    <w:lvl w:ilvl="0">
      <w:lvlJc w:val="left"/>
      <w:lvlText w:val="%1"/>
      <w:numFmt w:val="decimal"/>
      <w:start w:val="12"/>
    </w:lvl>
  </w:abstractNum>
  <w:abstractNum w:abstractNumId="36">
    <w:nsid w:val="6A5EE64"/>
    <w:multiLevelType w:val="hybridMultilevel"/>
    <w:lvl w:ilvl="0">
      <w:lvlJc w:val="left"/>
      <w:lvlText w:val="%1"/>
      <w:numFmt w:val="decimal"/>
      <w:start w:val="14"/>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1"/>
      <w:numFmt w:val="decimal"/>
      <w:start w:val="16"/>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1"/>
      <w:numFmt w:val="decimal"/>
      <w:start w:val="18"/>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decimal"/>
      <w:start w:val="20"/>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1"/>
      <w:numFmt w:val="decimal"/>
      <w:start w:val="22"/>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24"/>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1"/>
      <w:numFmt w:val="decimal"/>
      <w:start w:val="26"/>
    </w:lvl>
  </w:abstractNum>
  <w:abstractNum w:abstractNumId="54">
    <w:nsid w:val="2DF6D648"/>
    <w:multiLevelType w:val="hybridMultilevel"/>
    <w:lvl w:ilvl="0">
      <w:lvlJc w:val="left"/>
      <w:lvlText w:val="%1"/>
      <w:numFmt w:val="decimal"/>
      <w:start w:val="28"/>
    </w:lvl>
  </w:abstractNum>
  <w:abstractNum w:abstractNumId="55">
    <w:nsid w:val="46B7D447"/>
    <w:multiLevelType w:val="hybridMultilevel"/>
    <w:lvl w:ilvl="0">
      <w:lvlJc w:val="left"/>
      <w:lvlText w:val="%1"/>
      <w:numFmt w:val="decimal"/>
      <w:start w:val="30"/>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1"/>
      <w:numFmt w:val="decimal"/>
      <w:start w:val="32"/>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34"/>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decimal"/>
      <w:start w:val="36"/>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decimal"/>
      <w:start w:val="38"/>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decimal"/>
      <w:start w:val="40"/>
    </w:lvl>
  </w:abstractNum>
  <w:abstractNum w:abstractNumId="77">
    <w:nsid w:val="7DE67713"/>
    <w:multiLevelType w:val="hybridMultilevel"/>
    <w:lvl w:ilvl="0">
      <w:lvlJc w:val="left"/>
      <w:lvlText w:val="%1"/>
      <w:numFmt w:val="decimal"/>
      <w:start w:val="42"/>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decimal"/>
      <w:start w:val="44"/>
    </w:lvl>
  </w:abstractNum>
  <w:abstractNum w:abstractNumId="81">
    <w:nsid w:val="6A3DD3E8"/>
    <w:multiLevelType w:val="hybridMultilevel"/>
    <w:lvl w:ilvl="0">
      <w:lvlJc w:val="left"/>
      <w:lvlText w:val="(%1)"/>
      <w:numFmt w:val="lowerLetter"/>
      <w:start w:val="7"/>
    </w:lvl>
  </w:abstractNum>
  <w:abstractNum w:abstractNumId="82">
    <w:nsid w:val="71C91298"/>
    <w:multiLevelType w:val="hybridMultilevel"/>
    <w:lvl w:ilvl="0">
      <w:lvlJc w:val="left"/>
      <w:lvlText w:val="(%1)"/>
      <w:numFmt w:val="lowerLetter"/>
      <w:start w:val="8"/>
    </w:lvl>
  </w:abstractNum>
  <w:abstractNum w:abstractNumId="83">
    <w:nsid w:val="9DAF632"/>
    <w:multiLevelType w:val="hybridMultilevel"/>
    <w:lvl w:ilvl="0">
      <w:lvlJc w:val="left"/>
      <w:lvlText w:val="(%1)"/>
      <w:numFmt w:val="decimal"/>
      <w:start w:val="1"/>
    </w:lvl>
  </w:abstractNum>
  <w:abstractNum w:abstractNumId="84">
    <w:nsid w:val="53299938"/>
    <w:multiLevelType w:val="hybridMultilevel"/>
    <w:lvl w:ilvl="0">
      <w:lvlJc w:val="left"/>
      <w:lvlText w:val="(%1)"/>
      <w:numFmt w:val="decimal"/>
      <w:start w:val="1"/>
    </w:lvl>
  </w:abstractNum>
  <w:abstractNum w:abstractNumId="85">
    <w:nsid w:val="1FBFE8E0"/>
    <w:multiLevelType w:val="hybridMultilevel"/>
    <w:lvl w:ilvl="0">
      <w:lvlJc w:val="left"/>
      <w:lvlText w:val="%1"/>
      <w:numFmt w:val="decimal"/>
      <w:start w:val="46"/>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decimal"/>
      <w:start w:val="1"/>
    </w:lvl>
  </w:abstractNum>
  <w:abstractNum w:abstractNumId="89">
    <w:nsid w:val="288F1A34"/>
    <w:multiLevelType w:val="hybridMultilevel"/>
    <w:lvl w:ilvl="0">
      <w:lvlJc w:val="left"/>
      <w:lvlText w:val="%1"/>
      <w:numFmt w:val="decimal"/>
      <w:start w:val="48"/>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1)"/>
      <w:numFmt w:val="lowerRoman"/>
      <w:start w:val="1"/>
    </w:lvl>
    <w:lvl w:ilvl="1">
      <w:lvlJc w:val="left"/>
      <w:lvlText w:val="•"/>
      <w:numFmt w:val="bullet"/>
      <w:start w:val="1"/>
    </w:lvl>
  </w:abstractNum>
  <w:abstractNum w:abstractNumId="93">
    <w:nsid w:val="51088277"/>
    <w:multiLevelType w:val="hybridMultilevel"/>
    <w:lvl w:ilvl="0">
      <w:lvlJc w:val="left"/>
      <w:lvlText w:val="(%1)"/>
      <w:numFmt w:val="lowerRoman"/>
      <w:start w:val="4"/>
    </w:lvl>
    <w:lvl w:ilvl="1">
      <w:lvlJc w:val="left"/>
      <w:lvlText w:val="•"/>
      <w:numFmt w:val="bullet"/>
      <w:start w:val="1"/>
    </w:lvl>
  </w:abstractNum>
  <w:abstractNum w:abstractNumId="94">
    <w:nsid w:val="1CA0C5FA"/>
    <w:multiLevelType w:val="hybridMultilevel"/>
    <w:lvl w:ilvl="0">
      <w:lvlJc w:val="left"/>
      <w:lvlText w:val="(%1)"/>
      <w:numFmt w:val="lowerRoman"/>
      <w:start w:val="2"/>
    </w:lvl>
  </w:abstractNum>
  <w:abstractNum w:abstractNumId="95">
    <w:nsid w:val="53584BCB"/>
    <w:multiLevelType w:val="hybridMultilevel"/>
    <w:lvl w:ilvl="0">
      <w:lvlJc w:val="left"/>
      <w:lvlText w:val="%1"/>
      <w:numFmt w:val="decimal"/>
      <w:start w:val="50"/>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1"/>
      <w:numFmt w:val="decimal"/>
      <w:start w:val="52"/>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1"/>
      <w:numFmt w:val="decimal"/>
      <w:start w:val="54"/>
    </w:lvl>
  </w:abstractNum>
  <w:abstractNum w:abstractNumId="104">
    <w:nsid w:val="78DF6A55"/>
    <w:multiLevelType w:val="hybridMultilevel"/>
    <w:lvl w:ilvl="0">
      <w:lvlJc w:val="left"/>
      <w:lvlText w:val="%1"/>
      <w:numFmt w:val="decimal"/>
      <w:start w:val="56"/>
    </w:lvl>
  </w:abstractNum>
  <w:abstractNum w:abstractNumId="105">
    <w:nsid w:val="39B7AAA2"/>
    <w:multiLevelType w:val="hybridMultilevel"/>
    <w:lvl w:ilvl="0">
      <w:lvlJc w:val="left"/>
      <w:lvlText w:val="%1"/>
      <w:numFmt w:val="decimal"/>
      <w:start w:val="58"/>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60"/>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1"/>
      <w:numFmt w:val="decimal"/>
      <w:start w:val="62"/>
    </w:lvl>
  </w:abstractNum>
  <w:abstractNum w:abstractNumId="111">
    <w:nsid w:val="4C9B0904"/>
    <w:multiLevelType w:val="hybridMultilevel"/>
    <w:lvl w:ilvl="0">
      <w:lvlJc w:val="left"/>
      <w:lvlText w:val="%1."/>
      <w:numFmt w:val="upperLetter"/>
      <w:start w:val="1"/>
    </w:lvl>
  </w:abstractNum>
  <w:abstractNum w:abstractNumId="112">
    <w:nsid w:val="6AA7B75C"/>
    <w:multiLevelType w:val="hybridMultilevel"/>
    <w:lvl w:ilvl="0">
      <w:lvlJc w:val="left"/>
      <w:lvlText w:val="%1."/>
      <w:numFmt w:val="decimal"/>
      <w:start w:val="1"/>
    </w:lvl>
    <w:lvl w:ilvl="1">
      <w:lvlJc w:val="left"/>
      <w:lvlText w:val="(%2)"/>
      <w:numFmt w:val="lowerLetter"/>
      <w:start w:val="1"/>
    </w:lvl>
  </w:abstractNum>
  <w:abstractNum w:abstractNumId="113">
    <w:nsid w:val="1DF029D3"/>
    <w:multiLevelType w:val="hybridMultilevel"/>
    <w:lvl w:ilvl="0">
      <w:lvlJc w:val="left"/>
      <w:lvlText w:val="%1"/>
      <w:numFmt w:val="decimal"/>
      <w:start w:val="64"/>
    </w:lvl>
  </w:abstractNum>
  <w:abstractNum w:abstractNumId="114">
    <w:nsid w:val="5675FF36"/>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15">
    <w:nsid w:val="3DD1509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16">
    <w:nsid w:val="3DB012B3"/>
    <w:multiLevelType w:val="hybridMultilevel"/>
    <w:lvl w:ilvl="0">
      <w:lvlJc w:val="left"/>
      <w:lvlText w:val="%1"/>
      <w:numFmt w:val="decimal"/>
      <w:start w:val="66"/>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lowerLetter"/>
      <w:start w:val="3"/>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lowerLetter"/>
      <w:start w:val="2"/>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lowerLetter"/>
      <w:start w:val="2"/>
    </w:lvl>
  </w:abstractNum>
  <w:abstractNum w:abstractNumId="125">
    <w:nsid w:val="519E31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jpe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2019-12-09T02:55:21Z</dcterms:created>
  <dcterms:modified xsi:type="dcterms:W3CDTF">2019-12-09T02:55:21Z</dcterms:modified>
</cp:coreProperties>
</file>