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7"/>
          <w:szCs w:val="17"/>
          <w:color w:val="auto"/>
        </w:rPr>
        <w:t>G48833100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(Rule 13d-102)</w:t>
      </w:r>
    </w:p>
    <w:p>
      <w:pPr>
        <w:spacing w:after="0" w:line="225" w:lineRule="exact"/>
        <w:rPr>
          <w:sz w:val="24"/>
          <w:szCs w:val="24"/>
          <w:color w:val="auto"/>
        </w:rPr>
      </w:pPr>
    </w:p>
    <w:p>
      <w:pPr>
        <w:jc w:val="center"/>
        <w:ind w:left="480" w:right="2460"/>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 240.13d-1(b), (c) AND (d) AND AMENDMENTS THERETO FILED PURSUANT TO § 240.13d-2.</w:t>
      </w:r>
    </w:p>
    <w:p>
      <w:pPr>
        <w:spacing w:after="0" w:line="17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(Amendment No. 3)*</w:t>
      </w:r>
    </w:p>
    <w:p>
      <w:pPr>
        <w:spacing w:after="0" w:line="202"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Weatherford International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Ordinary Shares, $.001 par value per share</w:t>
      </w:r>
    </w:p>
    <w:p>
      <w:pPr>
        <w:spacing w:after="0" w:line="5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G48833100</w:t>
      </w:r>
    </w:p>
    <w:p>
      <w:pPr>
        <w:spacing w:after="0" w:line="5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December 31, 2019</w:t>
      </w:r>
    </w:p>
    <w:p>
      <w:pPr>
        <w:spacing w:after="0" w:line="40"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purposes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240" w:top="503" w:right="45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7"/>
          <w:szCs w:val="17"/>
          <w:color w:val="auto"/>
        </w:rPr>
        <w:t>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1120" w:right="8240" w:hanging="666"/>
        <w:spacing w:after="0" w:line="339" w:lineRule="auto"/>
        <w:tabs>
          <w:tab w:leader="none" w:pos="112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Names of Reporting Persons </w:t>
      </w:r>
      <w:r>
        <w:rPr>
          <w:rFonts w:ascii="Arial" w:cs="Arial" w:eastAsia="Arial" w:hAnsi="Arial"/>
          <w:sz w:val="15"/>
          <w:szCs w:val="15"/>
          <w:color w:val="auto"/>
        </w:rPr>
        <w:t>CVI Investments, Inc.</w:t>
      </w:r>
    </w:p>
    <w:p>
      <w:pPr>
        <w:spacing w:after="0" w:line="344" w:lineRule="exact"/>
        <w:rPr>
          <w:rFonts w:ascii="Arial" w:cs="Arial" w:eastAsia="Arial" w:hAnsi="Arial"/>
          <w:sz w:val="16"/>
          <w:szCs w:val="16"/>
          <w:color w:val="auto"/>
        </w:rPr>
      </w:pPr>
    </w:p>
    <w:p>
      <w:pPr>
        <w:ind w:left="1120" w:hanging="666"/>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1680" w:hanging="565"/>
        <w:spacing w:after="0"/>
        <w:tabs>
          <w:tab w:leader="none" w:pos="16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680" w:hanging="565"/>
        <w:spacing w:after="0"/>
        <w:tabs>
          <w:tab w:leader="none" w:pos="16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120" w:hanging="666"/>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120" w:right="7680" w:hanging="666"/>
        <w:spacing w:after="0" w:line="275" w:lineRule="auto"/>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16510</wp:posOffset>
            </wp:positionV>
            <wp:extent cx="65779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-531495</wp:posOffset>
            </wp:positionV>
            <wp:extent cx="65779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-942975</wp:posOffset>
            </wp:positionV>
            <wp:extent cx="6217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1728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-1157605</wp:posOffset>
            </wp:positionV>
            <wp:extent cx="62172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1728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-1774825</wp:posOffset>
            </wp:positionV>
            <wp:extent cx="65779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pacing w:after="0" w:line="384" w:lineRule="exact"/>
        <w:rPr>
          <w:sz w:val="20"/>
          <w:szCs w:val="20"/>
          <w:color w:val="auto"/>
        </w:rPr>
      </w:pPr>
    </w:p>
    <w:tbl>
      <w:tblPr>
        <w:tblLayout w:type="fixed"/>
        <w:tblInd w:w="60" w:type="dxa"/>
        <w:tblCellMar>
          <w:top w:w="0" w:type="dxa"/>
          <w:left w:w="0" w:type="dxa"/>
          <w:bottom w:w="0" w:type="dxa"/>
          <w:right w:w="0" w:type="dxa"/>
        </w:tblCellMar>
      </w:tblPr>
      <w:tr>
        <w:trPr>
          <w:trHeight w:val="222"/>
        </w:trPr>
        <w:tc>
          <w:tcPr>
            <w:tcW w:w="126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912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12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6"/>
        </w:trPr>
        <w:tc>
          <w:tcPr>
            <w:tcW w:w="12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980" w:type="dxa"/>
            <w:vAlign w:val="bottom"/>
          </w:tcPr>
          <w:p>
            <w:pPr>
              <w:spacing w:after="0"/>
              <w:rPr>
                <w:sz w:val="4"/>
                <w:szCs w:val="4"/>
                <w:color w:val="auto"/>
              </w:rPr>
            </w:pPr>
          </w:p>
        </w:tc>
        <w:tc>
          <w:tcPr>
            <w:tcW w:w="9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60" w:type="dxa"/>
            <w:vAlign w:val="bottom"/>
            <w:vMerge w:val="continue"/>
          </w:tcPr>
          <w:p>
            <w:pPr>
              <w:spacing w:after="0"/>
              <w:rPr>
                <w:sz w:val="24"/>
                <w:szCs w:val="24"/>
                <w:color w:val="auto"/>
              </w:rPr>
            </w:pPr>
          </w:p>
        </w:tc>
        <w:tc>
          <w:tcPr>
            <w:tcW w:w="980" w:type="dxa"/>
            <w:vAlign w:val="bottom"/>
            <w:vMerge w:val="restart"/>
          </w:tcPr>
          <w:p>
            <w:pPr>
              <w:jc w:val="right"/>
              <w:ind w:right="310"/>
              <w:spacing w:after="0"/>
              <w:rPr>
                <w:sz w:val="20"/>
                <w:szCs w:val="20"/>
                <w:color w:val="auto"/>
              </w:rPr>
            </w:pPr>
            <w:r>
              <w:rPr>
                <w:rFonts w:ascii="Arial" w:cs="Arial" w:eastAsia="Arial" w:hAnsi="Arial"/>
                <w:sz w:val="18"/>
                <w:szCs w:val="18"/>
                <w:color w:val="auto"/>
              </w:rPr>
              <w:t>(6)</w:t>
            </w:r>
          </w:p>
        </w:tc>
        <w:tc>
          <w:tcPr>
            <w:tcW w:w="9120" w:type="dxa"/>
            <w:vAlign w:val="bottom"/>
            <w:vMerge w:val="restart"/>
          </w:tcPr>
          <w:p>
            <w:pPr>
              <w:ind w:left="40"/>
              <w:spacing w:after="0"/>
              <w:rPr>
                <w:sz w:val="20"/>
                <w:szCs w:val="20"/>
                <w:color w:val="auto"/>
              </w:rPr>
            </w:pPr>
            <w:r>
              <w:rPr>
                <w:rFonts w:ascii="Arial" w:cs="Arial" w:eastAsia="Arial" w:hAnsi="Arial"/>
                <w:sz w:val="18"/>
                <w:szCs w:val="18"/>
                <w:color w:val="auto"/>
              </w:rPr>
              <w:t xml:space="preserve">Shared Voting Power </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4"/>
        </w:trPr>
        <w:tc>
          <w:tcPr>
            <w:tcW w:w="126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980" w:type="dxa"/>
            <w:vAlign w:val="bottom"/>
            <w:vMerge w:val="continue"/>
          </w:tcPr>
          <w:p>
            <w:pPr>
              <w:spacing w:after="0"/>
              <w:rPr>
                <w:sz w:val="9"/>
                <w:szCs w:val="9"/>
                <w:color w:val="auto"/>
              </w:rPr>
            </w:pPr>
          </w:p>
        </w:tc>
        <w:tc>
          <w:tcPr>
            <w:tcW w:w="9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91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0"/>
        </w:trPr>
        <w:tc>
          <w:tcPr>
            <w:tcW w:w="126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980" w:type="dxa"/>
            <w:vAlign w:val="bottom"/>
          </w:tcPr>
          <w:p>
            <w:pPr>
              <w:spacing w:after="0"/>
              <w:rPr>
                <w:sz w:val="10"/>
                <w:szCs w:val="10"/>
                <w:color w:val="auto"/>
              </w:rPr>
            </w:pPr>
          </w:p>
        </w:tc>
        <w:tc>
          <w:tcPr>
            <w:tcW w:w="9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26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9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r>
              <w:rPr>
                <w:rFonts w:ascii="Arial" w:cs="Arial" w:eastAsia="Arial" w:hAnsi="Arial"/>
                <w:sz w:val="18"/>
                <w:szCs w:val="18"/>
                <w:color w:val="auto"/>
              </w:rPr>
              <w:t>Owned by</w:t>
            </w:r>
          </w:p>
        </w:tc>
        <w:tc>
          <w:tcPr>
            <w:tcW w:w="980" w:type="dxa"/>
            <w:vAlign w:val="bottom"/>
          </w:tcPr>
          <w:p>
            <w:pPr>
              <w:spacing w:after="0"/>
              <w:rPr>
                <w:sz w:val="20"/>
                <w:szCs w:val="20"/>
                <w:color w:val="auto"/>
              </w:rPr>
            </w:pPr>
          </w:p>
        </w:tc>
        <w:tc>
          <w:tcPr>
            <w:tcW w:w="9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Each</w:t>
            </w:r>
          </w:p>
        </w:tc>
        <w:tc>
          <w:tcPr>
            <w:tcW w:w="980" w:type="dxa"/>
            <w:vAlign w:val="bottom"/>
            <w:vMerge w:val="restart"/>
          </w:tcPr>
          <w:p>
            <w:pPr>
              <w:jc w:val="right"/>
              <w:ind w:right="310"/>
              <w:spacing w:after="0"/>
              <w:rPr>
                <w:sz w:val="20"/>
                <w:szCs w:val="20"/>
                <w:color w:val="auto"/>
              </w:rPr>
            </w:pPr>
            <w:r>
              <w:rPr>
                <w:rFonts w:ascii="Arial" w:cs="Arial" w:eastAsia="Arial" w:hAnsi="Arial"/>
                <w:sz w:val="18"/>
                <w:szCs w:val="18"/>
                <w:color w:val="auto"/>
              </w:rPr>
              <w:t>(7)</w:t>
            </w:r>
          </w:p>
        </w:tc>
        <w:tc>
          <w:tcPr>
            <w:tcW w:w="912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8"/>
        </w:trPr>
        <w:tc>
          <w:tcPr>
            <w:tcW w:w="1260" w:type="dxa"/>
            <w:vAlign w:val="bottom"/>
          </w:tcPr>
          <w:p>
            <w:pPr>
              <w:spacing w:after="0" w:line="128" w:lineRule="exact"/>
              <w:rPr>
                <w:sz w:val="20"/>
                <w:szCs w:val="20"/>
                <w:color w:val="auto"/>
              </w:rPr>
            </w:pPr>
            <w:r>
              <w:rPr>
                <w:rFonts w:ascii="Arial" w:cs="Arial" w:eastAsia="Arial" w:hAnsi="Arial"/>
                <w:sz w:val="14"/>
                <w:szCs w:val="14"/>
                <w:color w:val="auto"/>
              </w:rPr>
              <w:t>Reporting</w:t>
            </w:r>
          </w:p>
        </w:tc>
        <w:tc>
          <w:tcPr>
            <w:tcW w:w="980" w:type="dxa"/>
            <w:vAlign w:val="bottom"/>
            <w:vMerge w:val="continue"/>
          </w:tcPr>
          <w:p>
            <w:pPr>
              <w:spacing w:after="0"/>
              <w:rPr>
                <w:sz w:val="11"/>
                <w:szCs w:val="11"/>
                <w:color w:val="auto"/>
              </w:rPr>
            </w:pPr>
          </w:p>
        </w:tc>
        <w:tc>
          <w:tcPr>
            <w:tcW w:w="9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22"/>
        </w:trPr>
        <w:tc>
          <w:tcPr>
            <w:tcW w:w="2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9120" w:type="dxa"/>
            <w:vAlign w:val="bottom"/>
          </w:tcPr>
          <w:p>
            <w:pPr>
              <w:jc w:val="right"/>
              <w:ind w:right="889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2"/>
        </w:trPr>
        <w:tc>
          <w:tcPr>
            <w:tcW w:w="2240" w:type="dxa"/>
            <w:vAlign w:val="bottom"/>
            <w:vMerge w:val="continue"/>
          </w:tcPr>
          <w:p>
            <w:pPr>
              <w:spacing w:after="0"/>
              <w:rPr>
                <w:sz w:val="3"/>
                <w:szCs w:val="3"/>
                <w:color w:val="auto"/>
              </w:rPr>
            </w:pPr>
          </w:p>
        </w:tc>
        <w:tc>
          <w:tcPr>
            <w:tcW w:w="9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340" w:right="6980" w:hanging="657"/>
        <w:spacing w:after="0" w:line="277" w:lineRule="auto"/>
        <w:tabs>
          <w:tab w:leader="none" w:pos="234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Dispositive Power ** 0</w:t>
      </w:r>
    </w:p>
    <w:p>
      <w:pPr>
        <w:spacing w:after="0" w:line="386" w:lineRule="exact"/>
        <w:rPr>
          <w:rFonts w:ascii="Arial" w:cs="Arial" w:eastAsia="Arial" w:hAnsi="Arial"/>
          <w:sz w:val="18"/>
          <w:szCs w:val="18"/>
          <w:color w:val="auto"/>
        </w:rPr>
      </w:pPr>
    </w:p>
    <w:p>
      <w:pPr>
        <w:ind w:left="1120" w:right="5500" w:hanging="666"/>
        <w:spacing w:after="0" w:line="275" w:lineRule="auto"/>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0</w:t>
      </w:r>
    </w:p>
    <w:p>
      <w:pPr>
        <w:spacing w:after="0" w:line="389" w:lineRule="exact"/>
        <w:rPr>
          <w:rFonts w:ascii="Arial" w:cs="Arial" w:eastAsia="Arial" w:hAnsi="Arial"/>
          <w:sz w:val="18"/>
          <w:szCs w:val="18"/>
          <w:color w:val="auto"/>
        </w:rPr>
      </w:pPr>
    </w:p>
    <w:p>
      <w:pPr>
        <w:ind w:left="1120" w:hanging="666"/>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120" w:right="6520" w:hanging="666"/>
        <w:spacing w:after="0" w:line="275" w:lineRule="auto"/>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0%</w:t>
      </w:r>
    </w:p>
    <w:p>
      <w:pPr>
        <w:spacing w:after="0" w:line="389" w:lineRule="exact"/>
        <w:rPr>
          <w:rFonts w:ascii="Arial" w:cs="Arial" w:eastAsia="Arial" w:hAnsi="Arial"/>
          <w:sz w:val="18"/>
          <w:szCs w:val="18"/>
          <w:color w:val="auto"/>
        </w:rPr>
      </w:pPr>
    </w:p>
    <w:p>
      <w:pPr>
        <w:ind w:left="1120" w:hanging="666"/>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right="180" w:firstLine="8"/>
        <w:spacing w:after="0" w:line="277"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Heights Capital Management, Inc. is the investment manager to CVI Investments, Inc. and as such may exercise voting and dispositive power over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-585470</wp:posOffset>
            </wp:positionV>
            <wp:extent cx="65779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-1134110</wp:posOffset>
            </wp:positionV>
            <wp:extent cx="65779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-1682750</wp:posOffset>
            </wp:positionV>
            <wp:extent cx="65779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-2094865</wp:posOffset>
            </wp:positionV>
            <wp:extent cx="65779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-2643505</wp:posOffset>
            </wp:positionV>
            <wp:extent cx="57975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-370840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7"/>
          <w:szCs w:val="17"/>
          <w:color w:val="auto"/>
        </w:rPr>
        <w:t>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1120" w:right="7900" w:hanging="666"/>
        <w:spacing w:after="0" w:line="339" w:lineRule="auto"/>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Names of Reporting Persons </w:t>
      </w:r>
      <w:r>
        <w:rPr>
          <w:rFonts w:ascii="Arial" w:cs="Arial" w:eastAsia="Arial" w:hAnsi="Arial"/>
          <w:sz w:val="15"/>
          <w:szCs w:val="15"/>
          <w:color w:val="auto"/>
        </w:rPr>
        <w:t>Heights Capital Management, Inc.</w:t>
      </w:r>
    </w:p>
    <w:p>
      <w:pPr>
        <w:spacing w:after="0" w:line="344" w:lineRule="exact"/>
        <w:rPr>
          <w:rFonts w:ascii="Arial" w:cs="Arial" w:eastAsia="Arial" w:hAnsi="Arial"/>
          <w:sz w:val="16"/>
          <w:szCs w:val="16"/>
          <w:color w:val="auto"/>
        </w:rPr>
      </w:pPr>
    </w:p>
    <w:p>
      <w:pPr>
        <w:ind w:left="1120" w:hanging="666"/>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1680" w:hanging="565"/>
        <w:spacing w:after="0"/>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680" w:hanging="565"/>
        <w:spacing w:after="0"/>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120" w:hanging="666"/>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120" w:right="7680" w:hanging="666"/>
        <w:spacing w:after="0" w:line="275"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16510</wp:posOffset>
            </wp:positionV>
            <wp:extent cx="65779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-531495</wp:posOffset>
            </wp:positionV>
            <wp:extent cx="65779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-942975</wp:posOffset>
            </wp:positionV>
            <wp:extent cx="62172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1728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-1157605</wp:posOffset>
            </wp:positionV>
            <wp:extent cx="62172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1728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-1774825</wp:posOffset>
            </wp:positionV>
            <wp:extent cx="65779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pacing w:after="0" w:line="384" w:lineRule="exact"/>
        <w:rPr>
          <w:sz w:val="20"/>
          <w:szCs w:val="20"/>
          <w:color w:val="auto"/>
        </w:rPr>
      </w:pPr>
    </w:p>
    <w:tbl>
      <w:tblPr>
        <w:tblLayout w:type="fixed"/>
        <w:tblInd w:w="60" w:type="dxa"/>
        <w:tblCellMar>
          <w:top w:w="0" w:type="dxa"/>
          <w:left w:w="0" w:type="dxa"/>
          <w:bottom w:w="0" w:type="dxa"/>
          <w:right w:w="0" w:type="dxa"/>
        </w:tblCellMar>
      </w:tblPr>
      <w:tr>
        <w:trPr>
          <w:trHeight w:val="222"/>
        </w:trPr>
        <w:tc>
          <w:tcPr>
            <w:tcW w:w="126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912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12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6"/>
        </w:trPr>
        <w:tc>
          <w:tcPr>
            <w:tcW w:w="12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980" w:type="dxa"/>
            <w:vAlign w:val="bottom"/>
          </w:tcPr>
          <w:p>
            <w:pPr>
              <w:spacing w:after="0"/>
              <w:rPr>
                <w:sz w:val="4"/>
                <w:szCs w:val="4"/>
                <w:color w:val="auto"/>
              </w:rPr>
            </w:pPr>
          </w:p>
        </w:tc>
        <w:tc>
          <w:tcPr>
            <w:tcW w:w="9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60" w:type="dxa"/>
            <w:vAlign w:val="bottom"/>
            <w:vMerge w:val="continue"/>
          </w:tcPr>
          <w:p>
            <w:pPr>
              <w:spacing w:after="0"/>
              <w:rPr>
                <w:sz w:val="24"/>
                <w:szCs w:val="24"/>
                <w:color w:val="auto"/>
              </w:rPr>
            </w:pPr>
          </w:p>
        </w:tc>
        <w:tc>
          <w:tcPr>
            <w:tcW w:w="980" w:type="dxa"/>
            <w:vAlign w:val="bottom"/>
            <w:vMerge w:val="restart"/>
          </w:tcPr>
          <w:p>
            <w:pPr>
              <w:jc w:val="right"/>
              <w:ind w:right="310"/>
              <w:spacing w:after="0"/>
              <w:rPr>
                <w:sz w:val="20"/>
                <w:szCs w:val="20"/>
                <w:color w:val="auto"/>
              </w:rPr>
            </w:pPr>
            <w:r>
              <w:rPr>
                <w:rFonts w:ascii="Arial" w:cs="Arial" w:eastAsia="Arial" w:hAnsi="Arial"/>
                <w:sz w:val="18"/>
                <w:szCs w:val="18"/>
                <w:color w:val="auto"/>
              </w:rPr>
              <w:t>(6)</w:t>
            </w:r>
          </w:p>
        </w:tc>
        <w:tc>
          <w:tcPr>
            <w:tcW w:w="9120" w:type="dxa"/>
            <w:vAlign w:val="bottom"/>
            <w:vMerge w:val="restart"/>
          </w:tcPr>
          <w:p>
            <w:pPr>
              <w:ind w:left="40"/>
              <w:spacing w:after="0"/>
              <w:rPr>
                <w:sz w:val="20"/>
                <w:szCs w:val="20"/>
                <w:color w:val="auto"/>
              </w:rPr>
            </w:pPr>
            <w:r>
              <w:rPr>
                <w:rFonts w:ascii="Arial" w:cs="Arial" w:eastAsia="Arial" w:hAnsi="Arial"/>
                <w:sz w:val="18"/>
                <w:szCs w:val="18"/>
                <w:color w:val="auto"/>
              </w:rPr>
              <w:t xml:space="preserve">Shared Voting Power </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4"/>
        </w:trPr>
        <w:tc>
          <w:tcPr>
            <w:tcW w:w="126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980" w:type="dxa"/>
            <w:vAlign w:val="bottom"/>
            <w:vMerge w:val="continue"/>
          </w:tcPr>
          <w:p>
            <w:pPr>
              <w:spacing w:after="0"/>
              <w:rPr>
                <w:sz w:val="9"/>
                <w:szCs w:val="9"/>
                <w:color w:val="auto"/>
              </w:rPr>
            </w:pPr>
          </w:p>
        </w:tc>
        <w:tc>
          <w:tcPr>
            <w:tcW w:w="9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91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0"/>
        </w:trPr>
        <w:tc>
          <w:tcPr>
            <w:tcW w:w="126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980" w:type="dxa"/>
            <w:vAlign w:val="bottom"/>
          </w:tcPr>
          <w:p>
            <w:pPr>
              <w:spacing w:after="0"/>
              <w:rPr>
                <w:sz w:val="10"/>
                <w:szCs w:val="10"/>
                <w:color w:val="auto"/>
              </w:rPr>
            </w:pPr>
          </w:p>
        </w:tc>
        <w:tc>
          <w:tcPr>
            <w:tcW w:w="9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26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9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r>
              <w:rPr>
                <w:rFonts w:ascii="Arial" w:cs="Arial" w:eastAsia="Arial" w:hAnsi="Arial"/>
                <w:sz w:val="18"/>
                <w:szCs w:val="18"/>
                <w:color w:val="auto"/>
              </w:rPr>
              <w:t>Owned by</w:t>
            </w:r>
          </w:p>
        </w:tc>
        <w:tc>
          <w:tcPr>
            <w:tcW w:w="980" w:type="dxa"/>
            <w:vAlign w:val="bottom"/>
          </w:tcPr>
          <w:p>
            <w:pPr>
              <w:spacing w:after="0"/>
              <w:rPr>
                <w:sz w:val="20"/>
                <w:szCs w:val="20"/>
                <w:color w:val="auto"/>
              </w:rPr>
            </w:pPr>
          </w:p>
        </w:tc>
        <w:tc>
          <w:tcPr>
            <w:tcW w:w="9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Each</w:t>
            </w:r>
          </w:p>
        </w:tc>
        <w:tc>
          <w:tcPr>
            <w:tcW w:w="980" w:type="dxa"/>
            <w:vAlign w:val="bottom"/>
            <w:vMerge w:val="restart"/>
          </w:tcPr>
          <w:p>
            <w:pPr>
              <w:jc w:val="right"/>
              <w:ind w:right="310"/>
              <w:spacing w:after="0"/>
              <w:rPr>
                <w:sz w:val="20"/>
                <w:szCs w:val="20"/>
                <w:color w:val="auto"/>
              </w:rPr>
            </w:pPr>
            <w:r>
              <w:rPr>
                <w:rFonts w:ascii="Arial" w:cs="Arial" w:eastAsia="Arial" w:hAnsi="Arial"/>
                <w:sz w:val="18"/>
                <w:szCs w:val="18"/>
                <w:color w:val="auto"/>
              </w:rPr>
              <w:t>(7)</w:t>
            </w:r>
          </w:p>
        </w:tc>
        <w:tc>
          <w:tcPr>
            <w:tcW w:w="912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8"/>
        </w:trPr>
        <w:tc>
          <w:tcPr>
            <w:tcW w:w="1260" w:type="dxa"/>
            <w:vAlign w:val="bottom"/>
          </w:tcPr>
          <w:p>
            <w:pPr>
              <w:spacing w:after="0" w:line="128" w:lineRule="exact"/>
              <w:rPr>
                <w:sz w:val="20"/>
                <w:szCs w:val="20"/>
                <w:color w:val="auto"/>
              </w:rPr>
            </w:pPr>
            <w:r>
              <w:rPr>
                <w:rFonts w:ascii="Arial" w:cs="Arial" w:eastAsia="Arial" w:hAnsi="Arial"/>
                <w:sz w:val="14"/>
                <w:szCs w:val="14"/>
                <w:color w:val="auto"/>
              </w:rPr>
              <w:t>Reporting</w:t>
            </w:r>
          </w:p>
        </w:tc>
        <w:tc>
          <w:tcPr>
            <w:tcW w:w="980" w:type="dxa"/>
            <w:vAlign w:val="bottom"/>
            <w:vMerge w:val="continue"/>
          </w:tcPr>
          <w:p>
            <w:pPr>
              <w:spacing w:after="0"/>
              <w:rPr>
                <w:sz w:val="11"/>
                <w:szCs w:val="11"/>
                <w:color w:val="auto"/>
              </w:rPr>
            </w:pPr>
          </w:p>
        </w:tc>
        <w:tc>
          <w:tcPr>
            <w:tcW w:w="9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22"/>
        </w:trPr>
        <w:tc>
          <w:tcPr>
            <w:tcW w:w="2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9120" w:type="dxa"/>
            <w:vAlign w:val="bottom"/>
          </w:tcPr>
          <w:p>
            <w:pPr>
              <w:jc w:val="right"/>
              <w:ind w:right="889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2"/>
        </w:trPr>
        <w:tc>
          <w:tcPr>
            <w:tcW w:w="2240" w:type="dxa"/>
            <w:vAlign w:val="bottom"/>
            <w:vMerge w:val="continue"/>
          </w:tcPr>
          <w:p>
            <w:pPr>
              <w:spacing w:after="0"/>
              <w:rPr>
                <w:sz w:val="3"/>
                <w:szCs w:val="3"/>
                <w:color w:val="auto"/>
              </w:rPr>
            </w:pPr>
          </w:p>
        </w:tc>
        <w:tc>
          <w:tcPr>
            <w:tcW w:w="9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340" w:right="6980" w:hanging="657"/>
        <w:spacing w:after="0" w:line="277" w:lineRule="auto"/>
        <w:tabs>
          <w:tab w:leader="none" w:pos="234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Dispositive Power ** 0</w:t>
      </w:r>
    </w:p>
    <w:p>
      <w:pPr>
        <w:spacing w:after="0" w:line="386" w:lineRule="exact"/>
        <w:rPr>
          <w:rFonts w:ascii="Arial" w:cs="Arial" w:eastAsia="Arial" w:hAnsi="Arial"/>
          <w:sz w:val="18"/>
          <w:szCs w:val="18"/>
          <w:color w:val="auto"/>
        </w:rPr>
      </w:pPr>
    </w:p>
    <w:p>
      <w:pPr>
        <w:ind w:left="1120" w:right="5500" w:hanging="666"/>
        <w:spacing w:after="0" w:line="275" w:lineRule="auto"/>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0</w:t>
      </w:r>
    </w:p>
    <w:p>
      <w:pPr>
        <w:spacing w:after="0" w:line="389" w:lineRule="exact"/>
        <w:rPr>
          <w:rFonts w:ascii="Arial" w:cs="Arial" w:eastAsia="Arial" w:hAnsi="Arial"/>
          <w:sz w:val="18"/>
          <w:szCs w:val="18"/>
          <w:color w:val="auto"/>
        </w:rPr>
      </w:pPr>
    </w:p>
    <w:p>
      <w:pPr>
        <w:ind w:left="1120" w:hanging="666"/>
        <w:spacing w:after="0"/>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120" w:right="6520" w:hanging="666"/>
        <w:spacing w:after="0" w:line="275" w:lineRule="auto"/>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0%</w:t>
      </w:r>
    </w:p>
    <w:p>
      <w:pPr>
        <w:spacing w:after="0" w:line="389" w:lineRule="exact"/>
        <w:rPr>
          <w:rFonts w:ascii="Arial" w:cs="Arial" w:eastAsia="Arial" w:hAnsi="Arial"/>
          <w:sz w:val="18"/>
          <w:szCs w:val="18"/>
          <w:color w:val="auto"/>
        </w:rPr>
      </w:pPr>
    </w:p>
    <w:p>
      <w:pPr>
        <w:ind w:left="1120" w:hanging="666"/>
        <w:spacing w:after="0"/>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right="180" w:firstLine="8"/>
        <w:spacing w:after="0" w:line="277" w:lineRule="auto"/>
        <w:tabs>
          <w:tab w:leader="none" w:pos="225" w:val="left"/>
        </w:tabs>
        <w:numPr>
          <w:ilvl w:val="0"/>
          <w:numId w:val="7"/>
        </w:numPr>
        <w:rPr>
          <w:rFonts w:ascii="Arial" w:cs="Arial" w:eastAsia="Arial" w:hAnsi="Arial"/>
          <w:sz w:val="18"/>
          <w:szCs w:val="18"/>
          <w:color w:val="auto"/>
        </w:rPr>
      </w:pPr>
      <w:r>
        <w:rPr>
          <w:rFonts w:ascii="Arial" w:cs="Arial" w:eastAsia="Arial" w:hAnsi="Arial"/>
          <w:sz w:val="18"/>
          <w:szCs w:val="18"/>
          <w:color w:val="auto"/>
        </w:rPr>
        <w:t>Heights Capital Management, Inc. is the investment manager to CVI Investments, Inc. and as such may exercise voting and dispositive power over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-585470</wp:posOffset>
            </wp:positionV>
            <wp:extent cx="65779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-1134110</wp:posOffset>
            </wp:positionV>
            <wp:extent cx="65779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-1682750</wp:posOffset>
            </wp:positionV>
            <wp:extent cx="65779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-2094865</wp:posOffset>
            </wp:positionV>
            <wp:extent cx="65779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-2643505</wp:posOffset>
            </wp:positionV>
            <wp:extent cx="57975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-370840</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7"/>
          <w:szCs w:val="17"/>
          <w:color w:val="auto"/>
        </w:rPr>
        <w:t>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40" w:hanging="49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6"/>
          <w:szCs w:val="16"/>
          <w:color w:val="auto"/>
        </w:rPr>
        <w:t>Weatherford International public limited company (the “Company”)</w:t>
      </w:r>
    </w:p>
    <w:p>
      <w:pPr>
        <w:spacing w:after="0" w:line="139" w:lineRule="exact"/>
        <w:rPr>
          <w:rFonts w:ascii="Arial" w:cs="Arial" w:eastAsia="Arial" w:hAnsi="Arial"/>
          <w:sz w:val="18"/>
          <w:szCs w:val="18"/>
          <w:color w:val="auto"/>
        </w:rPr>
      </w:pPr>
    </w:p>
    <w:p>
      <w:pPr>
        <w:ind w:left="1440" w:right="6340" w:hanging="493"/>
        <w:spacing w:after="0" w:line="339" w:lineRule="auto"/>
        <w:tabs>
          <w:tab w:leader="none" w:pos="1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Address of Issuer’s Principal Executive Offices </w:t>
      </w:r>
      <w:r>
        <w:rPr>
          <w:rFonts w:ascii="Arial" w:cs="Arial" w:eastAsia="Arial" w:hAnsi="Arial"/>
          <w:sz w:val="15"/>
          <w:szCs w:val="15"/>
          <w:color w:val="auto"/>
        </w:rPr>
        <w:t>2000 St. James Place, Houston, TX 77056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-11430</wp:posOffset>
            </wp:positionV>
            <wp:extent cx="63290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-363220</wp:posOffset>
            </wp:positionV>
            <wp:extent cx="63290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21"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color w:val="auto"/>
        </w:rPr>
        <w:t>Name of Person Filing</w:t>
      </w:r>
    </w:p>
    <w:p>
      <w:pPr>
        <w:sectPr>
          <w:pgSz w:w="11900" w:h="16838" w:orient="portrait"/>
          <w:cols w:equalWidth="0" w:num="1">
            <w:col w:w="11200"/>
          </w:cols>
          <w:pgMar w:left="300" w:top="395" w:right="399" w:bottom="4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2(c).</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color w:val="auto"/>
        </w:rPr>
        <w:t>This statement is filed by the entities listed below, who are collectively referred to herein as “Reporting Persons,” with respect to the ordinary shares of the Company, $.001 par value per share (the “Shares”).</w:t>
      </w:r>
    </w:p>
    <w:p>
      <w:pPr>
        <w:spacing w:after="0" w:line="189" w:lineRule="exact"/>
        <w:rPr>
          <w:sz w:val="20"/>
          <w:szCs w:val="20"/>
          <w:color w:val="auto"/>
        </w:rPr>
      </w:pPr>
    </w:p>
    <w:p>
      <w:pPr>
        <w:ind w:left="680" w:hanging="673"/>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CVI Investments, Inc.</w:t>
      </w:r>
    </w:p>
    <w:p>
      <w:pPr>
        <w:spacing w:after="0" w:line="225" w:lineRule="exact"/>
        <w:rPr>
          <w:rFonts w:ascii="Arial" w:cs="Arial" w:eastAsia="Arial" w:hAnsi="Arial"/>
          <w:sz w:val="18"/>
          <w:szCs w:val="18"/>
          <w:color w:val="auto"/>
        </w:rPr>
      </w:pPr>
    </w:p>
    <w:p>
      <w:pPr>
        <w:ind w:left="680" w:hanging="673"/>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Heights Capital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48895</wp:posOffset>
            </wp:positionV>
            <wp:extent cx="63290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Address of Principal Business Office or, if none, Residence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principal business office of CVI Investments, Inc. 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P.O. Box 309GT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Ugland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Church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George 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Cayman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KY1-1104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principal business office of Heights Capital Management, Inc. 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 California Street, Suite 3250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40005</wp:posOffset>
            </wp:positionV>
            <wp:extent cx="63290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Citizenship</w:t>
      </w:r>
    </w:p>
    <w:p>
      <w:pPr>
        <w:spacing w:after="0" w:line="23" w:lineRule="exact"/>
        <w:rPr>
          <w:sz w:val="20"/>
          <w:szCs w:val="20"/>
          <w:color w:val="auto"/>
        </w:rPr>
      </w:pPr>
    </w:p>
    <w:p>
      <w:pPr>
        <w:sectPr>
          <w:pgSz w:w="11900" w:h="16838" w:orient="portrait"/>
          <w:cols w:equalWidth="0" w:num="2">
            <w:col w:w="760" w:space="680"/>
            <w:col w:w="9760"/>
          </w:cols>
          <w:pgMar w:left="300" w:top="395" w:right="399" w:bottom="476"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2(d)</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0" w:lineRule="exact"/>
        <w:rPr>
          <w:sz w:val="20"/>
          <w:szCs w:val="20"/>
          <w:color w:val="auto"/>
        </w:rPr>
      </w:pPr>
      <w:r>
        <w:rPr>
          <w:sz w:val="20"/>
          <w:szCs w:val="20"/>
          <w:color w:val="auto"/>
        </w:rPr>
        <w:br w:type="column"/>
      </w:r>
    </w:p>
    <w:p>
      <w:pPr>
        <w:ind w:left="500" w:right="80"/>
        <w:spacing w:after="0" w:line="258" w:lineRule="auto"/>
        <w:rPr>
          <w:sz w:val="20"/>
          <w:szCs w:val="20"/>
          <w:color w:val="auto"/>
        </w:rPr>
      </w:pPr>
      <w:r>
        <w:rPr>
          <w:rFonts w:ascii="Arial" w:cs="Arial" w:eastAsia="Arial" w:hAnsi="Arial"/>
          <w:sz w:val="18"/>
          <w:szCs w:val="18"/>
          <w:color w:val="auto"/>
        </w:rPr>
        <w:t>Citizenship is set forth in Row 4 of the cover page for each Reporting Person hereto and is incorporated herein by reference for each such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26035</wp:posOffset>
            </wp:positionV>
            <wp:extent cx="63290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of Class of Securities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Ordinary shares, $.001 par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40005</wp:posOffset>
            </wp:positionV>
            <wp:extent cx="63290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CUSIP Number</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40005</wp:posOffset>
            </wp:positionV>
            <wp:extent cx="63290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this statement is filed pursuant to §§240.13d-1(b) or 240.13d-2(b) or (c), check whether the person filing is a:</w:t>
      </w:r>
    </w:p>
    <w:p>
      <w:pPr>
        <w:spacing w:after="0" w:line="175" w:lineRule="exact"/>
        <w:rPr>
          <w:sz w:val="20"/>
          <w:szCs w:val="20"/>
          <w:color w:val="auto"/>
        </w:rPr>
      </w:pPr>
    </w:p>
    <w:p>
      <w:pPr>
        <w:ind w:left="500" w:hanging="493"/>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500" w:hanging="493"/>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500" w:hanging="493"/>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500" w:hanging="493"/>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500" w:hanging="493"/>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500" w:hanging="493"/>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500" w:hanging="493"/>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500" w:hanging="493"/>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020" w:hanging="1013"/>
        <w:spacing w:after="0" w:line="277" w:lineRule="auto"/>
        <w:tabs>
          <w:tab w:leader="none" w:pos="507" w:val="left"/>
        </w:tabs>
        <w:numPr>
          <w:ilvl w:val="0"/>
          <w:numId w:val="10"/>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500" w:hanging="493"/>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§240.13d-1(b)(1)(ii)(J);</w:t>
      </w:r>
    </w:p>
    <w:p>
      <w:pPr>
        <w:spacing w:after="0" w:line="16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Group, in accordance with Rule 13d-1(b)(1)(ii)(K). If filing as a non-U.S. institution in accordance with</w:t>
      </w:r>
    </w:p>
    <w:p>
      <w:pPr>
        <w:spacing w:after="0" w:line="187" w:lineRule="auto"/>
        <w:tabs>
          <w:tab w:leader="none" w:pos="480" w:val="left"/>
        </w:tabs>
        <w:rPr>
          <w:sz w:val="20"/>
          <w:szCs w:val="20"/>
          <w:color w:val="auto"/>
        </w:rPr>
      </w:pPr>
      <w:r>
        <w:rPr>
          <w:rFonts w:ascii="Arial" w:cs="Arial" w:eastAsia="Arial" w:hAnsi="Arial"/>
          <w:sz w:val="15"/>
          <w:szCs w:val="15"/>
          <w:color w:val="auto"/>
        </w:rPr>
        <w:t>(k)</w:t>
      </w:r>
      <w:r>
        <w:rPr>
          <w:sz w:val="20"/>
          <w:szCs w:val="20"/>
          <w:color w:val="auto"/>
        </w:rPr>
        <w:tab/>
      </w:r>
      <w:r>
        <w:rPr>
          <w:rFonts w:ascii="Arial" w:cs="Arial" w:eastAsia="Arial" w:hAnsi="Arial"/>
          <w:sz w:val="15"/>
          <w:szCs w:val="15"/>
          <w:color w:val="auto"/>
        </w:rPr>
        <w:t>o</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§240.13d-1(b)(1)(ii)(J), please specify the type of institution:____________________________</w:t>
      </w:r>
    </w:p>
    <w:p>
      <w:pPr>
        <w:spacing w:after="0" w:line="200" w:lineRule="exact"/>
        <w:rPr>
          <w:sz w:val="20"/>
          <w:szCs w:val="20"/>
          <w:color w:val="auto"/>
        </w:rPr>
      </w:pPr>
    </w:p>
    <w:p>
      <w:pPr>
        <w:sectPr>
          <w:pgSz w:w="11900" w:h="16838" w:orient="portrait"/>
          <w:cols w:equalWidth="0" w:num="2">
            <w:col w:w="720" w:space="220"/>
            <w:col w:w="10260"/>
          </w:cols>
          <w:pgMar w:left="300" w:top="395" w:right="399" w:bottom="476" w:gutter="0" w:footer="0" w:header="0"/>
          <w:type w:val="continuous"/>
        </w:sectPr>
      </w:pP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88900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00" w:top="395" w:right="399" w:bottom="476"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color w:val="auto"/>
        </w:rPr>
        <w:t xml:space="preserve">CUSIP No: </w:t>
      </w:r>
      <w:r>
        <w:rPr>
          <w:rFonts w:ascii="Arial" w:cs="Arial" w:eastAsia="Arial" w:hAnsi="Arial"/>
          <w:sz w:val="15"/>
          <w:szCs w:val="15"/>
          <w:color w:val="auto"/>
        </w:rPr>
        <w:t>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63500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00" w:top="395" w:right="299" w:bottom="1440" w:gutter="0" w:footer="0" w:header="0"/>
        </w:sectPr>
      </w:pPr>
    </w:p>
    <w:p>
      <w:pPr>
        <w:spacing w:after="0" w:line="36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The information required by Items 4(a) – (c) is set forth in Rows 5 – 11 of the cover page for each Reporting Person hereto and is incorporated herein by reference for each such Reporting Person.</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38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120" w:right="20" w:hanging="1120"/>
        <w:spacing w:after="0" w:line="282" w:lineRule="auto"/>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00" w:top="395" w:right="299"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7"/>
          <w:szCs w:val="17"/>
          <w:color w:val="auto"/>
        </w:rPr>
        <w:t>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jc w:val="both"/>
        <w:ind w:left="60" w:right="260" w:firstLine="648"/>
        <w:spacing w:after="0" w:line="264"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380" w:firstLine="824"/>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Dated: February 10, 2020</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240" w:type="dxa"/>
            <w:vAlign w:val="bottom"/>
            <w:gridSpan w:val="2"/>
          </w:tcPr>
          <w:p>
            <w:pPr>
              <w:spacing w:after="0"/>
              <w:rPr>
                <w:sz w:val="20"/>
                <w:szCs w:val="20"/>
                <w:color w:val="auto"/>
              </w:rPr>
            </w:pPr>
            <w:r>
              <w:rPr>
                <w:rFonts w:ascii="Arial" w:cs="Arial" w:eastAsia="Arial" w:hAnsi="Arial"/>
                <w:sz w:val="18"/>
                <w:szCs w:val="18"/>
                <w:color w:val="auto"/>
              </w:rPr>
              <w:t>CVI INVESTMENTS, INC.</w:t>
            </w:r>
          </w:p>
        </w:tc>
        <w:tc>
          <w:tcPr>
            <w:tcW w:w="6180" w:type="dxa"/>
            <w:vAlign w:val="bottom"/>
            <w:gridSpan w:val="3"/>
          </w:tcPr>
          <w:p>
            <w:pPr>
              <w:ind w:left="480"/>
              <w:spacing w:after="0"/>
              <w:rPr>
                <w:sz w:val="20"/>
                <w:szCs w:val="20"/>
                <w:color w:val="auto"/>
              </w:rPr>
            </w:pPr>
            <w:r>
              <w:rPr>
                <w:rFonts w:ascii="Arial" w:cs="Arial" w:eastAsia="Arial" w:hAnsi="Arial"/>
                <w:sz w:val="18"/>
                <w:szCs w:val="18"/>
                <w:color w:val="auto"/>
              </w:rPr>
              <w:t>HEIGHTS CAPITAL MANAGEMENT, INC.</w:t>
            </w:r>
          </w:p>
        </w:tc>
        <w:tc>
          <w:tcPr>
            <w:tcW w:w="40" w:type="dxa"/>
            <w:vAlign w:val="bottom"/>
          </w:tcPr>
          <w:p>
            <w:pPr>
              <w:spacing w:after="0"/>
              <w:rPr>
                <w:sz w:val="24"/>
                <w:szCs w:val="24"/>
                <w:color w:val="auto"/>
              </w:rPr>
            </w:pPr>
          </w:p>
        </w:tc>
      </w:tr>
      <w:tr>
        <w:trPr>
          <w:trHeight w:val="432"/>
        </w:trPr>
        <w:tc>
          <w:tcPr>
            <w:tcW w:w="5240" w:type="dxa"/>
            <w:vAlign w:val="bottom"/>
            <w:gridSpan w:val="2"/>
          </w:tcPr>
          <w:p>
            <w:pPr>
              <w:spacing w:after="0"/>
              <w:rPr>
                <w:sz w:val="20"/>
                <w:szCs w:val="20"/>
                <w:color w:val="auto"/>
              </w:rPr>
            </w:pPr>
            <w:r>
              <w:rPr>
                <w:rFonts w:ascii="Arial" w:cs="Arial" w:eastAsia="Arial" w:hAnsi="Arial"/>
                <w:sz w:val="18"/>
                <w:szCs w:val="18"/>
                <w:color w:val="auto"/>
              </w:rPr>
              <w:t>By: Heights Capital Management, Inc.</w:t>
            </w:r>
          </w:p>
        </w:tc>
        <w:tc>
          <w:tcPr>
            <w:tcW w:w="6180" w:type="dxa"/>
            <w:vAlign w:val="bottom"/>
            <w:gridSpan w:val="3"/>
          </w:tcPr>
          <w:p>
            <w:pPr>
              <w:ind w:left="480"/>
              <w:spacing w:after="0"/>
              <w:rPr>
                <w:sz w:val="20"/>
                <w:szCs w:val="20"/>
                <w:color w:val="auto"/>
              </w:rPr>
            </w:pPr>
            <w:r>
              <w:rPr>
                <w:rFonts w:ascii="Arial" w:cs="Arial" w:eastAsia="Arial" w:hAnsi="Arial"/>
                <w:sz w:val="18"/>
                <w:szCs w:val="18"/>
                <w:color w:val="auto"/>
              </w:rPr>
              <w:t>By:   /s/ Brian Sopinsky</w:t>
            </w:r>
          </w:p>
        </w:tc>
        <w:tc>
          <w:tcPr>
            <w:tcW w:w="40" w:type="dxa"/>
            <w:vAlign w:val="bottom"/>
          </w:tcPr>
          <w:p>
            <w:pPr>
              <w:spacing w:after="0"/>
              <w:rPr>
                <w:sz w:val="24"/>
                <w:szCs w:val="24"/>
                <w:color w:val="auto"/>
              </w:rPr>
            </w:pPr>
          </w:p>
        </w:tc>
      </w:tr>
      <w:tr>
        <w:trPr>
          <w:trHeight w:val="182"/>
        </w:trPr>
        <w:tc>
          <w:tcPr>
            <w:tcW w:w="5240" w:type="dxa"/>
            <w:vAlign w:val="bottom"/>
            <w:gridSpan w:val="2"/>
          </w:tcPr>
          <w:p>
            <w:pPr>
              <w:spacing w:after="0" w:line="182" w:lineRule="exact"/>
              <w:rPr>
                <w:sz w:val="20"/>
                <w:szCs w:val="20"/>
                <w:color w:val="auto"/>
              </w:rPr>
            </w:pPr>
            <w:r>
              <w:rPr>
                <w:rFonts w:ascii="Arial" w:cs="Arial" w:eastAsia="Arial" w:hAnsi="Arial"/>
                <w:sz w:val="18"/>
                <w:szCs w:val="18"/>
                <w:color w:val="auto"/>
              </w:rPr>
              <w:t>pursuant to a Limited Power of Attorney, a copy of which was</w:t>
            </w:r>
          </w:p>
        </w:tc>
        <w:tc>
          <w:tcPr>
            <w:tcW w:w="960" w:type="dxa"/>
            <w:vAlign w:val="bottom"/>
          </w:tcPr>
          <w:p>
            <w:pPr>
              <w:ind w:left="480"/>
              <w:spacing w:after="0" w:line="182" w:lineRule="exact"/>
              <w:rPr>
                <w:sz w:val="20"/>
                <w:szCs w:val="20"/>
                <w:color w:val="auto"/>
              </w:rPr>
            </w:pPr>
            <w:r>
              <w:rPr>
                <w:rFonts w:ascii="Arial" w:cs="Arial" w:eastAsia="Arial" w:hAnsi="Arial"/>
                <w:sz w:val="18"/>
                <w:szCs w:val="18"/>
                <w:color w:val="auto"/>
                <w:w w:val="86"/>
              </w:rPr>
              <w:t>Name:</w:t>
            </w:r>
          </w:p>
        </w:tc>
        <w:tc>
          <w:tcPr>
            <w:tcW w:w="120" w:type="dxa"/>
            <w:vAlign w:val="bottom"/>
            <w:tcBorders>
              <w:top w:val="single" w:sz="8" w:color="auto"/>
            </w:tcBorders>
          </w:tcPr>
          <w:p>
            <w:pPr>
              <w:spacing w:after="0"/>
              <w:rPr>
                <w:sz w:val="15"/>
                <w:szCs w:val="15"/>
                <w:color w:val="auto"/>
              </w:rPr>
            </w:pPr>
          </w:p>
        </w:tc>
        <w:tc>
          <w:tcPr>
            <w:tcW w:w="5100" w:type="dxa"/>
            <w:vAlign w:val="bottom"/>
            <w:tcBorders>
              <w:top w:val="single" w:sz="8" w:color="auto"/>
            </w:tcBorders>
          </w:tcPr>
          <w:p>
            <w:pPr>
              <w:ind w:left="140"/>
              <w:spacing w:after="0" w:line="182" w:lineRule="exact"/>
              <w:rPr>
                <w:sz w:val="20"/>
                <w:szCs w:val="20"/>
                <w:color w:val="auto"/>
              </w:rPr>
            </w:pPr>
            <w:r>
              <w:rPr>
                <w:rFonts w:ascii="Arial" w:cs="Arial" w:eastAsia="Arial" w:hAnsi="Arial"/>
                <w:sz w:val="18"/>
                <w:szCs w:val="18"/>
                <w:color w:val="auto"/>
              </w:rPr>
              <w:t>Brian Sopinsky</w:t>
            </w:r>
          </w:p>
        </w:tc>
        <w:tc>
          <w:tcPr>
            <w:tcW w:w="40" w:type="dxa"/>
            <w:vAlign w:val="bottom"/>
          </w:tcPr>
          <w:p>
            <w:pPr>
              <w:spacing w:after="0"/>
              <w:rPr>
                <w:sz w:val="15"/>
                <w:szCs w:val="15"/>
                <w:color w:val="auto"/>
              </w:rPr>
            </w:pPr>
          </w:p>
        </w:tc>
      </w:tr>
      <w:tr>
        <w:trPr>
          <w:trHeight w:val="244"/>
        </w:trPr>
        <w:tc>
          <w:tcPr>
            <w:tcW w:w="5240" w:type="dxa"/>
            <w:vAlign w:val="bottom"/>
            <w:gridSpan w:val="2"/>
          </w:tcPr>
          <w:p>
            <w:pPr>
              <w:spacing w:after="0"/>
              <w:rPr>
                <w:sz w:val="20"/>
                <w:szCs w:val="20"/>
                <w:color w:val="auto"/>
              </w:rPr>
            </w:pPr>
            <w:r>
              <w:rPr>
                <w:rFonts w:ascii="Arial" w:cs="Arial" w:eastAsia="Arial" w:hAnsi="Arial"/>
                <w:sz w:val="18"/>
                <w:szCs w:val="18"/>
                <w:color w:val="auto"/>
              </w:rPr>
              <w:t>previously filed</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Title:</w:t>
            </w:r>
          </w:p>
        </w:tc>
        <w:tc>
          <w:tcPr>
            <w:tcW w:w="5100" w:type="dxa"/>
            <w:vAlign w:val="bottom"/>
          </w:tcPr>
          <w:p>
            <w:pPr>
              <w:ind w:left="140"/>
              <w:spacing w:after="0"/>
              <w:rPr>
                <w:sz w:val="20"/>
                <w:szCs w:val="20"/>
                <w:color w:val="auto"/>
              </w:rPr>
            </w:pPr>
            <w:r>
              <w:rPr>
                <w:rFonts w:ascii="Arial" w:cs="Arial" w:eastAsia="Arial" w:hAnsi="Arial"/>
                <w:sz w:val="18"/>
                <w:szCs w:val="18"/>
                <w:color w:val="auto"/>
              </w:rPr>
              <w:t>Secretary</w:t>
            </w:r>
          </w:p>
        </w:tc>
        <w:tc>
          <w:tcPr>
            <w:tcW w:w="40" w:type="dxa"/>
            <w:vAlign w:val="bottom"/>
          </w:tcPr>
          <w:p>
            <w:pPr>
              <w:spacing w:after="0"/>
              <w:rPr>
                <w:sz w:val="21"/>
                <w:szCs w:val="21"/>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Sopinsky</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460" w:type="dxa"/>
            <w:vAlign w:val="bottom"/>
          </w:tcPr>
          <w:p>
            <w:pPr>
              <w:spacing w:after="0" w:line="195" w:lineRule="exact"/>
              <w:rPr>
                <w:sz w:val="20"/>
                <w:szCs w:val="20"/>
                <w:color w:val="auto"/>
              </w:rPr>
            </w:pPr>
            <w:r>
              <w:rPr>
                <w:rFonts w:ascii="Arial" w:cs="Arial" w:eastAsia="Arial" w:hAnsi="Arial"/>
                <w:sz w:val="18"/>
                <w:szCs w:val="18"/>
                <w:color w:val="auto"/>
                <w:w w:val="82"/>
              </w:rPr>
              <w:t>Name:</w:t>
            </w:r>
          </w:p>
        </w:tc>
        <w:tc>
          <w:tcPr>
            <w:tcW w:w="4780" w:type="dxa"/>
            <w:vAlign w:val="bottom"/>
          </w:tcPr>
          <w:p>
            <w:pPr>
              <w:ind w:left="280"/>
              <w:spacing w:after="0" w:line="195" w:lineRule="exact"/>
              <w:rPr>
                <w:sz w:val="20"/>
                <w:szCs w:val="20"/>
                <w:color w:val="auto"/>
              </w:rPr>
            </w:pPr>
            <w:r>
              <w:rPr>
                <w:rFonts w:ascii="Arial" w:cs="Arial" w:eastAsia="Arial" w:hAnsi="Arial"/>
                <w:sz w:val="18"/>
                <w:szCs w:val="18"/>
                <w:color w:val="auto"/>
              </w:rPr>
              <w:t>Brian Sopinsky</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ind w:left="280"/>
              <w:spacing w:after="0"/>
              <w:rPr>
                <w:sz w:val="20"/>
                <w:szCs w:val="20"/>
                <w:color w:val="auto"/>
              </w:rPr>
            </w:pPr>
            <w:r>
              <w:rPr>
                <w:rFonts w:ascii="Arial" w:cs="Arial" w:eastAsia="Arial" w:hAnsi="Arial"/>
                <w:sz w:val="18"/>
                <w:szCs w:val="18"/>
                <w:color w:val="auto"/>
              </w:rPr>
              <w:t>Secretary</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60" w:type="dxa"/>
            <w:vAlign w:val="bottom"/>
            <w:tcBorders>
              <w:bottom w:val="single" w:sz="8" w:color="808080"/>
            </w:tcBorders>
          </w:tcPr>
          <w:p>
            <w:pPr>
              <w:spacing w:after="0"/>
              <w:rPr>
                <w:sz w:val="11"/>
                <w:szCs w:val="11"/>
                <w:color w:val="auto"/>
              </w:rPr>
            </w:pPr>
          </w:p>
        </w:tc>
        <w:tc>
          <w:tcPr>
            <w:tcW w:w="47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95" w:right="199"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7"/>
          <w:szCs w:val="17"/>
          <w:color w:val="auto"/>
        </w:rPr>
        <w:t>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540" w:type="dxa"/>
            <w:vAlign w:val="bottom"/>
          </w:tcPr>
          <w:p>
            <w:pPr>
              <w:jc w:val="center"/>
              <w:ind w:right="2779"/>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540" w:type="dxa"/>
            <w:vAlign w:val="bottom"/>
          </w:tcPr>
          <w:p>
            <w:pPr>
              <w:ind w:left="32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w:t>
            </w:r>
          </w:p>
        </w:tc>
        <w:tc>
          <w:tcPr>
            <w:tcW w:w="220" w:type="dxa"/>
            <w:vAlign w:val="bottom"/>
          </w:tcPr>
          <w:p>
            <w:pPr>
              <w:spacing w:after="0"/>
              <w:rPr>
                <w:sz w:val="16"/>
                <w:szCs w:val="16"/>
                <w:color w:val="auto"/>
              </w:rPr>
            </w:pPr>
          </w:p>
        </w:tc>
        <w:tc>
          <w:tcPr>
            <w:tcW w:w="97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Limited Power of Attorney*</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II</w:t>
            </w:r>
          </w:p>
        </w:tc>
        <w:tc>
          <w:tcPr>
            <w:tcW w:w="9920" w:type="dxa"/>
            <w:vAlign w:val="bottom"/>
            <w:gridSpan w:val="3"/>
          </w:tcPr>
          <w:p>
            <w:pPr>
              <w:ind w:left="220"/>
              <w:spacing w:after="0"/>
              <w:rPr>
                <w:sz w:val="20"/>
                <w:szCs w:val="20"/>
                <w:color w:val="auto"/>
              </w:rPr>
            </w:pPr>
            <w:r>
              <w:rPr>
                <w:rFonts w:ascii="Arial" w:cs="Arial" w:eastAsia="Arial" w:hAnsi="Arial"/>
                <w:sz w:val="18"/>
                <w:szCs w:val="18"/>
                <w:color w:val="auto"/>
              </w:rPr>
              <w:t>Joint Filing Agreement*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500" w:type="dxa"/>
            <w:vAlign w:val="bottom"/>
            <w:tcBorders>
              <w:bottom w:val="single" w:sz="8" w:color="808080"/>
            </w:tcBorders>
            <w:gridSpan w:val="2"/>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500" w:type="dxa"/>
            <w:vAlign w:val="bottom"/>
            <w:gridSpan w:val="2"/>
          </w:tcPr>
          <w:p>
            <w:pPr>
              <w:spacing w:after="0"/>
              <w:rPr>
                <w:sz w:val="20"/>
                <w:szCs w:val="20"/>
                <w:color w:val="auto"/>
              </w:rPr>
            </w:pPr>
            <w:r>
              <w:rPr>
                <w:rFonts w:ascii="Arial" w:cs="Arial" w:eastAsia="Arial" w:hAnsi="Arial"/>
                <w:sz w:val="18"/>
                <w:szCs w:val="18"/>
                <w:color w:val="auto"/>
              </w:rPr>
              <w:t>* Previously Filed</w:t>
            </w:r>
          </w:p>
        </w:tc>
        <w:tc>
          <w:tcPr>
            <w:tcW w:w="9920" w:type="dxa"/>
            <w:vAlign w:val="bottom"/>
            <w:gridSpan w:val="3"/>
            <w:vMerge w:val="restart"/>
          </w:tcPr>
          <w:p>
            <w:pPr>
              <w:jc w:val="right"/>
              <w:ind w:right="5579"/>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9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8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9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abstractNum>
  <w:abstractNum w:abstractNumId="2">
    <w:nsid w:val="2EB141F2"/>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3">
    <w:nsid w:val="41B71EFB"/>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4">
    <w:nsid w:val="79E2A9E3"/>
    <w:multiLevelType w:val="hybridMultilevel"/>
    <w:lvl w:ilvl="0">
      <w:lvlJc w:val="left"/>
      <w:lvlText w:val="(%1)"/>
      <w:numFmt w:val="decimal"/>
      <w:start w:val="1"/>
    </w:lvl>
    <w:lvl w:ilvl="1">
      <w:lvlJc w:val="left"/>
      <w:lvlText w:val="(%2)"/>
      <w:numFmt w:val="lowerLetter"/>
      <w:start w:val="1"/>
    </w:lvl>
  </w:abstractNum>
  <w:abstractNum w:abstractNumId="5">
    <w:nsid w:val="7545E146"/>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6">
    <w:nsid w:val="515F007C"/>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2020-02-10T14:14:23Z</dcterms:created>
  <dcterms:modified xsi:type="dcterms:W3CDTF">2020-02-10T14:14:23Z</dcterms:modified>
</cp:coreProperties>
</file>