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749300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July 30, 2015</w:t>
      </w:r>
    </w:p>
    <w:p>
      <w:pPr>
        <w:spacing w:after="0" w:line="200" w:lineRule="exact"/>
        <w:rPr>
          <w:sz w:val="24"/>
          <w:szCs w:val="24"/>
          <w:color w:val="auto"/>
        </w:rPr>
      </w:pPr>
    </w:p>
    <w:p>
      <w:pPr>
        <w:spacing w:after="0" w:line="283" w:lineRule="exact"/>
        <w:rPr>
          <w:sz w:val="24"/>
          <w:szCs w:val="24"/>
          <w:color w:val="auto"/>
        </w:rPr>
      </w:pPr>
    </w:p>
    <w:p>
      <w:pPr>
        <w:jc w:val="center"/>
        <w:spacing w:after="0"/>
        <w:rPr>
          <w:sz w:val="20"/>
          <w:szCs w:val="20"/>
          <w:color w:val="auto"/>
        </w:rPr>
      </w:pPr>
      <w:r>
        <w:rPr>
          <w:rFonts w:ascii="Arial" w:cs="Arial" w:eastAsia="Arial" w:hAnsi="Arial"/>
          <w:sz w:val="40"/>
          <w:szCs w:val="40"/>
          <w:b w:val="1"/>
          <w:bCs w:val="1"/>
          <w:u w:val="single" w:color="auto"/>
          <w:color w:val="auto"/>
        </w:rPr>
        <w:t>Weatherford International public limited company</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4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9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Ireland</w:t>
            </w:r>
          </w:p>
        </w:tc>
        <w:tc>
          <w:tcPr>
            <w:tcW w:w="3640" w:type="dxa"/>
            <w:vAlign w:val="bottom"/>
          </w:tcPr>
          <w:p>
            <w:pPr>
              <w:jc w:val="right"/>
              <w:ind w:right="1310"/>
              <w:spacing w:after="0"/>
              <w:rPr>
                <w:sz w:val="20"/>
                <w:szCs w:val="20"/>
                <w:color w:val="auto"/>
              </w:rPr>
            </w:pPr>
            <w:r>
              <w:rPr>
                <w:rFonts w:ascii="Arial" w:cs="Arial" w:eastAsia="Arial" w:hAnsi="Arial"/>
                <w:sz w:val="18"/>
                <w:szCs w:val="18"/>
                <w:b w:val="1"/>
                <w:bCs w:val="1"/>
                <w:color w:val="auto"/>
              </w:rPr>
              <w:t>001-36504</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1"/>
              </w:rPr>
              <w:t>98-0606750</w:t>
            </w:r>
          </w:p>
        </w:tc>
      </w:tr>
      <w:tr>
        <w:trPr>
          <w:trHeight w:val="54"/>
        </w:trPr>
        <w:tc>
          <w:tcPr>
            <w:tcW w:w="366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36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640" w:type="dxa"/>
            <w:vAlign w:val="bottom"/>
            <w:tcBorders>
              <w:bottom w:val="single" w:sz="8" w:color="auto"/>
            </w:tcBorders>
          </w:tcPr>
          <w:p>
            <w:pPr>
              <w:spacing w:after="0"/>
              <w:rPr>
                <w:sz w:val="4"/>
                <w:szCs w:val="4"/>
                <w:color w:val="auto"/>
              </w:rPr>
            </w:pPr>
          </w:p>
        </w:tc>
      </w:tr>
      <w:tr>
        <w:trPr>
          <w:trHeight w:val="237"/>
        </w:trPr>
        <w:tc>
          <w:tcPr>
            <w:tcW w:w="390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(State or other jurisdiction of incorporation)</w:t>
            </w:r>
          </w:p>
        </w:tc>
        <w:tc>
          <w:tcPr>
            <w:tcW w:w="3880" w:type="dxa"/>
            <w:vAlign w:val="bottom"/>
            <w:gridSpan w:val="3"/>
          </w:tcPr>
          <w:p>
            <w:pPr>
              <w:jc w:val="center"/>
              <w:ind w:right="180"/>
              <w:spacing w:after="0"/>
              <w:rPr>
                <w:sz w:val="20"/>
                <w:szCs w:val="20"/>
                <w:color w:val="auto"/>
              </w:rPr>
            </w:pPr>
            <w:r>
              <w:rPr>
                <w:rFonts w:ascii="Arial" w:cs="Arial" w:eastAsia="Arial" w:hAnsi="Arial"/>
                <w:sz w:val="18"/>
                <w:szCs w:val="18"/>
                <w:color w:val="auto"/>
                <w:w w:val="92"/>
              </w:rPr>
              <w:t>(Commission File Number)</w:t>
            </w:r>
          </w:p>
        </w:tc>
        <w:tc>
          <w:tcPr>
            <w:tcW w:w="364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05"/>
        </w:trPr>
        <w:tc>
          <w:tcPr>
            <w:tcW w:w="778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89"/>
              </w:rPr>
              <w:t>Bahnhofstrasse 1, 6340 Baar, Switzerland</w:t>
            </w: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5"/>
              </w:rPr>
              <w:t>CH 6340</w:t>
            </w:r>
          </w:p>
        </w:tc>
      </w:tr>
      <w:tr>
        <w:trPr>
          <w:trHeight w:val="54"/>
        </w:trPr>
        <w:tc>
          <w:tcPr>
            <w:tcW w:w="7540" w:type="dxa"/>
            <w:vAlign w:val="bottom"/>
            <w:tcBorders>
              <w:bottom w:val="single" w:sz="8" w:color="auto"/>
            </w:tcBorders>
            <w:gridSpan w:val="3"/>
          </w:tcPr>
          <w:p>
            <w:pPr>
              <w:spacing w:after="0"/>
              <w:rPr>
                <w:sz w:val="4"/>
                <w:szCs w:val="4"/>
                <w:color w:val="auto"/>
              </w:rPr>
            </w:pPr>
          </w:p>
        </w:tc>
        <w:tc>
          <w:tcPr>
            <w:tcW w:w="240" w:type="dxa"/>
            <w:vAlign w:val="bottom"/>
            <w:gridSpan w:val="2"/>
          </w:tcPr>
          <w:p>
            <w:pPr>
              <w:spacing w:after="0"/>
              <w:rPr>
                <w:sz w:val="4"/>
                <w:szCs w:val="4"/>
                <w:color w:val="auto"/>
              </w:rPr>
            </w:pPr>
          </w:p>
        </w:tc>
        <w:tc>
          <w:tcPr>
            <w:tcW w:w="3640" w:type="dxa"/>
            <w:vAlign w:val="bottom"/>
            <w:tcBorders>
              <w:bottom w:val="single" w:sz="8" w:color="auto"/>
            </w:tcBorders>
          </w:tcPr>
          <w:p>
            <w:pPr>
              <w:spacing w:after="0"/>
              <w:rPr>
                <w:sz w:val="4"/>
                <w:szCs w:val="4"/>
                <w:color w:val="auto"/>
              </w:rPr>
            </w:pPr>
          </w:p>
        </w:tc>
      </w:tr>
      <w:tr>
        <w:trPr>
          <w:trHeight w:val="237"/>
        </w:trPr>
        <w:tc>
          <w:tcPr>
            <w:tcW w:w="7780" w:type="dxa"/>
            <w:vAlign w:val="bottom"/>
            <w:gridSpan w:val="5"/>
          </w:tcPr>
          <w:p>
            <w:pPr>
              <w:jc w:val="center"/>
              <w:ind w:right="160"/>
              <w:spacing w:after="0"/>
              <w:rPr>
                <w:sz w:val="20"/>
                <w:szCs w:val="20"/>
                <w:color w:val="auto"/>
              </w:rPr>
            </w:pPr>
            <w:r>
              <w:rPr>
                <w:rFonts w:ascii="Arial" w:cs="Arial" w:eastAsia="Arial" w:hAnsi="Arial"/>
                <w:sz w:val="18"/>
                <w:szCs w:val="18"/>
                <w:color w:val="auto"/>
                <w:w w:val="92"/>
              </w:rPr>
              <w:t>(Address of principal executive offices)</w:t>
            </w:r>
          </w:p>
        </w:tc>
        <w:tc>
          <w:tcPr>
            <w:tcW w:w="3640" w:type="dxa"/>
            <w:vAlign w:val="bottom"/>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279"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Registrant’s telephone number, including area code: +41.22.816.1500</w:t>
      </w:r>
    </w:p>
    <w:p>
      <w:pPr>
        <w:spacing w:after="0" w:line="158" w:lineRule="exact"/>
        <w:rPr>
          <w:sz w:val="24"/>
          <w:szCs w:val="24"/>
          <w:color w:val="auto"/>
        </w:rPr>
      </w:pPr>
    </w:p>
    <w:p>
      <w:pPr>
        <w:ind w:left="5220"/>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442595</wp:posOffset>
            </wp:positionH>
            <wp:positionV relativeFrom="paragraph">
              <wp:posOffset>51435</wp:posOffset>
            </wp:positionV>
            <wp:extent cx="64490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49060" cy="8890"/>
                    </a:xfrm>
                    <a:prstGeom prst="rect">
                      <a:avLst/>
                    </a:prstGeom>
                    <a:noFill/>
                  </pic:spPr>
                </pic:pic>
              </a:graphicData>
            </a:graphic>
          </wp:anchor>
        </w:drawing>
      </w:r>
    </w:p>
    <w:p>
      <w:pPr>
        <w:spacing w:after="0" w:line="88"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320" w:lineRule="exact"/>
        <w:rPr>
          <w:sz w:val="24"/>
          <w:szCs w:val="24"/>
          <w:color w:val="auto"/>
        </w:rPr>
      </w:pPr>
    </w:p>
    <w:p>
      <w:pPr>
        <w:ind w:right="120"/>
        <w:spacing w:after="0" w:line="324"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21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73" w:right="239" w:bottom="1440" w:gutter="0" w:footer="0" w:header="0"/>
        </w:sectPr>
      </w:pPr>
    </w:p>
    <w:bookmarkStart w:id="1" w:name="page2"/>
    <w:bookmarkEnd w:id="1"/>
    <w:p>
      <w:pPr>
        <w:ind w:left="40"/>
        <w:spacing w:after="0"/>
        <w:rPr>
          <w:sz w:val="20"/>
          <w:szCs w:val="20"/>
          <w:color w:val="auto"/>
        </w:rPr>
      </w:pPr>
      <w:r>
        <w:rPr>
          <w:rFonts w:ascii="Arial" w:cs="Arial" w:eastAsia="Arial" w:hAnsi="Arial"/>
          <w:sz w:val="16"/>
          <w:szCs w:val="16"/>
          <w:b w:val="1"/>
          <w:bCs w:val="1"/>
          <w:color w:val="auto"/>
        </w:rPr>
        <w:t>Item 5.02</w:t>
      </w:r>
    </w:p>
    <w:p>
      <w:pPr>
        <w:spacing w:after="0" w:line="20" w:lineRule="exact"/>
        <w:rPr>
          <w:sz w:val="20"/>
          <w:szCs w:val="20"/>
          <w:color w:val="auto"/>
        </w:rPr>
      </w:pPr>
      <w:r>
        <w:rPr>
          <w:sz w:val="20"/>
          <w:szCs w:val="20"/>
          <w:color w:val="auto"/>
        </w:rPr>
        <w:br w:type="column"/>
      </w:r>
    </w:p>
    <w:p>
      <w:pPr>
        <w:ind w:right="40"/>
        <w:spacing w:after="0" w:line="282" w:lineRule="auto"/>
        <w:rPr>
          <w:sz w:val="20"/>
          <w:szCs w:val="20"/>
          <w:color w:val="auto"/>
        </w:rPr>
      </w:pP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93" w:lineRule="exact"/>
        <w:rPr>
          <w:sz w:val="20"/>
          <w:szCs w:val="20"/>
          <w:color w:val="auto"/>
        </w:rPr>
      </w:pPr>
    </w:p>
    <w:p>
      <w:pPr>
        <w:sectPr>
          <w:pgSz w:w="11900" w:h="16838" w:orient="portrait"/>
          <w:cols w:equalWidth="0" w:num="2">
            <w:col w:w="760" w:space="660"/>
            <w:col w:w="10000"/>
          </w:cols>
          <w:pgMar w:left="240" w:top="742" w:right="239" w:bottom="1440" w:gutter="0" w:footer="0" w:header="0"/>
        </w:sectPr>
      </w:pPr>
    </w:p>
    <w:p>
      <w:pPr>
        <w:jc w:val="both"/>
        <w:ind w:firstLine="324"/>
        <w:spacing w:after="0" w:line="259" w:lineRule="auto"/>
        <w:rPr>
          <w:sz w:val="20"/>
          <w:szCs w:val="20"/>
          <w:color w:val="auto"/>
        </w:rPr>
      </w:pPr>
      <w:r>
        <w:rPr>
          <w:rFonts w:ascii="Arial" w:cs="Arial" w:eastAsia="Arial" w:hAnsi="Arial"/>
          <w:sz w:val="18"/>
          <w:szCs w:val="18"/>
          <w:color w:val="auto"/>
        </w:rPr>
        <w:t>On July 30, 2015, Dharmesh Mehta, Executive Vice President – Corporate Strategy of Weatherford International plc (the “Company”) announced that he is leaving the Company, effective August 15, 2015. As Weatherford continues to streamline and adopt a flatter corporate structure throughout the entire organization, the Executive Vice President – Corporate Strategy position will not be filled. In connection with his departure, Mr. Mehta is entitled to certain benefits pursuant to the terms of his employment agreement and equity award agreements.</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Through Mr. Mehta’s strategic contributions in multi-functional areas and his many years of service with Weatherford, he has greatly contributed to helping move the Company forward towards a position of increased capital efficiency and administrative discipline. The Company thanks Mr. Mehta and appreciates his steadfast dedication over the years.</w:t>
      </w:r>
    </w:p>
    <w:p>
      <w:pPr>
        <w:sectPr>
          <w:pgSz w:w="11900" w:h="16838" w:orient="portrait"/>
          <w:cols w:equalWidth="0" w:num="1">
            <w:col w:w="11420"/>
          </w:cols>
          <w:pgMar w:left="240" w:top="742" w:right="239" w:bottom="1440" w:gutter="0" w:footer="0" w:header="0"/>
          <w:type w:val="continuous"/>
        </w:sectPr>
      </w:pPr>
    </w:p>
    <w:bookmarkStart w:id="2" w:name="page3"/>
    <w:bookmarkEnd w:id="2"/>
    <w:p>
      <w:pPr>
        <w:ind w:left="5140"/>
        <w:spacing w:after="0"/>
        <w:rPr>
          <w:sz w:val="20"/>
          <w:szCs w:val="20"/>
          <w:color w:val="auto"/>
        </w:rPr>
      </w:pPr>
      <w:r>
        <w:rPr>
          <w:rFonts w:ascii="Arial" w:cs="Arial" w:eastAsia="Arial" w:hAnsi="Arial"/>
          <w:sz w:val="18"/>
          <w:szCs w:val="18"/>
          <w:b w:val="1"/>
          <w:bCs w:val="1"/>
          <w:color w:val="auto"/>
        </w:rPr>
        <w:t>SIGNATURES</w:t>
      </w:r>
    </w:p>
    <w:p>
      <w:pPr>
        <w:spacing w:after="0" w:line="310" w:lineRule="exact"/>
        <w:rPr>
          <w:sz w:val="20"/>
          <w:szCs w:val="20"/>
          <w:color w:val="auto"/>
        </w:rPr>
      </w:pPr>
    </w:p>
    <w:p>
      <w:pPr>
        <w:ind w:firstLine="324"/>
        <w:spacing w:after="0" w:line="32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980"/>
        <w:spacing w:after="0"/>
        <w:rPr>
          <w:sz w:val="20"/>
          <w:szCs w:val="20"/>
          <w:color w:val="auto"/>
        </w:rPr>
      </w:pPr>
      <w:r>
        <w:rPr>
          <w:rFonts w:ascii="Arial" w:cs="Arial" w:eastAsia="Arial" w:hAnsi="Arial"/>
          <w:sz w:val="18"/>
          <w:szCs w:val="18"/>
          <w:b w:val="1"/>
          <w:bCs w:val="1"/>
          <w:color w:val="auto"/>
        </w:rPr>
        <w:t>Weatherford International plc</w:t>
      </w:r>
    </w:p>
    <w:p>
      <w:pPr>
        <w:spacing w:after="0" w:line="6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Date: August 4, 2015</w:t>
      </w:r>
    </w:p>
    <w:p>
      <w:pPr>
        <w:spacing w:after="0" w:line="77"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/s/ Krishna Shivram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48895</wp:posOffset>
            </wp:positionV>
            <wp:extent cx="38760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84"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Krishna Shivram</w:t>
      </w:r>
    </w:p>
    <w:p>
      <w:pPr>
        <w:spacing w:after="0" w:line="200" w:lineRule="exact"/>
        <w:rPr>
          <w:sz w:val="20"/>
          <w:szCs w:val="20"/>
          <w:color w:val="auto"/>
        </w:rPr>
      </w:pPr>
    </w:p>
    <w:p>
      <w:pPr>
        <w:spacing w:after="0" w:line="295" w:lineRule="exact"/>
        <w:rPr>
          <w:sz w:val="20"/>
          <w:szCs w:val="20"/>
          <w:color w:val="auto"/>
        </w:rPr>
      </w:pPr>
    </w:p>
    <w:p>
      <w:pPr>
        <w:jc w:val="center"/>
        <w:ind w:left="4800"/>
        <w:spacing w:after="0"/>
        <w:rPr>
          <w:sz w:val="20"/>
          <w:szCs w:val="20"/>
          <w:color w:val="auto"/>
        </w:rPr>
      </w:pPr>
      <w:r>
        <w:rPr>
          <w:rFonts w:ascii="Arial" w:cs="Arial" w:eastAsia="Arial" w:hAnsi="Arial"/>
          <w:sz w:val="18"/>
          <w:szCs w:val="18"/>
          <w:color w:val="auto"/>
        </w:rPr>
        <w:t>Executive Vice President and</w:t>
      </w:r>
    </w:p>
    <w:p>
      <w:pPr>
        <w:spacing w:after="0" w:line="23" w:lineRule="exact"/>
        <w:rPr>
          <w:sz w:val="20"/>
          <w:szCs w:val="20"/>
          <w:color w:val="auto"/>
        </w:rPr>
      </w:pPr>
    </w:p>
    <w:p>
      <w:pPr>
        <w:jc w:val="center"/>
        <w:ind w:left="480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0600"/>
      </w:cols>
      <w:pgMar w:left="240" w:top="607" w:right="10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2019-12-09T04:03:45Z</dcterms:created>
  <dcterms:modified xsi:type="dcterms:W3CDTF">2019-12-09T04:03:45Z</dcterms:modified>
</cp:coreProperties>
</file>