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-224155</wp:posOffset>
            </wp:positionV>
            <wp:extent cx="6706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6235"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29, 2017</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1934 (§240.12b-2 of this chapter).</w:t>
      </w:r>
    </w:p>
    <w:p>
      <w:pPr>
        <w:spacing w:after="0" w:line="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29, 2017, Weatherford U.S. Holdings L.L.C., a Delaware limited liability company (“</w:t>
      </w:r>
      <w:r>
        <w:rPr>
          <w:rFonts w:ascii="Arial" w:cs="Arial" w:eastAsia="Arial" w:hAnsi="Arial"/>
          <w:sz w:val="18"/>
          <w:szCs w:val="18"/>
          <w:b w:val="1"/>
          <w:bCs w:val="1"/>
          <w:i w:val="1"/>
          <w:iCs w:val="1"/>
          <w:color w:val="auto"/>
        </w:rPr>
        <w:t>WFT Holdings</w:t>
      </w:r>
      <w:r>
        <w:rPr>
          <w:rFonts w:ascii="Arial" w:cs="Arial" w:eastAsia="Arial" w:hAnsi="Arial"/>
          <w:sz w:val="18"/>
          <w:szCs w:val="18"/>
          <w:color w:val="auto"/>
        </w:rPr>
        <w:t>”) and an indirect wholly owned subsidiary of Weatherford International plc, an Irish public limited company (“</w:t>
      </w:r>
      <w:r>
        <w:rPr>
          <w:rFonts w:ascii="Arial" w:cs="Arial" w:eastAsia="Arial" w:hAnsi="Arial"/>
          <w:sz w:val="18"/>
          <w:szCs w:val="18"/>
          <w:b w:val="1"/>
          <w:bCs w:val="1"/>
          <w:i w:val="1"/>
          <w:iCs w:val="1"/>
          <w:color w:val="auto"/>
        </w:rPr>
        <w:t>Weatherford</w:t>
      </w:r>
      <w:r>
        <w:rPr>
          <w:rFonts w:ascii="Arial" w:cs="Arial" w:eastAsia="Arial" w:hAnsi="Arial"/>
          <w:sz w:val="18"/>
          <w:szCs w:val="18"/>
          <w:color w:val="auto"/>
        </w:rPr>
        <w:t>”), entered into an Asset Purchase Agreement (the “</w:t>
      </w:r>
      <w:r>
        <w:rPr>
          <w:rFonts w:ascii="Arial" w:cs="Arial" w:eastAsia="Arial" w:hAnsi="Arial"/>
          <w:sz w:val="18"/>
          <w:szCs w:val="18"/>
          <w:b w:val="1"/>
          <w:bCs w:val="1"/>
          <w:i w:val="1"/>
          <w:iCs w:val="1"/>
          <w:color w:val="auto"/>
        </w:rPr>
        <w:t>Asset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with Schlumberger Technology Corporation, a Texas corporation (“</w:t>
      </w:r>
      <w:r>
        <w:rPr>
          <w:rFonts w:ascii="Arial" w:cs="Arial" w:eastAsia="Arial" w:hAnsi="Arial"/>
          <w:sz w:val="18"/>
          <w:szCs w:val="18"/>
          <w:b w:val="1"/>
          <w:bCs w:val="1"/>
          <w:i w:val="1"/>
          <w:iCs w:val="1"/>
          <w:color w:val="auto"/>
        </w:rPr>
        <w:t>STC</w:t>
      </w:r>
      <w:r>
        <w:rPr>
          <w:rFonts w:ascii="Arial" w:cs="Arial" w:eastAsia="Arial" w:hAnsi="Arial"/>
          <w:sz w:val="18"/>
          <w:szCs w:val="18"/>
          <w:color w:val="auto"/>
        </w:rPr>
        <w:t>”) and an indirect wholly owned subsidiary of Schlumberger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a Curacao corporation (“</w:t>
      </w:r>
      <w:r>
        <w:rPr>
          <w:rFonts w:ascii="Arial" w:cs="Arial" w:eastAsia="Arial" w:hAnsi="Arial"/>
          <w:sz w:val="18"/>
          <w:szCs w:val="18"/>
          <w:b w:val="1"/>
          <w:bCs w:val="1"/>
          <w:i w:val="1"/>
          <w:iCs w:val="1"/>
          <w:color w:val="auto"/>
        </w:rPr>
        <w:t>Schlumberger</w:t>
      </w:r>
      <w:r>
        <w:rPr>
          <w:rFonts w:ascii="Arial" w:cs="Arial" w:eastAsia="Arial" w:hAnsi="Arial"/>
          <w:sz w:val="18"/>
          <w:szCs w:val="18"/>
          <w:color w:val="auto"/>
        </w:rPr>
        <w:t>”), pursuant to which WFT Holdings agreed to sell substantially all of its U.S. pressure pumping and pump-down perforating assets and certain of its liabilities (the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to STC for a purchase price of $430 million in cash. The Transaction closed simultaneously with the signing of the Asset Purchase Agreement.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Asset Purchase Agreement generally contains customary representations, warranties and covenants of WFT Holdings and STC. The Asset Purchase Agreement also provides that WFT Holdings will grant STC a non-exclusive, royalty free license with respect to certain intellectual property related to the purchased assets.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WFT Holdings and STC have agreed to indemnify each other and their respective directors, officers, employees, affiliates, agents, attorney, representatives, successors and permitted assigns against certain losses resulting from any breach of their representations, warranties or covenants contained in the Asset Purchase Agreement, subject to certain limitations and survival periods. WFT Holdings also has agreed to indemnify STC for certain liabilities related to certain assets and liabilities that were retained by WFT Holdings.</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previously announced, on March 24, 2017, certain affiliates of Weatherford and Schlumberger entered into a Master Formation Agreement (the “</w:t>
      </w:r>
      <w:r>
        <w:rPr>
          <w:rFonts w:ascii="Arial" w:cs="Arial" w:eastAsia="Arial" w:hAnsi="Arial"/>
          <w:sz w:val="18"/>
          <w:szCs w:val="18"/>
          <w:b w:val="1"/>
          <w:bCs w:val="1"/>
          <w:i w:val="1"/>
          <w:iCs w:val="1"/>
          <w:color w:val="auto"/>
        </w:rPr>
        <w:t>MFA</w:t>
      </w:r>
      <w:r>
        <w:rPr>
          <w:rFonts w:ascii="Arial" w:cs="Arial" w:eastAsia="Arial" w:hAnsi="Arial"/>
          <w:sz w:val="18"/>
          <w:szCs w:val="18"/>
          <w:color w:val="auto"/>
        </w:rPr>
        <w:t>”) pursuant to which Weatherford and Schlumberger agreed to contribute their pressure pumping, pump-down perforating and onshore completion businesses to a newly formed U.S. joint venture and Canadian joint venture (each, a “</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Schlumberger agreed to pay Weatherford $535 million in cash upon the closing of the Joint Ventures, and Schlumberger and Weatherford would indirectly own a 70% and 30% interest, respectively, in each Joint Venture.</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entering into the Asset Purchase Agreement and closing the Transaction, the parties to the MFA executed a termination agreement (the “</w:t>
      </w:r>
      <w:r>
        <w:rPr>
          <w:rFonts w:ascii="Arial" w:cs="Arial" w:eastAsia="Arial" w:hAnsi="Arial"/>
          <w:sz w:val="17"/>
          <w:szCs w:val="17"/>
          <w:b w:val="1"/>
          <w:bCs w:val="1"/>
          <w:i w:val="1"/>
          <w:iCs w:val="1"/>
          <w:color w:val="auto"/>
        </w:rPr>
        <w:t>Termination Agreement</w:t>
      </w:r>
      <w:r>
        <w:rPr>
          <w:rFonts w:ascii="Arial" w:cs="Arial" w:eastAsia="Arial" w:hAnsi="Arial"/>
          <w:sz w:val="17"/>
          <w:szCs w:val="17"/>
          <w:color w:val="auto"/>
        </w:rPr>
        <w:t>”) in accordance with Section 4.2(b) of the MFA. Accordingly, the MFA was terminated; provided, however, that the parties’ rights and obligations under Article X of the MFA shall remain in full force and effect. Pursuant to the terms of the Termination Agreement, the parties agreed, among other things, to mutually release each other from and against any and all liabilities related to the MFA.</w:t>
      </w:r>
    </w:p>
    <w:p>
      <w:pPr>
        <w:spacing w:after="0" w:line="330"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29, 2017, Weatherford issued a press release describing the matters set forth in Item 1.01 of this Current Report on Form 8-K. A copy of the press release is furnished as Exhibit 99.1 to this report and incorporated by reference herein. 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46"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1500" w:type="dxa"/>
            <w:vAlign w:val="bottom"/>
            <w:gridSpan w:val="3"/>
          </w:tcPr>
          <w:p>
            <w:pPr>
              <w:jc w:val="center"/>
              <w:ind w:right="58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w w:val="90"/>
              </w:rPr>
              <w:t>Press Release dated December 29 2017, announcing the closing of the sale of the U.S. Hydraulic Fracturing Business to Schlumberger</w:t>
            </w:r>
          </w:p>
        </w:tc>
      </w:tr>
      <w:tr>
        <w:trPr>
          <w:trHeight w:val="237"/>
        </w:trPr>
        <w:tc>
          <w:tcPr>
            <w:tcW w:w="60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Limited.</w:t>
            </w:r>
          </w:p>
        </w:tc>
      </w:tr>
    </w:tbl>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December 29,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Christina M. Ibrahim</w:t>
      </w:r>
    </w:p>
    <w:p>
      <w:pPr>
        <w:spacing w:after="0" w:line="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Christina M. Ibrahim</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Executive Vice President, General Counsel and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Compliance Officer</w:t>
      </w:r>
    </w:p>
    <w:p>
      <w:pPr>
        <w:sectPr>
          <w:pgSz w:w="11900" w:h="16838" w:orient="portrait"/>
          <w:cols w:equalWidth="0" w:num="1">
            <w:col w:w="10600"/>
          </w:cols>
          <w:pgMar w:left="240" w:top="607"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1500" w:type="dxa"/>
            <w:vAlign w:val="bottom"/>
            <w:gridSpan w:val="3"/>
          </w:tcPr>
          <w:p>
            <w:pPr>
              <w:jc w:val="center"/>
              <w:ind w:right="58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w w:val="90"/>
              </w:rPr>
              <w:t>Press Release dated December 29 2017, announcing the closing of the sale of the U.S. Hydraulic Fracturing Business to Schlumberger</w:t>
            </w:r>
          </w:p>
        </w:tc>
      </w:tr>
      <w:tr>
        <w:trPr>
          <w:trHeight w:val="237"/>
        </w:trPr>
        <w:tc>
          <w:tcPr>
            <w:tcW w:w="60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Limited.</w:t>
            </w:r>
          </w:p>
        </w:tc>
      </w:tr>
    </w:tbl>
    <w:p>
      <w:pPr>
        <w:sectPr>
          <w:pgSz w:w="11900" w:h="16838" w:orient="portrait"/>
          <w:cols w:equalWidth="0" w:num="1">
            <w:col w:w="11420"/>
          </w:cols>
          <w:pgMar w:left="240" w:top="74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148590</wp:posOffset>
            </wp:positionV>
            <wp:extent cx="114935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Press Release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Completes Sale of U.S. Hydraulic Fracturing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Business to Schlumberger for $430 Million in Cash</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BAAR, Switzerland, December 29, 2017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1D1D1A"/>
        </w:rPr>
        <w:t>Weatherford International plc (NYSE: WFT) today announced it has sold its U.S.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1D1D1A"/>
        </w:rPr>
        <w:t>pressure pumping and pump-down perforating assets to a subsidiary of Schlumberger Limited for $430 million in cash.</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parties agreed to revised deal terms that reflect an asset sale, as compared to </w:t>
      </w:r>
      <w:r>
        <w:rPr>
          <w:rFonts w:ascii="Arial" w:cs="Arial" w:eastAsia="Arial" w:hAnsi="Arial"/>
          <w:sz w:val="21"/>
          <w:szCs w:val="21"/>
          <w:color w:val="1D1D1A"/>
        </w:rPr>
        <w:t>the previously announced OneStim</w:t>
      </w:r>
      <w:r>
        <w:rPr>
          <w:rFonts w:ascii="Arial" w:cs="Arial" w:eastAsia="Arial" w:hAnsi="Arial"/>
          <w:sz w:val="27"/>
          <w:szCs w:val="27"/>
          <w:color w:val="1D1D1A"/>
          <w:vertAlign w:val="superscript"/>
        </w:rPr>
        <w:t>SM</w:t>
      </w:r>
      <w:r>
        <w:rPr>
          <w:rFonts w:ascii="Arial" w:cs="Arial" w:eastAsia="Arial" w:hAnsi="Arial"/>
          <w:sz w:val="21"/>
          <w:szCs w:val="21"/>
          <w:color w:val="auto"/>
        </w:rPr>
        <w:t xml:space="preserve"> joint venture. </w:t>
      </w:r>
      <w:r>
        <w:rPr>
          <w:rFonts w:ascii="Arial" w:cs="Arial" w:eastAsia="Arial" w:hAnsi="Arial"/>
          <w:sz w:val="21"/>
          <w:szCs w:val="21"/>
          <w:color w:val="1D1D1A"/>
        </w:rPr>
        <w:t>As part of this transaction, Schlumberger will take ownership of Weatherford’s U.S. pressure pumping and pump-down</w:t>
      </w:r>
      <w:r>
        <w:rPr>
          <w:rFonts w:ascii="Arial" w:cs="Arial" w:eastAsia="Arial" w:hAnsi="Arial"/>
          <w:sz w:val="21"/>
          <w:szCs w:val="21"/>
          <w:color w:val="auto"/>
        </w:rPr>
        <w:t xml:space="preserve"> </w:t>
      </w:r>
      <w:r>
        <w:rPr>
          <w:rFonts w:ascii="Arial" w:cs="Arial" w:eastAsia="Arial" w:hAnsi="Arial"/>
          <w:sz w:val="21"/>
          <w:szCs w:val="21"/>
          <w:color w:val="1D1D1A"/>
        </w:rPr>
        <w:t>perforating related facilities and supplier and customer contracts. Additionally, approximately 100 Weatherford employees associated with the pressure pumping and pump-down perforating businesses will transfer to Schlumberger. Weatherford will retain the entirety of its leading multistage completions portfolio, manufacturing capability and supply chain and will continue to participate in the growing completions markets in both Canada and the U.S. as well as globally.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1D1A"/>
        </w:rPr>
        <w:t>Weatherford will use the proceeds from the sale to reduce outstanding indebtedness.</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1D1D1A"/>
        </w:rPr>
        <w:t>“The closing of this transaction represents another step on our path toward building a solid and strong company and unlocking the potential that exists within Weatherford,” stated Mark A. McCollum, President and Chief Executive Officer of Weatherford. “</w:t>
      </w:r>
      <w:r>
        <w:rPr>
          <w:rFonts w:ascii="Arial" w:cs="Arial" w:eastAsia="Arial" w:hAnsi="Arial"/>
          <w:sz w:val="22"/>
          <w:szCs w:val="22"/>
          <w:color w:val="000000"/>
        </w:rPr>
        <w:t>Although not as originally anticipated,</w:t>
      </w:r>
      <w:r>
        <w:rPr>
          <w:rFonts w:ascii="Arial" w:cs="Arial" w:eastAsia="Arial" w:hAnsi="Arial"/>
          <w:sz w:val="22"/>
          <w:szCs w:val="22"/>
          <w:color w:val="1D1D1A"/>
        </w:rPr>
        <w:t xml:space="preserve"> this transaction delivers cash proceeds that enable our Company to begin the deleveraging process and, coupled with our transformation plans, will lead to a leaner organization with lower debt and significantly higher profit margins. In addition, retaining 100 percent of our leading land-based multistage Completions business allows for significant upside potential for Weatherford.”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Weatherford</w:t>
      </w:r>
    </w:p>
    <w:p>
      <w:pPr>
        <w:spacing w:after="0" w:line="28"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1D1D1A"/>
        </w:rPr>
        <w:t xml:space="preserve">Weatherford is one of the largest multinational oilfield service companies providing innovative solutions, technology and services to the oil and gas industry. The Company operates in over 90 countries and has a network of approximately 860 locations, including manufacturing, service, research and development, and training facilities and employs approximately 29,500 people. For more information, visit </w:t>
      </w:r>
      <w:r>
        <w:rPr>
          <w:rFonts w:ascii="Arial" w:cs="Arial" w:eastAsia="Arial" w:hAnsi="Arial"/>
          <w:sz w:val="19"/>
          <w:szCs w:val="19"/>
          <w:u w:val="single" w:color="auto"/>
          <w:color w:val="2AA4A8"/>
        </w:rPr>
        <w:t>www.weatherford.com</w:t>
      </w:r>
      <w:r>
        <w:rPr>
          <w:rFonts w:ascii="Arial" w:cs="Arial" w:eastAsia="Arial" w:hAnsi="Arial"/>
          <w:sz w:val="19"/>
          <w:szCs w:val="19"/>
          <w:color w:val="1D1D1A"/>
        </w:rPr>
        <w:t xml:space="preserve"> and connect with Weatherford on </w:t>
      </w:r>
      <w:r>
        <w:rPr>
          <w:rFonts w:ascii="Arial" w:cs="Arial" w:eastAsia="Arial" w:hAnsi="Arial"/>
          <w:sz w:val="19"/>
          <w:szCs w:val="19"/>
          <w:u w:val="single" w:color="auto"/>
          <w:color w:val="2AA4A8"/>
        </w:rPr>
        <w:t>LinkedIn</w:t>
      </w:r>
      <w:r>
        <w:rPr>
          <w:rFonts w:ascii="Arial" w:cs="Arial" w:eastAsia="Arial" w:hAnsi="Arial"/>
          <w:sz w:val="19"/>
          <w:szCs w:val="19"/>
          <w:color w:val="1D1D1A"/>
        </w:rPr>
        <w:t xml:space="preserve">, </w:t>
      </w:r>
      <w:r>
        <w:rPr>
          <w:rFonts w:ascii="Arial" w:cs="Arial" w:eastAsia="Arial" w:hAnsi="Arial"/>
          <w:sz w:val="19"/>
          <w:szCs w:val="19"/>
          <w:u w:val="single" w:color="auto"/>
          <w:color w:val="2AA4A8"/>
        </w:rPr>
        <w:t>Facebook</w:t>
      </w:r>
      <w:r>
        <w:rPr>
          <w:rFonts w:ascii="Arial" w:cs="Arial" w:eastAsia="Arial" w:hAnsi="Arial"/>
          <w:sz w:val="19"/>
          <w:szCs w:val="19"/>
          <w:color w:val="1D1D1A"/>
        </w:rPr>
        <w:t xml:space="preserve">, </w:t>
      </w:r>
      <w:r>
        <w:rPr>
          <w:rFonts w:ascii="Arial" w:cs="Arial" w:eastAsia="Arial" w:hAnsi="Arial"/>
          <w:sz w:val="19"/>
          <w:szCs w:val="19"/>
          <w:u w:val="single" w:color="auto"/>
          <w:color w:val="2AA4A8"/>
        </w:rPr>
        <w:t>Twitter</w:t>
      </w:r>
      <w:r>
        <w:rPr>
          <w:rFonts w:ascii="Arial" w:cs="Arial" w:eastAsia="Arial" w:hAnsi="Arial"/>
          <w:sz w:val="19"/>
          <w:szCs w:val="19"/>
          <w:color w:val="1D1D1A"/>
        </w:rPr>
        <w:t xml:space="preserve"> and </w:t>
      </w:r>
      <w:r>
        <w:rPr>
          <w:rFonts w:ascii="Arial" w:cs="Arial" w:eastAsia="Arial" w:hAnsi="Arial"/>
          <w:sz w:val="19"/>
          <w:szCs w:val="19"/>
          <w:u w:val="single" w:color="auto"/>
          <w:color w:val="2AA4A8"/>
        </w:rPr>
        <w:t>YouTube</w:t>
      </w:r>
      <w:r>
        <w:rPr>
          <w:rFonts w:ascii="Arial" w:cs="Arial" w:eastAsia="Arial" w:hAnsi="Arial"/>
          <w:sz w:val="19"/>
          <w:szCs w:val="19"/>
          <w:color w:val="1D1D1A"/>
        </w:rPr>
        <w:t>.</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5240" w:type="dxa"/>
            <w:vAlign w:val="bottom"/>
          </w:tcPr>
          <w:p>
            <w:pPr>
              <w:spacing w:after="0"/>
              <w:rPr>
                <w:sz w:val="23"/>
                <w:szCs w:val="23"/>
                <w:color w:val="auto"/>
              </w:rPr>
            </w:pPr>
          </w:p>
        </w:tc>
        <w:tc>
          <w:tcPr>
            <w:tcW w:w="3920" w:type="dxa"/>
            <w:vAlign w:val="bottom"/>
          </w:tcPr>
          <w:p>
            <w:pPr>
              <w:jc w:val="right"/>
              <w:ind w:right="3224"/>
              <w:spacing w:after="0"/>
              <w:rPr>
                <w:sz w:val="20"/>
                <w:szCs w:val="20"/>
                <w:color w:val="auto"/>
              </w:rPr>
            </w:pPr>
            <w:r>
              <w:rPr>
                <w:rFonts w:ascii="Arial" w:cs="Arial" w:eastAsia="Arial" w:hAnsi="Arial"/>
                <w:sz w:val="22"/>
                <w:szCs w:val="22"/>
                <w:color w:val="auto"/>
              </w:rPr>
              <w:t>###</w:t>
            </w:r>
          </w:p>
        </w:tc>
      </w:tr>
      <w:tr>
        <w:trPr>
          <w:trHeight w:val="584"/>
        </w:trPr>
        <w:tc>
          <w:tcPr>
            <w:tcW w:w="5240" w:type="dxa"/>
            <w:vAlign w:val="bottom"/>
          </w:tcPr>
          <w:p>
            <w:pPr>
              <w:spacing w:after="0"/>
              <w:rPr>
                <w:sz w:val="20"/>
                <w:szCs w:val="20"/>
                <w:color w:val="auto"/>
              </w:rPr>
            </w:pPr>
            <w:r>
              <w:rPr>
                <w:rFonts w:ascii="Arial" w:cs="Arial" w:eastAsia="Arial" w:hAnsi="Arial"/>
                <w:sz w:val="18"/>
                <w:szCs w:val="18"/>
                <w:b w:val="1"/>
                <w:bCs w:val="1"/>
                <w:color w:val="auto"/>
              </w:rPr>
              <w:t>Weatherford Contacts</w:t>
            </w:r>
          </w:p>
        </w:tc>
        <w:tc>
          <w:tcPr>
            <w:tcW w:w="3920" w:type="dxa"/>
            <w:vAlign w:val="bottom"/>
          </w:tcPr>
          <w:p>
            <w:pPr>
              <w:spacing w:after="0"/>
              <w:rPr>
                <w:sz w:val="24"/>
                <w:szCs w:val="24"/>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Christoph Bausch</w:t>
            </w:r>
          </w:p>
        </w:tc>
        <w:tc>
          <w:tcPr>
            <w:tcW w:w="39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920" w:type="dxa"/>
            <w:vAlign w:val="bottom"/>
          </w:tcPr>
          <w:p>
            <w:pPr>
              <w:spacing w:after="0"/>
              <w:rPr>
                <w:sz w:val="23"/>
                <w:szCs w:val="23"/>
                <w:color w:val="auto"/>
              </w:rPr>
            </w:pPr>
          </w:p>
        </w:tc>
      </w:tr>
      <w:tr>
        <w:trPr>
          <w:trHeight w:val="540"/>
        </w:trPr>
        <w:tc>
          <w:tcPr>
            <w:tcW w:w="5240" w:type="dxa"/>
            <w:vAlign w:val="bottom"/>
          </w:tcPr>
          <w:p>
            <w:pPr>
              <w:spacing w:after="0"/>
              <w:rPr>
                <w:sz w:val="20"/>
                <w:szCs w:val="20"/>
                <w:color w:val="auto"/>
              </w:rPr>
            </w:pPr>
            <w:r>
              <w:rPr>
                <w:rFonts w:ascii="Arial" w:cs="Arial" w:eastAsia="Arial" w:hAnsi="Arial"/>
                <w:sz w:val="18"/>
                <w:szCs w:val="18"/>
                <w:color w:val="auto"/>
              </w:rPr>
              <w:t>Karen David-Green</w:t>
            </w:r>
          </w:p>
        </w:tc>
        <w:tc>
          <w:tcPr>
            <w:tcW w:w="39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w w:val="96"/>
              </w:rPr>
              <w:t>Vice President – Investor Relations, Marketing and Communications</w:t>
            </w:r>
          </w:p>
        </w:tc>
        <w:tc>
          <w:tcPr>
            <w:tcW w:w="3920" w:type="dxa"/>
            <w:vAlign w:val="bottom"/>
          </w:tcPr>
          <w:p>
            <w:pPr>
              <w:spacing w:after="0"/>
              <w:rPr>
                <w:sz w:val="23"/>
                <w:szCs w:val="23"/>
                <w:color w:val="auto"/>
              </w:rPr>
            </w:pPr>
          </w:p>
        </w:tc>
      </w:tr>
    </w:tbl>
    <w:p>
      <w:pPr>
        <w:sectPr>
          <w:pgSz w:w="11900" w:h="16838" w:orient="portrait"/>
          <w:cols w:equalWidth="0" w:num="1">
            <w:col w:w="11420"/>
          </w:cols>
          <w:pgMar w:left="240" w:top="63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Forward Looking Statements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news release contains forward-looking statements. These forward-looking statements include, among other things, the Company’s expectations regarding business outlook, debt levels and profit margins,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Forward-looking statements are also affected by the risk factors described in the Company’s Annual Report on Form 10-K for the year ended December 31, 2016, the Company’s Quarterly Reports on Form 10-Q,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sectPr>
      <w:pgSz w:w="11900" w:h="16838" w:orient="portrait"/>
      <w:cols w:equalWidth="0" w:num="1">
        <w:col w:w="11360"/>
      </w:cols>
      <w:pgMar w:left="240" w:top="5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2019-12-29T02:34:09Z</dcterms:created>
  <dcterms:modified xsi:type="dcterms:W3CDTF">2019-12-29T02:34:09Z</dcterms:modified>
</cp:coreProperties>
</file>