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141605</wp:posOffset>
            </wp:positionH>
            <wp:positionV relativeFrom="page">
              <wp:posOffset>141605</wp:posOffset>
            </wp:positionV>
            <wp:extent cx="7278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page">
              <wp:posOffset>141605</wp:posOffset>
            </wp:positionH>
            <wp:positionV relativeFrom="page">
              <wp:posOffset>194310</wp:posOffset>
            </wp:positionV>
            <wp:extent cx="72783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635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T-3</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APPLICATIONS FOR QUALIFICATION OF INDENTURES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 THE TRUST INDENTURE ACT OF 1939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Co-Applicant)*</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2000 St. James Place, Houston, Texas 77056</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of Co-Applicant)</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Co-Applicant)*</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2000 St. James Place, Houston, Texas 77056</w:t>
      </w:r>
    </w:p>
    <w:p>
      <w:pPr>
        <w:spacing w:after="0" w:line="18"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(Address of Principal Executive Offices of Co-Applicant)</w:t>
      </w:r>
    </w:p>
    <w:p>
      <w:pPr>
        <w:spacing w:after="0" w:line="162"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to be Issued Under the Indenture to be Qualified</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4260" w:type="dxa"/>
            <w:vAlign w:val="bottom"/>
            <w:tcBorders>
              <w:bottom w:val="single" w:sz="8" w:color="auto"/>
            </w:tcBorders>
          </w:tcPr>
          <w:p>
            <w:pPr>
              <w:jc w:val="center"/>
              <w:ind w:left="1298"/>
              <w:spacing w:after="0"/>
              <w:rPr>
                <w:sz w:val="20"/>
                <w:szCs w:val="20"/>
                <w:color w:val="auto"/>
              </w:rPr>
            </w:pPr>
            <w:r>
              <w:rPr>
                <w:rFonts w:ascii="Arial" w:cs="Arial" w:eastAsia="Arial" w:hAnsi="Arial"/>
                <w:sz w:val="11"/>
                <w:szCs w:val="11"/>
                <w:b w:val="1"/>
                <w:bCs w:val="1"/>
                <w:color w:val="auto"/>
                <w:w w:val="90"/>
              </w:rPr>
              <w:t>Title of Class</w:t>
            </w:r>
          </w:p>
        </w:tc>
        <w:tc>
          <w:tcPr>
            <w:tcW w:w="1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Amout</w:t>
            </w:r>
          </w:p>
        </w:tc>
      </w:tr>
      <w:tr>
        <w:trPr>
          <w:trHeight w:val="170"/>
        </w:trPr>
        <w:tc>
          <w:tcPr>
            <w:tcW w:w="4260" w:type="dxa"/>
            <w:vAlign w:val="bottom"/>
          </w:tcPr>
          <w:p>
            <w:pPr>
              <w:jc w:val="center"/>
              <w:ind w:left="1298"/>
              <w:spacing w:after="0"/>
              <w:rPr>
                <w:sz w:val="20"/>
                <w:szCs w:val="20"/>
                <w:color w:val="auto"/>
              </w:rPr>
            </w:pPr>
            <w:r>
              <w:rPr>
                <w:rFonts w:ascii="Arial" w:cs="Arial" w:eastAsia="Arial" w:hAnsi="Arial"/>
                <w:sz w:val="14"/>
                <w:szCs w:val="14"/>
                <w:b w:val="1"/>
                <w:bCs w:val="1"/>
                <w:color w:val="auto"/>
                <w:w w:val="88"/>
              </w:rPr>
              <w:t>11.000% Senior Unsecured Notes Due 2024</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7"/>
              </w:rPr>
              <w:t>$2,100,000,000†</w:t>
            </w:r>
          </w:p>
        </w:tc>
      </w:tr>
      <w:tr>
        <w:trPr>
          <w:trHeight w:val="317"/>
        </w:trPr>
        <w:tc>
          <w:tcPr>
            <w:tcW w:w="4260" w:type="dxa"/>
            <w:vAlign w:val="bottom"/>
          </w:tcPr>
          <w:p>
            <w:pPr>
              <w:spacing w:after="0"/>
              <w:rPr>
                <w:sz w:val="24"/>
                <w:szCs w:val="24"/>
                <w:color w:val="auto"/>
              </w:rPr>
            </w:pPr>
          </w:p>
        </w:tc>
        <w:tc>
          <w:tcPr>
            <w:tcW w:w="7200" w:type="dxa"/>
            <w:vAlign w:val="bottom"/>
            <w:gridSpan w:val="3"/>
          </w:tcPr>
          <w:p>
            <w:pPr>
              <w:ind w:left="180"/>
              <w:spacing w:after="0"/>
              <w:rPr>
                <w:sz w:val="20"/>
                <w:szCs w:val="20"/>
                <w:color w:val="auto"/>
              </w:rPr>
            </w:pPr>
            <w:r>
              <w:rPr>
                <w:rFonts w:ascii="Arial" w:cs="Arial" w:eastAsia="Arial" w:hAnsi="Arial"/>
                <w:sz w:val="14"/>
                <w:szCs w:val="14"/>
                <w:color w:val="auto"/>
              </w:rPr>
              <w:t>Approximate date of proposed public offering:</w:t>
            </w:r>
          </w:p>
        </w:tc>
      </w:tr>
    </w:tbl>
    <w:p>
      <w:pPr>
        <w:spacing w:after="0" w:line="153" w:lineRule="exact"/>
        <w:rPr>
          <w:sz w:val="24"/>
          <w:szCs w:val="24"/>
          <w:color w:val="auto"/>
        </w:rPr>
      </w:pPr>
    </w:p>
    <w:p>
      <w:pPr>
        <w:ind w:right="280"/>
        <w:spacing w:after="0" w:line="274" w:lineRule="auto"/>
        <w:rPr>
          <w:sz w:val="20"/>
          <w:szCs w:val="20"/>
          <w:color w:val="auto"/>
        </w:rPr>
      </w:pPr>
      <w:r>
        <w:rPr>
          <w:rFonts w:ascii="Arial" w:cs="Arial" w:eastAsia="Arial" w:hAnsi="Arial"/>
          <w:sz w:val="14"/>
          <w:szCs w:val="14"/>
          <w:b w:val="1"/>
          <w:bCs w:val="1"/>
          <w:color w:val="auto"/>
        </w:rPr>
        <w:t>As soon as practicable after court approval of a rights offering for such securities pursuant to the Joint Prepackaged Plan of Reorganization of Weatherford International plc and its Affiliate Debtors under Chapter 11 of the Bankruptcy Code (as amended or supplemented, the “</w:t>
      </w:r>
      <w:r>
        <w:rPr>
          <w:rFonts w:ascii="Arial" w:cs="Arial" w:eastAsia="Arial" w:hAnsi="Arial"/>
          <w:sz w:val="14"/>
          <w:szCs w:val="14"/>
          <w:b w:val="1"/>
          <w:bCs w:val="1"/>
          <w:i w:val="1"/>
          <w:iCs w:val="1"/>
          <w:color w:val="auto"/>
        </w:rPr>
        <w:t>Plan of Reorganization</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144780</wp:posOffset>
            </wp:positionV>
            <wp:extent cx="1837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1300" w:type="dxa"/>
        <w:tblCellMar>
          <w:top w:w="0" w:type="dxa"/>
          <w:left w:w="0" w:type="dxa"/>
          <w:bottom w:w="0" w:type="dxa"/>
          <w:right w:w="0" w:type="dxa"/>
        </w:tblCellMar>
      </w:tblPr>
      <w:tr>
        <w:trPr>
          <w:trHeight w:val="166"/>
        </w:trPr>
        <w:tc>
          <w:tcPr>
            <w:tcW w:w="4780" w:type="dxa"/>
            <w:vAlign w:val="bottom"/>
          </w:tcPr>
          <w:p>
            <w:pPr>
              <w:jc w:val="center"/>
              <w:ind w:right="1671"/>
              <w:spacing w:after="0"/>
              <w:rPr>
                <w:sz w:val="20"/>
                <w:szCs w:val="20"/>
                <w:color w:val="auto"/>
              </w:rPr>
            </w:pPr>
            <w:r>
              <w:rPr>
                <w:rFonts w:ascii="Arial" w:cs="Arial" w:eastAsia="Arial" w:hAnsi="Arial"/>
                <w:sz w:val="14"/>
                <w:szCs w:val="14"/>
                <w:b w:val="1"/>
                <w:bCs w:val="1"/>
                <w:color w:val="auto"/>
                <w:w w:val="95"/>
              </w:rPr>
              <w:t>Christina M. Ibrahim</w:t>
            </w:r>
          </w:p>
        </w:tc>
        <w:tc>
          <w:tcPr>
            <w:tcW w:w="3380" w:type="dxa"/>
            <w:vAlign w:val="bottom"/>
          </w:tcPr>
          <w:p>
            <w:pPr>
              <w:jc w:val="center"/>
              <w:ind w:left="1711"/>
              <w:spacing w:after="0"/>
              <w:rPr>
                <w:sz w:val="20"/>
                <w:szCs w:val="20"/>
                <w:color w:val="auto"/>
              </w:rPr>
            </w:pPr>
            <w:r>
              <w:rPr>
                <w:rFonts w:ascii="Arial" w:cs="Arial" w:eastAsia="Arial" w:hAnsi="Arial"/>
                <w:sz w:val="14"/>
                <w:szCs w:val="14"/>
                <w:color w:val="auto"/>
                <w:w w:val="88"/>
              </w:rPr>
              <w:t>Copies to:</w:t>
            </w:r>
          </w:p>
        </w:tc>
      </w:tr>
      <w:tr>
        <w:trPr>
          <w:trHeight w:val="166"/>
        </w:trPr>
        <w:tc>
          <w:tcPr>
            <w:tcW w:w="4780" w:type="dxa"/>
            <w:vAlign w:val="bottom"/>
          </w:tcPr>
          <w:p>
            <w:pPr>
              <w:jc w:val="center"/>
              <w:ind w:right="1691"/>
              <w:spacing w:after="0"/>
              <w:rPr>
                <w:sz w:val="20"/>
                <w:szCs w:val="20"/>
                <w:color w:val="auto"/>
              </w:rPr>
            </w:pPr>
            <w:r>
              <w:rPr>
                <w:rFonts w:ascii="Arial" w:cs="Arial" w:eastAsia="Arial" w:hAnsi="Arial"/>
                <w:sz w:val="14"/>
                <w:szCs w:val="14"/>
                <w:b w:val="1"/>
                <w:bCs w:val="1"/>
                <w:color w:val="auto"/>
                <w:w w:val="91"/>
              </w:rPr>
              <w:t>Weatherford International plc</w:t>
            </w:r>
          </w:p>
        </w:tc>
        <w:tc>
          <w:tcPr>
            <w:tcW w:w="3380" w:type="dxa"/>
            <w:vAlign w:val="bottom"/>
          </w:tcPr>
          <w:p>
            <w:pPr>
              <w:jc w:val="center"/>
              <w:ind w:left="1711"/>
              <w:spacing w:after="0"/>
              <w:rPr>
                <w:sz w:val="20"/>
                <w:szCs w:val="20"/>
                <w:color w:val="auto"/>
              </w:rPr>
            </w:pPr>
            <w:r>
              <w:rPr>
                <w:rFonts w:ascii="Arial" w:cs="Arial" w:eastAsia="Arial" w:hAnsi="Arial"/>
                <w:sz w:val="14"/>
                <w:szCs w:val="14"/>
                <w:b w:val="1"/>
                <w:bCs w:val="1"/>
                <w:color w:val="auto"/>
                <w:w w:val="90"/>
              </w:rPr>
              <w:t>Ryan J. Maierson</w:t>
            </w:r>
          </w:p>
        </w:tc>
      </w:tr>
      <w:tr>
        <w:trPr>
          <w:trHeight w:val="166"/>
        </w:trPr>
        <w:tc>
          <w:tcPr>
            <w:tcW w:w="4780" w:type="dxa"/>
            <w:vAlign w:val="bottom"/>
          </w:tcPr>
          <w:p>
            <w:pPr>
              <w:jc w:val="center"/>
              <w:ind w:right="1691"/>
              <w:spacing w:after="0"/>
              <w:rPr>
                <w:sz w:val="20"/>
                <w:szCs w:val="20"/>
                <w:color w:val="auto"/>
              </w:rPr>
            </w:pPr>
            <w:r>
              <w:rPr>
                <w:rFonts w:ascii="Arial" w:cs="Arial" w:eastAsia="Arial" w:hAnsi="Arial"/>
                <w:sz w:val="14"/>
                <w:szCs w:val="14"/>
                <w:b w:val="1"/>
                <w:bCs w:val="1"/>
                <w:color w:val="auto"/>
                <w:w w:val="87"/>
              </w:rPr>
              <w:t>Executive Vice President, General Counsel,</w:t>
            </w:r>
          </w:p>
        </w:tc>
        <w:tc>
          <w:tcPr>
            <w:tcW w:w="3380" w:type="dxa"/>
            <w:vAlign w:val="bottom"/>
          </w:tcPr>
          <w:p>
            <w:pPr>
              <w:jc w:val="center"/>
              <w:ind w:left="1711"/>
              <w:spacing w:after="0"/>
              <w:rPr>
                <w:sz w:val="20"/>
                <w:szCs w:val="20"/>
                <w:color w:val="auto"/>
              </w:rPr>
            </w:pPr>
            <w:r>
              <w:rPr>
                <w:rFonts w:ascii="Arial" w:cs="Arial" w:eastAsia="Arial" w:hAnsi="Arial"/>
                <w:sz w:val="14"/>
                <w:szCs w:val="14"/>
                <w:b w:val="1"/>
                <w:bCs w:val="1"/>
                <w:color w:val="auto"/>
                <w:w w:val="93"/>
              </w:rPr>
              <w:t>John M. Greer</w:t>
            </w:r>
          </w:p>
        </w:tc>
      </w:tr>
      <w:tr>
        <w:trPr>
          <w:trHeight w:val="166"/>
        </w:trPr>
        <w:tc>
          <w:tcPr>
            <w:tcW w:w="4780" w:type="dxa"/>
            <w:vAlign w:val="bottom"/>
          </w:tcPr>
          <w:p>
            <w:pPr>
              <w:jc w:val="center"/>
              <w:ind w:right="1691"/>
              <w:spacing w:after="0"/>
              <w:rPr>
                <w:sz w:val="20"/>
                <w:szCs w:val="20"/>
                <w:color w:val="auto"/>
              </w:rPr>
            </w:pPr>
            <w:r>
              <w:rPr>
                <w:rFonts w:ascii="Arial" w:cs="Arial" w:eastAsia="Arial" w:hAnsi="Arial"/>
                <w:sz w:val="14"/>
                <w:szCs w:val="14"/>
                <w:b w:val="1"/>
                <w:bCs w:val="1"/>
                <w:color w:val="auto"/>
                <w:w w:val="90"/>
              </w:rPr>
              <w:t>Chief Compliance Officer and Corporate Secretary</w:t>
            </w:r>
          </w:p>
        </w:tc>
        <w:tc>
          <w:tcPr>
            <w:tcW w:w="3380" w:type="dxa"/>
            <w:vAlign w:val="bottom"/>
          </w:tcPr>
          <w:p>
            <w:pPr>
              <w:jc w:val="center"/>
              <w:ind w:left="1711"/>
              <w:spacing w:after="0"/>
              <w:rPr>
                <w:sz w:val="20"/>
                <w:szCs w:val="20"/>
                <w:color w:val="auto"/>
              </w:rPr>
            </w:pPr>
            <w:r>
              <w:rPr>
                <w:rFonts w:ascii="Arial" w:cs="Arial" w:eastAsia="Arial" w:hAnsi="Arial"/>
                <w:sz w:val="14"/>
                <w:szCs w:val="14"/>
                <w:b w:val="1"/>
                <w:bCs w:val="1"/>
                <w:color w:val="auto"/>
                <w:w w:val="94"/>
              </w:rPr>
              <w:t>Latham &amp; Watkins LLP</w:t>
            </w:r>
          </w:p>
        </w:tc>
      </w:tr>
      <w:tr>
        <w:trPr>
          <w:trHeight w:val="166"/>
        </w:trPr>
        <w:tc>
          <w:tcPr>
            <w:tcW w:w="4780" w:type="dxa"/>
            <w:vAlign w:val="bottom"/>
          </w:tcPr>
          <w:p>
            <w:pPr>
              <w:jc w:val="center"/>
              <w:ind w:right="1691"/>
              <w:spacing w:after="0"/>
              <w:rPr>
                <w:sz w:val="20"/>
                <w:szCs w:val="20"/>
                <w:color w:val="auto"/>
              </w:rPr>
            </w:pPr>
            <w:r>
              <w:rPr>
                <w:rFonts w:ascii="Arial" w:cs="Arial" w:eastAsia="Arial" w:hAnsi="Arial"/>
                <w:sz w:val="14"/>
                <w:szCs w:val="14"/>
                <w:b w:val="1"/>
                <w:bCs w:val="1"/>
                <w:color w:val="auto"/>
                <w:w w:val="86"/>
              </w:rPr>
              <w:t>2000 St. James Place</w:t>
            </w:r>
          </w:p>
        </w:tc>
        <w:tc>
          <w:tcPr>
            <w:tcW w:w="3380" w:type="dxa"/>
            <w:vAlign w:val="bottom"/>
          </w:tcPr>
          <w:p>
            <w:pPr>
              <w:jc w:val="center"/>
              <w:ind w:left="1711"/>
              <w:spacing w:after="0"/>
              <w:rPr>
                <w:sz w:val="20"/>
                <w:szCs w:val="20"/>
                <w:color w:val="auto"/>
              </w:rPr>
            </w:pPr>
            <w:r>
              <w:rPr>
                <w:rFonts w:ascii="Arial" w:cs="Arial" w:eastAsia="Arial" w:hAnsi="Arial"/>
                <w:sz w:val="14"/>
                <w:szCs w:val="14"/>
                <w:b w:val="1"/>
                <w:bCs w:val="1"/>
                <w:color w:val="auto"/>
                <w:w w:val="88"/>
              </w:rPr>
              <w:t>811 Main Street, Suite 3700</w:t>
            </w:r>
          </w:p>
        </w:tc>
      </w:tr>
      <w:tr>
        <w:trPr>
          <w:trHeight w:val="166"/>
        </w:trPr>
        <w:tc>
          <w:tcPr>
            <w:tcW w:w="4780" w:type="dxa"/>
            <w:vAlign w:val="bottom"/>
          </w:tcPr>
          <w:p>
            <w:pPr>
              <w:jc w:val="center"/>
              <w:ind w:right="1671"/>
              <w:spacing w:after="0"/>
              <w:rPr>
                <w:sz w:val="20"/>
                <w:szCs w:val="20"/>
                <w:color w:val="auto"/>
              </w:rPr>
            </w:pPr>
            <w:r>
              <w:rPr>
                <w:rFonts w:ascii="Arial" w:cs="Arial" w:eastAsia="Arial" w:hAnsi="Arial"/>
                <w:sz w:val="14"/>
                <w:szCs w:val="14"/>
                <w:b w:val="1"/>
                <w:bCs w:val="1"/>
                <w:color w:val="auto"/>
                <w:w w:val="87"/>
              </w:rPr>
              <w:t>Houston, Texas 77056</w:t>
            </w:r>
          </w:p>
        </w:tc>
        <w:tc>
          <w:tcPr>
            <w:tcW w:w="3380" w:type="dxa"/>
            <w:vAlign w:val="bottom"/>
          </w:tcPr>
          <w:p>
            <w:pPr>
              <w:jc w:val="center"/>
              <w:ind w:left="1711"/>
              <w:spacing w:after="0"/>
              <w:rPr>
                <w:sz w:val="20"/>
                <w:szCs w:val="20"/>
                <w:color w:val="auto"/>
              </w:rPr>
            </w:pPr>
            <w:r>
              <w:rPr>
                <w:rFonts w:ascii="Arial" w:cs="Arial" w:eastAsia="Arial" w:hAnsi="Arial"/>
                <w:sz w:val="14"/>
                <w:szCs w:val="14"/>
                <w:b w:val="1"/>
                <w:bCs w:val="1"/>
                <w:color w:val="auto"/>
                <w:w w:val="87"/>
              </w:rPr>
              <w:t>Houston, Texas 77002</w:t>
            </w:r>
          </w:p>
        </w:tc>
      </w:tr>
      <w:tr>
        <w:trPr>
          <w:trHeight w:val="170"/>
        </w:trPr>
        <w:tc>
          <w:tcPr>
            <w:tcW w:w="4780" w:type="dxa"/>
            <w:vAlign w:val="bottom"/>
          </w:tcPr>
          <w:p>
            <w:pPr>
              <w:jc w:val="center"/>
              <w:ind w:right="1691"/>
              <w:spacing w:after="0"/>
              <w:rPr>
                <w:sz w:val="20"/>
                <w:szCs w:val="20"/>
                <w:color w:val="auto"/>
              </w:rPr>
            </w:pPr>
            <w:r>
              <w:rPr>
                <w:rFonts w:ascii="Arial" w:cs="Arial" w:eastAsia="Arial" w:hAnsi="Arial"/>
                <w:sz w:val="14"/>
                <w:szCs w:val="14"/>
                <w:b w:val="1"/>
                <w:bCs w:val="1"/>
                <w:color w:val="auto"/>
                <w:w w:val="89"/>
              </w:rPr>
              <w:t>(713) 836-4000</w:t>
            </w:r>
          </w:p>
        </w:tc>
        <w:tc>
          <w:tcPr>
            <w:tcW w:w="3380" w:type="dxa"/>
            <w:vAlign w:val="bottom"/>
          </w:tcPr>
          <w:p>
            <w:pPr>
              <w:jc w:val="center"/>
              <w:ind w:left="1711"/>
              <w:spacing w:after="0"/>
              <w:rPr>
                <w:sz w:val="20"/>
                <w:szCs w:val="20"/>
                <w:color w:val="auto"/>
              </w:rPr>
            </w:pPr>
            <w:r>
              <w:rPr>
                <w:rFonts w:ascii="Arial" w:cs="Arial" w:eastAsia="Arial" w:hAnsi="Arial"/>
                <w:sz w:val="14"/>
                <w:szCs w:val="14"/>
                <w:b w:val="1"/>
                <w:bCs w:val="1"/>
                <w:color w:val="auto"/>
                <w:w w:val="91"/>
              </w:rPr>
              <w:t>(713) 546-5400</w:t>
            </w:r>
          </w:p>
        </w:tc>
      </w:tr>
      <w:tr>
        <w:trPr>
          <w:trHeight w:val="175"/>
        </w:trPr>
        <w:tc>
          <w:tcPr>
            <w:tcW w:w="4780" w:type="dxa"/>
            <w:vAlign w:val="bottom"/>
          </w:tcPr>
          <w:p>
            <w:pPr>
              <w:jc w:val="center"/>
              <w:ind w:right="1691"/>
              <w:spacing w:after="0"/>
              <w:rPr>
                <w:sz w:val="20"/>
                <w:szCs w:val="20"/>
                <w:color w:val="auto"/>
              </w:rPr>
            </w:pPr>
            <w:r>
              <w:rPr>
                <w:rFonts w:ascii="Arial" w:cs="Arial" w:eastAsia="Arial" w:hAnsi="Arial"/>
                <w:sz w:val="14"/>
                <w:szCs w:val="14"/>
                <w:color w:val="auto"/>
                <w:w w:val="89"/>
              </w:rPr>
              <w:t>(Name and Address of Agent for Service)</w:t>
            </w:r>
          </w:p>
        </w:tc>
        <w:tc>
          <w:tcPr>
            <w:tcW w:w="33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158750</wp:posOffset>
            </wp:positionV>
            <wp:extent cx="1837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both"/>
        <w:ind w:right="240"/>
        <w:spacing w:after="0" w:line="260" w:lineRule="auto"/>
        <w:rPr>
          <w:sz w:val="20"/>
          <w:szCs w:val="20"/>
          <w:color w:val="auto"/>
        </w:rPr>
      </w:pPr>
      <w:r>
        <w:rPr>
          <w:rFonts w:ascii="Arial" w:cs="Arial" w:eastAsia="Arial" w:hAnsi="Arial"/>
          <w:sz w:val="14"/>
          <w:szCs w:val="14"/>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8313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01" w:lineRule="exact"/>
        <w:rPr>
          <w:sz w:val="24"/>
          <w:szCs w:val="24"/>
          <w:color w:val="auto"/>
        </w:rPr>
      </w:pPr>
    </w:p>
    <w:p>
      <w:pPr>
        <w:ind w:left="500" w:hanging="497"/>
        <w:spacing w:after="0"/>
        <w:tabs>
          <w:tab w:leader="none" w:pos="50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The principal amount of the Notes to be issued by each Co-Applicant will be disclosed in an amendment to this application.</w:t>
      </w:r>
    </w:p>
    <w:p>
      <w:pPr>
        <w:spacing w:after="0" w:line="14"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2"/>
          <w:szCs w:val="12"/>
          <w:color w:val="auto"/>
        </w:rPr>
        <w:t>The Co-Applicants listed on the following page are also included in this application as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783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7278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323850</wp:posOffset>
            </wp:positionV>
            <wp:extent cx="72974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4"/>
          <w:szCs w:val="14"/>
          <w:b w:val="1"/>
          <w:bCs w:val="1"/>
          <w:color w:val="auto"/>
        </w:rPr>
        <w:t>Table of Co-Applicants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of Guarantors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Advantage R&amp;D,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Benmore In-Depth Corp.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Case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Colombia Petroleum Services Corp.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Columbia Oilfield Supply,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Datalog Acquisition,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Discovery Logging,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Edinburgh Petroleum Services Americas Incorporated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eProduction Solutions,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High Pressure Integrity,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In-Depth Systems,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Logging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Logging S.A.,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Key International Drilling Company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PD Holdings (USA), L.P.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Drilling GP,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International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Services Colombia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Services ULC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Oilfield Services, LLP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Sabre Drilling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Stealth Oil &amp; Gas,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Tooke Rockies,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Visean Information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Visual Systems,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Warrior Well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(Nova Scotia) ULC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(PTWI),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Artificial Lift Systems,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Australia Pty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Bermuda Holdings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Canada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Colombia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DISC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Drilling International (BVI)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Drilling International Holdings (BVI)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Eurasia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European Holdings (Luxembourg) S.à 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Global Services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Holdings (Bermuda)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Holdings (BVI)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Holdings (Switzerland)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(Luxembourg) Holdings S.à 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Holding (Bermuda)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plc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Investment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Irish Holdings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Latin America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Management Company Switzerland Sàrl</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Weatherford Management, LLC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Weatherford Netherlands B.V.</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Norge AS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Oil Tool Middle East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Pangaea Holdings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Products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Services S. de 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Services,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Switzerland Trading and Development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Technology Holdings,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U.K.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U.S., L.P.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URS Holdings,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Worldwide Holdings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Weatherford/Lamb,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WEUS Holding,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WIHBV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WOFS Assurance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WOFS International Finance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WOFS Swiss Finance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WUS Holding,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EXPLANATORY NOTE</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This Amendment No. 3 to Form T-3 (this “</w:t>
      </w:r>
      <w:r>
        <w:rPr>
          <w:rFonts w:ascii="Arial" w:cs="Arial" w:eastAsia="Arial" w:hAnsi="Arial"/>
          <w:sz w:val="13"/>
          <w:szCs w:val="13"/>
          <w:b w:val="1"/>
          <w:bCs w:val="1"/>
          <w:color w:val="auto"/>
        </w:rPr>
        <w:t>Amendment</w:t>
      </w:r>
      <w:r>
        <w:rPr>
          <w:rFonts w:ascii="Arial" w:cs="Arial" w:eastAsia="Arial" w:hAnsi="Arial"/>
          <w:sz w:val="13"/>
          <w:szCs w:val="13"/>
          <w:color w:val="auto"/>
        </w:rPr>
        <w:t>”) is being filed on behalf of Weatherford International, LLC, Weatherford International Ltd. and their affiliates expected to be guarantors of the 11.000% Senior Unsecured Notes due 2024 (collectively, the “</w:t>
      </w:r>
      <w:r>
        <w:rPr>
          <w:rFonts w:ascii="Arial" w:cs="Arial" w:eastAsia="Arial" w:hAnsi="Arial"/>
          <w:sz w:val="13"/>
          <w:szCs w:val="13"/>
          <w:b w:val="1"/>
          <w:bCs w:val="1"/>
          <w:color w:val="auto"/>
        </w:rPr>
        <w:t>Applicants</w:t>
      </w:r>
      <w:r>
        <w:rPr>
          <w:rFonts w:ascii="Arial" w:cs="Arial" w:eastAsia="Arial" w:hAnsi="Arial"/>
          <w:sz w:val="13"/>
          <w:szCs w:val="13"/>
          <w:color w:val="auto"/>
        </w:rPr>
        <w:t>”). This Amendment is being filed solely to (i) provide an updated form of indenture to be qualified hereby as Exhibit T3C-1 filed herewith and remove Exhibit T3C-2, replacing the previous indentures filed with the previous application, and update item 2 accordingly, (ii) file Exhibits T3A-76, T3B-62, T3E-5 and T3E-6 filed herewith, remove Exhibits T3A-47, T3A-65, T3B-44, T3B-46 and T3B-54 and update the table of co-applicants accordingly, (iii) file an updated Form T-1 as Exhibit 25.1 filed herewith, (iv) file the Organizational Chart as Exhibit 99.1 filed herewith, (v) file an updated Exhibit 99.2 and Exhibit 99.3 filed herewith and (vi) update the Index to Exhibits. This Amendment is not intended to amend or delete any other part of the Applicants’ Application for Qualification (the “</w:t>
      </w:r>
      <w:r>
        <w:rPr>
          <w:rFonts w:ascii="Arial" w:cs="Arial" w:eastAsia="Arial" w:hAnsi="Arial"/>
          <w:sz w:val="13"/>
          <w:szCs w:val="13"/>
          <w:b w:val="1"/>
          <w:bCs w:val="1"/>
          <w:color w:val="auto"/>
        </w:rPr>
        <w:t>Application</w:t>
      </w:r>
      <w:r>
        <w:rPr>
          <w:rFonts w:ascii="Arial" w:cs="Arial" w:eastAsia="Arial" w:hAnsi="Arial"/>
          <w:sz w:val="13"/>
          <w:szCs w:val="13"/>
          <w:color w:val="auto"/>
        </w:rPr>
        <w:t>”). All other information in the Application is unchanged and has been omitted from this Amendment.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Securities Act Exemption Applicable.</w:t>
      </w:r>
    </w:p>
    <w:p>
      <w:pPr>
        <w:spacing w:after="0" w:line="175" w:lineRule="exact"/>
        <w:rPr>
          <w:sz w:val="20"/>
          <w:szCs w:val="20"/>
          <w:color w:val="auto"/>
        </w:rPr>
      </w:pPr>
    </w:p>
    <w:p>
      <w:pPr>
        <w:spacing w:after="0" w:line="295" w:lineRule="auto"/>
        <w:rPr>
          <w:sz w:val="20"/>
          <w:szCs w:val="20"/>
          <w:color w:val="auto"/>
        </w:rPr>
      </w:pPr>
      <w:r>
        <w:rPr>
          <w:rFonts w:ascii="Arial" w:cs="Arial" w:eastAsia="Arial" w:hAnsi="Arial"/>
          <w:sz w:val="12"/>
          <w:szCs w:val="12"/>
          <w:color w:val="auto"/>
        </w:rPr>
        <w:t>Pursuant to the terms of the proposed Plan of Reorganization, a copy of which is attached as an exhibit to the Disclosure Statement for Joint Prepackaged Plan of Reorganization for Weatherford International plc and its Affiliate Debtors under Chapter 11 of the Bankruptcy Code (as amended or supplemented, the “</w:t>
      </w:r>
      <w:r>
        <w:rPr>
          <w:rFonts w:ascii="Arial" w:cs="Arial" w:eastAsia="Arial" w:hAnsi="Arial"/>
          <w:sz w:val="12"/>
          <w:szCs w:val="12"/>
          <w:b w:val="1"/>
          <w:bCs w:val="1"/>
          <w:i w:val="1"/>
          <w:iCs w:val="1"/>
          <w:color w:val="auto"/>
        </w:rPr>
        <w:t>Disclosure Statement</w:t>
      </w:r>
      <w:r>
        <w:rPr>
          <w:rFonts w:ascii="Arial" w:cs="Arial" w:eastAsia="Arial" w:hAnsi="Arial"/>
          <w:sz w:val="12"/>
          <w:szCs w:val="12"/>
          <w:color w:val="auto"/>
        </w:rPr>
        <w:t>”), copies of which have been or are filed as Exhibits T3E-1, T3E-2, T3E-4 and T3E-5 to this application, respectively, the Applicants will offer, pursuant to a rights offering (the “</w:t>
      </w:r>
      <w:r>
        <w:rPr>
          <w:rFonts w:ascii="Arial" w:cs="Arial" w:eastAsia="Arial" w:hAnsi="Arial"/>
          <w:sz w:val="12"/>
          <w:szCs w:val="12"/>
          <w:b w:val="1"/>
          <w:bCs w:val="1"/>
          <w:i w:val="1"/>
          <w:iCs w:val="1"/>
          <w:color w:val="auto"/>
        </w:rPr>
        <w:t>Rights Offering</w:t>
      </w:r>
      <w:r>
        <w:rPr>
          <w:rFonts w:ascii="Arial" w:cs="Arial" w:eastAsia="Arial" w:hAnsi="Arial"/>
          <w:sz w:val="12"/>
          <w:szCs w:val="12"/>
          <w:color w:val="auto"/>
        </w:rPr>
        <w:t>”) to holders (collectively, the “</w:t>
      </w:r>
      <w:r>
        <w:rPr>
          <w:rFonts w:ascii="Arial" w:cs="Arial" w:eastAsia="Arial" w:hAnsi="Arial"/>
          <w:sz w:val="12"/>
          <w:szCs w:val="12"/>
          <w:b w:val="1"/>
          <w:bCs w:val="1"/>
          <w:i w:val="1"/>
          <w:iCs w:val="1"/>
          <w:color w:val="auto"/>
        </w:rPr>
        <w:t>Allowed Claim Holders</w:t>
      </w:r>
      <w:r>
        <w:rPr>
          <w:rFonts w:ascii="Arial" w:cs="Arial" w:eastAsia="Arial" w:hAnsi="Arial"/>
          <w:sz w:val="12"/>
          <w:szCs w:val="12"/>
          <w:color w:val="auto"/>
        </w:rPr>
        <w:t>”) of (i) those certain 5.125% senior unsecured notes due 2020, issued by Weatherford Bermuda; (ii) those certain 7.750% senior unsecured notes due 2021, issued by Weatherford Bermuda; (iii) those certain 5.875% exchangeable senior unsecured notes due 2021, issued by Weatherford Bermuda; (iv) those certain 4.500% senior unsecured notes due 2022, issued by Weatherford Bermuda; (v) those certain 8.250% senior unsecured notes due 2023, issued by Weatherford Bermuda; (vi) those certain 9.875% senior unsecured notes due 2024, issued by Weatherford Bermuda; (vii) those certain 6.500% senior unsecured notes due 2036, issued by Weatherford Bermuda; (viii) those certain 7.000% senior unsecured notes due 2038, issued by Weatherford Bermuda; (ix) those certain 9.875% senior unsecured notes due 2039, issued by Weatherford Bermuda; (x) those certain 6.750% senior unsecured notes due 2040, issued by Weatherford Bermuda; (xi) those certain 5.950% senior unsecured notes due 2042, issued by Weatherford Bermuda; (xii) those certain 9.875% senior unsecured notes due 2025, issued by Weatherford Delaware; and (xiii) those certain 6.800% senior unsecured notes due 2037, issued by Weatherford Delaware (collectively, the “</w:t>
      </w:r>
      <w:r>
        <w:rPr>
          <w:rFonts w:ascii="Arial" w:cs="Arial" w:eastAsia="Arial" w:hAnsi="Arial"/>
          <w:sz w:val="12"/>
          <w:szCs w:val="12"/>
          <w:b w:val="1"/>
          <w:bCs w:val="1"/>
          <w:i w:val="1"/>
          <w:iCs w:val="1"/>
          <w:color w:val="auto"/>
        </w:rPr>
        <w:t>Old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Notes</w:t>
      </w:r>
      <w:r>
        <w:rPr>
          <w:rFonts w:ascii="Arial" w:cs="Arial" w:eastAsia="Arial" w:hAnsi="Arial"/>
          <w:sz w:val="12"/>
          <w:szCs w:val="12"/>
          <w:color w:val="auto"/>
        </w:rPr>
        <w:t>”) subscription rights (the “</w:t>
      </w:r>
      <w:r>
        <w:rPr>
          <w:rFonts w:ascii="Arial" w:cs="Arial" w:eastAsia="Arial" w:hAnsi="Arial"/>
          <w:sz w:val="12"/>
          <w:szCs w:val="12"/>
          <w:b w:val="1"/>
          <w:bCs w:val="1"/>
          <w:i w:val="1"/>
          <w:iCs w:val="1"/>
          <w:color w:val="auto"/>
        </w:rPr>
        <w:t>Subscription Rights</w:t>
      </w:r>
      <w:r>
        <w:rPr>
          <w:rFonts w:ascii="Arial" w:cs="Arial" w:eastAsia="Arial" w:hAnsi="Arial"/>
          <w:sz w:val="12"/>
          <w:szCs w:val="12"/>
          <w:color w:val="auto"/>
        </w:rPr>
        <w:t>”) to acquire each such Allowed Claim Holder’s corresponding pro rata share of up to $1.6 billion aggregate principal amount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t>the Issuers’ 2024 Notes for cash. Additionally, $500 million aggregate principal amount of the Issuers’ 2024 Notes will be issued on a pro rata basis to Allowed Claim Holders.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2024 Notes will be issued pursuant to the indenture to be qualified under this application (the “</w:t>
      </w:r>
      <w:r>
        <w:rPr>
          <w:rFonts w:ascii="Arial" w:cs="Arial" w:eastAsia="Arial" w:hAnsi="Arial"/>
          <w:sz w:val="14"/>
          <w:szCs w:val="14"/>
          <w:b w:val="1"/>
          <w:bCs w:val="1"/>
          <w:i w:val="1"/>
          <w:iCs w:val="1"/>
          <w:color w:val="auto"/>
        </w:rPr>
        <w:t>Indenture</w:t>
      </w:r>
      <w:r>
        <w:rPr>
          <w:rFonts w:ascii="Arial" w:cs="Arial" w:eastAsia="Arial" w:hAnsi="Arial"/>
          <w:sz w:val="14"/>
          <w:szCs w:val="14"/>
          <w:color w:val="auto"/>
        </w:rPr>
        <w:t>”), a copy of which is included herein as Exhibit T3C-1.</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In connection with the Rights Offering, the Issuers entered into a backstop commitment agreement with certain holders of the Old Notes (the “Backstop Parties”) pursuant to which the Backstop Parties will commit to purchase any 2024 Notes not subscribed for in the Rights Offering (such unsubscribed 2024 Notes to be purchased by the Backstop Parties, the “Backstop Notes”). The Plan of Reorganization will become effective on the date on which all conditions to the effectiveness of the Plan of Reorganization have been satisfied or waived (the “Effective Date”).</w:t>
      </w:r>
    </w:p>
    <w:p>
      <w:pPr>
        <w:spacing w:after="0" w:line="128" w:lineRule="exact"/>
        <w:rPr>
          <w:sz w:val="20"/>
          <w:szCs w:val="20"/>
          <w:color w:val="auto"/>
        </w:rPr>
      </w:pPr>
    </w:p>
    <w:p>
      <w:pPr>
        <w:ind w:right="40"/>
        <w:spacing w:after="0" w:line="304" w:lineRule="auto"/>
        <w:rPr>
          <w:sz w:val="20"/>
          <w:szCs w:val="20"/>
          <w:color w:val="auto"/>
        </w:rPr>
      </w:pPr>
      <w:r>
        <w:rPr>
          <w:rFonts w:ascii="Arial" w:cs="Arial" w:eastAsia="Arial" w:hAnsi="Arial"/>
          <w:sz w:val="12"/>
          <w:szCs w:val="12"/>
          <w:color w:val="auto"/>
        </w:rPr>
        <w:t>The issuance of the 2024 Notes is exempt from registration under the Securities Act of 1933, as amended (the “Securities Act”), pursuant to the exemption provided by Section 1145(a)(1) of Title 11 of the United States Code (the “Bankruptcy Code”), which exempts an offer and sale of securities under a plan of reorganization from registration under the Securities Act and state securities laws if three principal requirements are satisfied: (i) the securities must be offered and sold under a plan of reorganization and must be securities of the debtor, an affiliate participating in a joint plan of reorganization with the debtor or a successor to the debtor under the plan of reorganization; (ii) the recipients of the securities must hold a claim against, an interest in, or an administrative expense claim against the debtor; and (iii) the securities must be issued entirely in exchange for the recipient’s claim against or interest in the debtor, or principally in such exchange and partly for cash or property.</w:t>
      </w:r>
    </w:p>
    <w:p>
      <w:pPr>
        <w:spacing w:after="0" w:line="122" w:lineRule="exact"/>
        <w:rPr>
          <w:sz w:val="20"/>
          <w:szCs w:val="20"/>
          <w:color w:val="auto"/>
        </w:rPr>
      </w:pPr>
    </w:p>
    <w:p>
      <w:pPr>
        <w:ind w:right="180"/>
        <w:spacing w:after="0" w:line="310" w:lineRule="auto"/>
        <w:rPr>
          <w:sz w:val="20"/>
          <w:szCs w:val="20"/>
          <w:color w:val="auto"/>
        </w:rPr>
      </w:pPr>
      <w:r>
        <w:rPr>
          <w:rFonts w:ascii="Arial" w:cs="Arial" w:eastAsia="Arial" w:hAnsi="Arial"/>
          <w:sz w:val="12"/>
          <w:szCs w:val="12"/>
          <w:color w:val="auto"/>
        </w:rPr>
        <w:t>The Applicants believe that the offer and issuance of the 2024 Notes will satisfy the requirements of Section 1145(a)(1) of the Bankruptcy Code and, therefore, such offer and exchange is exempt from the registration requirements referred to above. To the extent that the offer and issuance of the 2024 Notes constitutes an offer of securities not exempt from registration under Section 1145(a)(1) of the Bankruptcy Code, the Applicants will also rely on Section 4(a)(2) of the Securities Act and, to the extent applicable, Regulation D promulgated thereunder. The issuance of the Backstop Notes will not involve a public offering and is exempt from registration under the Securities Act pursuant to the exemption provided in Section 4(a)(2) of the Securities Act and Regulation D promulgated thereunder.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9"/>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0" w:type="dxa"/>
            <w:vAlign w:val="bottom"/>
          </w:tcPr>
          <w:p>
            <w:pPr>
              <w:ind w:left="2980"/>
              <w:spacing w:after="0"/>
              <w:rPr>
                <w:sz w:val="20"/>
                <w:szCs w:val="20"/>
                <w:color w:val="auto"/>
              </w:rPr>
            </w:pPr>
            <w:r>
              <w:rPr>
                <w:rFonts w:ascii="Arial" w:cs="Arial" w:eastAsia="Arial" w:hAnsi="Arial"/>
                <w:sz w:val="14"/>
                <w:szCs w:val="14"/>
                <w:b w:val="1"/>
                <w:bCs w:val="1"/>
                <w:color w:val="auto"/>
              </w:rPr>
              <w:t>INDEX TO EXHIBITS</w:t>
            </w:r>
          </w:p>
        </w:tc>
        <w:tc>
          <w:tcPr>
            <w:tcW w:w="40" w:type="dxa"/>
            <w:vAlign w:val="bottom"/>
          </w:tcPr>
          <w:p>
            <w:pPr>
              <w:spacing w:after="0"/>
              <w:rPr>
                <w:sz w:val="15"/>
                <w:szCs w:val="15"/>
                <w:color w:val="auto"/>
              </w:rPr>
            </w:pPr>
          </w:p>
        </w:tc>
      </w:tr>
      <w:tr>
        <w:trPr>
          <w:trHeight w:val="282"/>
        </w:trPr>
        <w:tc>
          <w:tcPr>
            <w:tcW w:w="1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w:t>
            </w:r>
          </w:p>
        </w:tc>
        <w:tc>
          <w:tcPr>
            <w:tcW w:w="280" w:type="dxa"/>
            <w:vAlign w:val="bottom"/>
          </w:tcPr>
          <w:p>
            <w:pPr>
              <w:spacing w:after="0"/>
              <w:rPr>
                <w:sz w:val="24"/>
                <w:szCs w:val="24"/>
                <w:color w:val="auto"/>
              </w:rPr>
            </w:pPr>
          </w:p>
        </w:tc>
        <w:tc>
          <w:tcPr>
            <w:tcW w:w="9400" w:type="dxa"/>
            <w:vAlign w:val="bottom"/>
            <w:tcBorders>
              <w:bottom w:val="single" w:sz="8" w:color="auto"/>
            </w:tcBorders>
          </w:tcPr>
          <w:p>
            <w:pPr>
              <w:ind w:left="4440"/>
              <w:spacing w:after="0"/>
              <w:rPr>
                <w:sz w:val="20"/>
                <w:szCs w:val="20"/>
                <w:color w:val="auto"/>
              </w:rPr>
            </w:pPr>
            <w:r>
              <w:rPr>
                <w:rFonts w:ascii="Arial" w:cs="Arial" w:eastAsia="Arial" w:hAnsi="Arial"/>
                <w:sz w:val="11"/>
                <w:szCs w:val="11"/>
                <w:b w:val="1"/>
                <w:bCs w:val="1"/>
                <w:color w:val="auto"/>
              </w:rPr>
              <w:t>Description</w:t>
            </w:r>
          </w:p>
        </w:tc>
        <w:tc>
          <w:tcPr>
            <w:tcW w:w="40" w:type="dxa"/>
            <w:vAlign w:val="bottom"/>
          </w:tcPr>
          <w:p>
            <w:pPr>
              <w:spacing w:after="0"/>
              <w:rPr>
                <w:sz w:val="24"/>
                <w:szCs w:val="24"/>
                <w:color w:val="auto"/>
              </w:rPr>
            </w:pPr>
          </w:p>
        </w:tc>
      </w:tr>
      <w:tr>
        <w:trPr>
          <w:trHeight w:val="31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w:t>
            </w:r>
          </w:p>
        </w:tc>
        <w:tc>
          <w:tcPr>
            <w:tcW w:w="9400" w:type="dxa"/>
            <w:vAlign w:val="bottom"/>
          </w:tcPr>
          <w:p>
            <w:pPr>
              <w:spacing w:after="0"/>
              <w:rPr>
                <w:sz w:val="20"/>
                <w:szCs w:val="20"/>
                <w:color w:val="auto"/>
              </w:rPr>
            </w:pPr>
            <w:r>
              <w:rPr>
                <w:rFonts w:ascii="Arial" w:cs="Arial" w:eastAsia="Arial" w:hAnsi="Arial"/>
                <w:sz w:val="14"/>
                <w:szCs w:val="14"/>
                <w:color w:val="auto"/>
                <w:w w:val="91"/>
              </w:rPr>
              <w:t>Certificate of Formation of Weatherford International, LLC, a Delaware limited liability company (incorporated by reference to Exhibit 4.7 to the Registration Statement</w:t>
            </w:r>
          </w:p>
        </w:tc>
        <w:tc>
          <w:tcPr>
            <w:tcW w:w="40" w:type="dxa"/>
            <w:vAlign w:val="bottom"/>
          </w:tcPr>
          <w:p>
            <w:pPr>
              <w:spacing w:after="0"/>
              <w:rPr>
                <w:sz w:val="24"/>
                <w:szCs w:val="24"/>
                <w:color w:val="auto"/>
              </w:rPr>
            </w:pPr>
          </w:p>
        </w:tc>
      </w:tr>
      <w:tr>
        <w:trPr>
          <w:trHeight w:val="175"/>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0" w:type="dxa"/>
            <w:vAlign w:val="bottom"/>
          </w:tcPr>
          <w:p>
            <w:pPr>
              <w:spacing w:after="0"/>
              <w:rPr>
                <w:sz w:val="20"/>
                <w:szCs w:val="20"/>
                <w:color w:val="auto"/>
              </w:rPr>
            </w:pPr>
            <w:r>
              <w:rPr>
                <w:rFonts w:ascii="Arial" w:cs="Arial" w:eastAsia="Arial" w:hAnsi="Arial"/>
                <w:sz w:val="14"/>
                <w:szCs w:val="14"/>
                <w:color w:val="auto"/>
              </w:rPr>
              <w:t>on Form S-3 of Weatherford International Ltd., a Swiss joint-stock corporation (File No. 333-194431), filed March 7, 2014)</w:t>
            </w:r>
          </w:p>
        </w:tc>
        <w:tc>
          <w:tcPr>
            <w:tcW w:w="40" w:type="dxa"/>
            <w:vAlign w:val="bottom"/>
          </w:tcPr>
          <w:p>
            <w:pPr>
              <w:spacing w:after="0"/>
              <w:rPr>
                <w:sz w:val="15"/>
                <w:szCs w:val="15"/>
                <w:color w:val="auto"/>
              </w:rPr>
            </w:pPr>
          </w:p>
        </w:tc>
      </w:tr>
      <w:tr>
        <w:trPr>
          <w:trHeight w:val="323"/>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w:t>
            </w:r>
          </w:p>
        </w:tc>
        <w:tc>
          <w:tcPr>
            <w:tcW w:w="9400" w:type="dxa"/>
            <w:vAlign w:val="bottom"/>
          </w:tcPr>
          <w:p>
            <w:pPr>
              <w:spacing w:after="0"/>
              <w:rPr>
                <w:sz w:val="20"/>
                <w:szCs w:val="20"/>
                <w:color w:val="auto"/>
              </w:rPr>
            </w:pPr>
            <w:r>
              <w:rPr>
                <w:rFonts w:ascii="Arial" w:cs="Arial" w:eastAsia="Arial" w:hAnsi="Arial"/>
                <w:sz w:val="14"/>
                <w:szCs w:val="14"/>
                <w:color w:val="auto"/>
                <w:w w:val="93"/>
              </w:rPr>
              <w:t>Memorandum and Articles of Association of Weatherford International plc, an Irish public limited company (incorporated by reference to Exhibit 3.1 to Weatherford</w:t>
            </w:r>
          </w:p>
        </w:tc>
        <w:tc>
          <w:tcPr>
            <w:tcW w:w="40" w:type="dxa"/>
            <w:vAlign w:val="bottom"/>
          </w:tcPr>
          <w:p>
            <w:pPr>
              <w:spacing w:after="0"/>
              <w:rPr>
                <w:sz w:val="24"/>
                <w:szCs w:val="24"/>
                <w:color w:val="auto"/>
              </w:rPr>
            </w:pPr>
          </w:p>
        </w:tc>
      </w:tr>
      <w:tr>
        <w:trPr>
          <w:trHeight w:val="175"/>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0" w:type="dxa"/>
            <w:vAlign w:val="bottom"/>
          </w:tcPr>
          <w:p>
            <w:pPr>
              <w:spacing w:after="0"/>
              <w:rPr>
                <w:sz w:val="20"/>
                <w:szCs w:val="20"/>
                <w:color w:val="auto"/>
              </w:rPr>
            </w:pPr>
            <w:r>
              <w:rPr>
                <w:rFonts w:ascii="Arial" w:cs="Arial" w:eastAsia="Arial" w:hAnsi="Arial"/>
                <w:sz w:val="14"/>
                <w:szCs w:val="14"/>
                <w:color w:val="auto"/>
              </w:rPr>
              <w:t>International plc’s Current Report on Form 8-K12B (File No. 1-36504) filed June 17, 2014)</w:t>
            </w:r>
          </w:p>
        </w:tc>
        <w:tc>
          <w:tcPr>
            <w:tcW w:w="40" w:type="dxa"/>
            <w:vAlign w:val="bottom"/>
          </w:tcPr>
          <w:p>
            <w:pPr>
              <w:spacing w:after="0"/>
              <w:rPr>
                <w:sz w:val="15"/>
                <w:szCs w:val="15"/>
                <w:color w:val="auto"/>
              </w:rPr>
            </w:pPr>
          </w:p>
        </w:tc>
      </w:tr>
      <w:tr>
        <w:trPr>
          <w:trHeight w:val="323"/>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T3A-3*</w:t>
            </w:r>
          </w:p>
        </w:tc>
        <w:tc>
          <w:tcPr>
            <w:tcW w:w="9400" w:type="dxa"/>
            <w:vAlign w:val="bottom"/>
          </w:tcPr>
          <w:p>
            <w:pPr>
              <w:spacing w:after="0"/>
              <w:rPr>
                <w:sz w:val="20"/>
                <w:szCs w:val="20"/>
                <w:color w:val="auto"/>
              </w:rPr>
            </w:pPr>
            <w:r>
              <w:rPr>
                <w:rFonts w:ascii="Arial" w:cs="Arial" w:eastAsia="Arial" w:hAnsi="Arial"/>
                <w:sz w:val="14"/>
                <w:szCs w:val="14"/>
                <w:color w:val="auto"/>
                <w:w w:val="90"/>
              </w:rPr>
              <w:t>Memorandum of Association of Weatherford International Ltd., a Bermuda exempted company (incorporated by reference to Annex II to the proxy statement/prospectus</w:t>
            </w:r>
          </w:p>
        </w:tc>
        <w:tc>
          <w:tcPr>
            <w:tcW w:w="40" w:type="dxa"/>
            <w:vAlign w:val="bottom"/>
          </w:tcPr>
          <w:p>
            <w:pPr>
              <w:spacing w:after="0"/>
              <w:rPr>
                <w:sz w:val="24"/>
                <w:szCs w:val="24"/>
                <w:color w:val="auto"/>
              </w:rPr>
            </w:pPr>
          </w:p>
        </w:tc>
      </w:tr>
      <w:tr>
        <w:trPr>
          <w:trHeight w:val="166"/>
        </w:trPr>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0" w:type="dxa"/>
            <w:vAlign w:val="bottom"/>
          </w:tcPr>
          <w:p>
            <w:pPr>
              <w:spacing w:after="0"/>
              <w:rPr>
                <w:sz w:val="20"/>
                <w:szCs w:val="20"/>
                <w:color w:val="auto"/>
              </w:rPr>
            </w:pPr>
            <w:r>
              <w:rPr>
                <w:rFonts w:ascii="Arial" w:cs="Arial" w:eastAsia="Arial" w:hAnsi="Arial"/>
                <w:sz w:val="14"/>
                <w:szCs w:val="14"/>
                <w:color w:val="auto"/>
                <w:w w:val="92"/>
              </w:rPr>
              <w:t>included in Amendment No. 1 to the Registration Statement on Form S-4 of Weatherford International Ltd., a Bermuda exempted company (File No. 333-85644) filed</w:t>
            </w:r>
          </w:p>
        </w:tc>
        <w:tc>
          <w:tcPr>
            <w:tcW w:w="40" w:type="dxa"/>
            <w:vAlign w:val="bottom"/>
          </w:tcPr>
          <w:p>
            <w:pPr>
              <w:spacing w:after="0"/>
              <w:rPr>
                <w:sz w:val="14"/>
                <w:szCs w:val="14"/>
                <w:color w:val="auto"/>
              </w:rPr>
            </w:pPr>
          </w:p>
        </w:tc>
      </w:tr>
      <w:tr>
        <w:trPr>
          <w:trHeight w:val="175"/>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0" w:type="dxa"/>
            <w:vAlign w:val="bottom"/>
          </w:tcPr>
          <w:p>
            <w:pPr>
              <w:spacing w:after="0"/>
              <w:rPr>
                <w:sz w:val="20"/>
                <w:szCs w:val="20"/>
                <w:color w:val="auto"/>
              </w:rPr>
            </w:pPr>
            <w:r>
              <w:rPr>
                <w:rFonts w:ascii="Arial" w:cs="Arial" w:eastAsia="Arial" w:hAnsi="Arial"/>
                <w:sz w:val="14"/>
                <w:szCs w:val="14"/>
                <w:color w:val="auto"/>
              </w:rPr>
              <w:t>May 22, 2002)</w:t>
            </w:r>
          </w:p>
        </w:tc>
        <w:tc>
          <w:tcPr>
            <w:tcW w:w="40" w:type="dxa"/>
            <w:vAlign w:val="bottom"/>
          </w:tcPr>
          <w:p>
            <w:pPr>
              <w:spacing w:after="0"/>
              <w:rPr>
                <w:sz w:val="15"/>
                <w:szCs w:val="15"/>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T3A-4*</w:t>
            </w:r>
          </w:p>
        </w:tc>
        <w:tc>
          <w:tcPr>
            <w:tcW w:w="9400" w:type="dxa"/>
            <w:vAlign w:val="bottom"/>
          </w:tcPr>
          <w:p>
            <w:pPr>
              <w:spacing w:after="0"/>
              <w:rPr>
                <w:sz w:val="20"/>
                <w:szCs w:val="20"/>
                <w:color w:val="auto"/>
              </w:rPr>
            </w:pPr>
            <w:r>
              <w:rPr>
                <w:rFonts w:ascii="Arial" w:cs="Arial" w:eastAsia="Arial" w:hAnsi="Arial"/>
                <w:sz w:val="14"/>
                <w:szCs w:val="14"/>
                <w:color w:val="auto"/>
              </w:rPr>
              <w:t>Certificate of Incorporation of Advantage R &amp; D, Inc., a Delaware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T3A-5*</w:t>
            </w:r>
          </w:p>
        </w:tc>
        <w:tc>
          <w:tcPr>
            <w:tcW w:w="9400" w:type="dxa"/>
            <w:vAlign w:val="bottom"/>
          </w:tcPr>
          <w:p>
            <w:pPr>
              <w:spacing w:after="0"/>
              <w:rPr>
                <w:sz w:val="20"/>
                <w:szCs w:val="20"/>
                <w:color w:val="auto"/>
              </w:rPr>
            </w:pPr>
            <w:r>
              <w:rPr>
                <w:rFonts w:ascii="Arial" w:cs="Arial" w:eastAsia="Arial" w:hAnsi="Arial"/>
                <w:sz w:val="14"/>
                <w:szCs w:val="14"/>
                <w:color w:val="auto"/>
              </w:rPr>
              <w:t>Certificate of Formation of Benmore In-Depth Corp., a Texas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T3A-6*</w:t>
            </w:r>
          </w:p>
        </w:tc>
        <w:tc>
          <w:tcPr>
            <w:tcW w:w="9400" w:type="dxa"/>
            <w:vAlign w:val="bottom"/>
          </w:tcPr>
          <w:p>
            <w:pPr>
              <w:spacing w:after="0"/>
              <w:rPr>
                <w:sz w:val="20"/>
                <w:szCs w:val="20"/>
                <w:color w:val="auto"/>
              </w:rPr>
            </w:pPr>
            <w:r>
              <w:rPr>
                <w:rFonts w:ascii="Arial" w:cs="Arial" w:eastAsia="Arial" w:hAnsi="Arial"/>
                <w:sz w:val="14"/>
                <w:szCs w:val="14"/>
                <w:color w:val="auto"/>
              </w:rPr>
              <w:t>Amended and Restated Articles of Incorporation of Case Services, Inc., a Texas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T3A-7*</w:t>
            </w:r>
          </w:p>
        </w:tc>
        <w:tc>
          <w:tcPr>
            <w:tcW w:w="9400" w:type="dxa"/>
            <w:vAlign w:val="bottom"/>
          </w:tcPr>
          <w:p>
            <w:pPr>
              <w:spacing w:after="0"/>
              <w:rPr>
                <w:sz w:val="20"/>
                <w:szCs w:val="20"/>
                <w:color w:val="auto"/>
              </w:rPr>
            </w:pPr>
            <w:r>
              <w:rPr>
                <w:rFonts w:ascii="Arial" w:cs="Arial" w:eastAsia="Arial" w:hAnsi="Arial"/>
                <w:sz w:val="14"/>
                <w:szCs w:val="14"/>
                <w:color w:val="auto"/>
              </w:rPr>
              <w:t>Certificate of Incorporation of Colombia Petroleum Services Corp., a Delaware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T3A-8*</w:t>
            </w:r>
          </w:p>
        </w:tc>
        <w:tc>
          <w:tcPr>
            <w:tcW w:w="9400" w:type="dxa"/>
            <w:vAlign w:val="bottom"/>
          </w:tcPr>
          <w:p>
            <w:pPr>
              <w:spacing w:after="0"/>
              <w:rPr>
                <w:sz w:val="20"/>
                <w:szCs w:val="20"/>
                <w:color w:val="auto"/>
              </w:rPr>
            </w:pPr>
            <w:r>
              <w:rPr>
                <w:rFonts w:ascii="Arial" w:cs="Arial" w:eastAsia="Arial" w:hAnsi="Arial"/>
                <w:sz w:val="14"/>
                <w:szCs w:val="14"/>
                <w:color w:val="auto"/>
              </w:rPr>
              <w:t>Certificate of Incorporation of Columbia Oilfield Supply, Inc., a Delaware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T3A-9*</w:t>
            </w:r>
          </w:p>
        </w:tc>
        <w:tc>
          <w:tcPr>
            <w:tcW w:w="9400" w:type="dxa"/>
            <w:vAlign w:val="bottom"/>
          </w:tcPr>
          <w:p>
            <w:pPr>
              <w:spacing w:after="0"/>
              <w:rPr>
                <w:sz w:val="20"/>
                <w:szCs w:val="20"/>
                <w:color w:val="auto"/>
              </w:rPr>
            </w:pPr>
            <w:r>
              <w:rPr>
                <w:rFonts w:ascii="Arial" w:cs="Arial" w:eastAsia="Arial" w:hAnsi="Arial"/>
                <w:sz w:val="14"/>
                <w:szCs w:val="14"/>
                <w:color w:val="auto"/>
              </w:rPr>
              <w:t>Certificate of Formation of Datalog Acquisition, LLC, a Delaware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T3A-10*</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Discovery Logging, Inc., a Texas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T3A-11*</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Edinburgh Petroleum Services Americas Incorporated, a Texas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T3A-12*</w:t>
            </w:r>
          </w:p>
        </w:tc>
        <w:tc>
          <w:tcPr>
            <w:tcW w:w="9400" w:type="dxa"/>
            <w:vAlign w:val="bottom"/>
          </w:tcPr>
          <w:p>
            <w:pPr>
              <w:spacing w:after="0"/>
              <w:rPr>
                <w:sz w:val="20"/>
                <w:szCs w:val="20"/>
                <w:color w:val="auto"/>
              </w:rPr>
            </w:pPr>
            <w:r>
              <w:rPr>
                <w:rFonts w:ascii="Arial" w:cs="Arial" w:eastAsia="Arial" w:hAnsi="Arial"/>
                <w:sz w:val="14"/>
                <w:szCs w:val="14"/>
                <w:color w:val="auto"/>
              </w:rPr>
              <w:t>Certificate of Formation of eProduction Solutions, LLC, a Texas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T3A-13*</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High Pressure Integrity, Inc., a Louisiana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T3A-14*</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In-Depth Systems, Inc., a Texas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T3A-15*</w:t>
            </w:r>
          </w:p>
        </w:tc>
        <w:tc>
          <w:tcPr>
            <w:tcW w:w="9400" w:type="dxa"/>
            <w:vAlign w:val="bottom"/>
          </w:tcPr>
          <w:p>
            <w:pPr>
              <w:spacing w:after="0"/>
              <w:rPr>
                <w:sz w:val="20"/>
                <w:szCs w:val="20"/>
                <w:color w:val="auto"/>
              </w:rPr>
            </w:pPr>
            <w:r>
              <w:rPr>
                <w:rFonts w:ascii="Arial" w:cs="Arial" w:eastAsia="Arial" w:hAnsi="Arial"/>
                <w:sz w:val="14"/>
                <w:szCs w:val="14"/>
                <w:color w:val="auto"/>
              </w:rPr>
              <w:t>Articles of Organization of International Logging LLC, a California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T3A-16*</w:t>
            </w:r>
          </w:p>
        </w:tc>
        <w:tc>
          <w:tcPr>
            <w:tcW w:w="9400" w:type="dxa"/>
            <w:vAlign w:val="bottom"/>
          </w:tcPr>
          <w:p>
            <w:pPr>
              <w:spacing w:after="0"/>
              <w:rPr>
                <w:sz w:val="20"/>
                <w:szCs w:val="20"/>
                <w:color w:val="auto"/>
              </w:rPr>
            </w:pPr>
            <w:r>
              <w:rPr>
                <w:rFonts w:ascii="Arial" w:cs="Arial" w:eastAsia="Arial" w:hAnsi="Arial"/>
                <w:sz w:val="14"/>
                <w:szCs w:val="14"/>
                <w:color w:val="auto"/>
              </w:rPr>
              <w:t>Articles of Organization of International Logging S.A., LLC, a Nevada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T3A-17*</w:t>
            </w:r>
          </w:p>
        </w:tc>
        <w:tc>
          <w:tcPr>
            <w:tcW w:w="9400" w:type="dxa"/>
            <w:vAlign w:val="bottom"/>
          </w:tcPr>
          <w:p>
            <w:pPr>
              <w:spacing w:after="0"/>
              <w:rPr>
                <w:sz w:val="20"/>
                <w:szCs w:val="20"/>
                <w:color w:val="auto"/>
              </w:rPr>
            </w:pPr>
            <w:r>
              <w:rPr>
                <w:rFonts w:ascii="Arial" w:cs="Arial" w:eastAsia="Arial" w:hAnsi="Arial"/>
                <w:sz w:val="14"/>
                <w:szCs w:val="14"/>
                <w:color w:val="auto"/>
              </w:rPr>
              <w:t>Memorandum of Association of Key International Drilling Company Limited, a Bermuda exempted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T3A-18*</w:t>
            </w:r>
          </w:p>
        </w:tc>
        <w:tc>
          <w:tcPr>
            <w:tcW w:w="9400" w:type="dxa"/>
            <w:vAlign w:val="bottom"/>
          </w:tcPr>
          <w:p>
            <w:pPr>
              <w:spacing w:after="0"/>
              <w:rPr>
                <w:sz w:val="20"/>
                <w:szCs w:val="20"/>
                <w:color w:val="auto"/>
              </w:rPr>
            </w:pPr>
            <w:r>
              <w:rPr>
                <w:rFonts w:ascii="Arial" w:cs="Arial" w:eastAsia="Arial" w:hAnsi="Arial"/>
                <w:sz w:val="14"/>
                <w:szCs w:val="14"/>
                <w:color w:val="auto"/>
              </w:rPr>
              <w:t>Certificate of Limited Partnership of PD Holdings (USA), L.P., a Delaware limited partnership, as amended</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T3A-19*</w:t>
            </w:r>
          </w:p>
        </w:tc>
        <w:tc>
          <w:tcPr>
            <w:tcW w:w="9400" w:type="dxa"/>
            <w:vAlign w:val="bottom"/>
          </w:tcPr>
          <w:p>
            <w:pPr>
              <w:spacing w:after="0"/>
              <w:rPr>
                <w:sz w:val="20"/>
                <w:szCs w:val="20"/>
                <w:color w:val="auto"/>
              </w:rPr>
            </w:pPr>
            <w:r>
              <w:rPr>
                <w:rFonts w:ascii="Arial" w:cs="Arial" w:eastAsia="Arial" w:hAnsi="Arial"/>
                <w:sz w:val="14"/>
                <w:szCs w:val="14"/>
                <w:color w:val="auto"/>
              </w:rPr>
              <w:t>Certificate of Formation of Precision Drilling GP, LLC, a Delaware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T3A-20*</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Precision Energy International Ltd., an Alberta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T3A-21*</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Precision Energy Services Colombia Ltd., an Alberta corporation, as amended</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T3A-22*</w:t>
            </w:r>
          </w:p>
        </w:tc>
        <w:tc>
          <w:tcPr>
            <w:tcW w:w="9400" w:type="dxa"/>
            <w:vAlign w:val="bottom"/>
          </w:tcPr>
          <w:p>
            <w:pPr>
              <w:spacing w:after="0"/>
              <w:rPr>
                <w:sz w:val="20"/>
                <w:szCs w:val="20"/>
                <w:color w:val="auto"/>
              </w:rPr>
            </w:pPr>
            <w:r>
              <w:rPr>
                <w:rFonts w:ascii="Arial" w:cs="Arial" w:eastAsia="Arial" w:hAnsi="Arial"/>
                <w:sz w:val="14"/>
                <w:szCs w:val="14"/>
                <w:color w:val="auto"/>
              </w:rPr>
              <w:t>Certificate of Amendment and Registration of Restated Articles of Precision Energy Services ULC, an Alberta unlimited liability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T3A-23*</w:t>
            </w:r>
          </w:p>
        </w:tc>
        <w:tc>
          <w:tcPr>
            <w:tcW w:w="9400" w:type="dxa"/>
            <w:vAlign w:val="bottom"/>
          </w:tcPr>
          <w:p>
            <w:pPr>
              <w:spacing w:after="0"/>
              <w:rPr>
                <w:sz w:val="20"/>
                <w:szCs w:val="20"/>
                <w:color w:val="auto"/>
              </w:rPr>
            </w:pPr>
            <w:r>
              <w:rPr>
                <w:rFonts w:ascii="Arial" w:cs="Arial" w:eastAsia="Arial" w:hAnsi="Arial"/>
                <w:sz w:val="14"/>
                <w:szCs w:val="14"/>
                <w:color w:val="auto"/>
              </w:rPr>
              <w:t>Certificate of Incorporation of Precision Energy Services, Inc., a Delaware corporation, as amended</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T3A-24*</w:t>
            </w:r>
          </w:p>
        </w:tc>
        <w:tc>
          <w:tcPr>
            <w:tcW w:w="9400" w:type="dxa"/>
            <w:vAlign w:val="bottom"/>
          </w:tcPr>
          <w:p>
            <w:pPr>
              <w:spacing w:after="0"/>
              <w:rPr>
                <w:sz w:val="20"/>
                <w:szCs w:val="20"/>
                <w:color w:val="auto"/>
              </w:rPr>
            </w:pPr>
            <w:r>
              <w:rPr>
                <w:rFonts w:ascii="Arial" w:cs="Arial" w:eastAsia="Arial" w:hAnsi="Arial"/>
                <w:sz w:val="14"/>
                <w:szCs w:val="14"/>
                <w:color w:val="auto"/>
              </w:rPr>
              <w:t>Certificate of Limited Partnership of Precision Oilfield Services, LLP, a Texas registered limited liability partnership, as amended</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T3A-25*</w:t>
            </w:r>
          </w:p>
        </w:tc>
        <w:tc>
          <w:tcPr>
            <w:tcW w:w="9400" w:type="dxa"/>
            <w:vAlign w:val="bottom"/>
          </w:tcPr>
          <w:p>
            <w:pPr>
              <w:spacing w:after="0"/>
              <w:rPr>
                <w:sz w:val="20"/>
                <w:szCs w:val="20"/>
                <w:color w:val="auto"/>
              </w:rPr>
            </w:pPr>
            <w:r>
              <w:rPr>
                <w:rFonts w:ascii="Arial" w:cs="Arial" w:eastAsia="Arial" w:hAnsi="Arial"/>
                <w:sz w:val="14"/>
                <w:szCs w:val="14"/>
                <w:color w:val="auto"/>
              </w:rPr>
              <w:t>Memorandum of Association of Sabre Drilling Ltd., a Bermuda exempted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T3A-26*</w:t>
            </w:r>
          </w:p>
        </w:tc>
        <w:tc>
          <w:tcPr>
            <w:tcW w:w="9400" w:type="dxa"/>
            <w:vAlign w:val="bottom"/>
          </w:tcPr>
          <w:p>
            <w:pPr>
              <w:spacing w:after="0"/>
              <w:rPr>
                <w:sz w:val="20"/>
                <w:szCs w:val="20"/>
                <w:color w:val="auto"/>
              </w:rPr>
            </w:pPr>
            <w:r>
              <w:rPr>
                <w:rFonts w:ascii="Arial" w:cs="Arial" w:eastAsia="Arial" w:hAnsi="Arial"/>
                <w:sz w:val="14"/>
                <w:szCs w:val="14"/>
                <w:color w:val="auto"/>
              </w:rPr>
              <w:t>Certificate of Incorporation of Stealth Oil &amp; Gas, Inc., a Delaware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T3A-27*</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Tooke Rockies, Inc., a Wyoming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T3A-28*</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Visean Information Services Inc., a Texas corporation, as amended</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T3A-29*</w:t>
            </w:r>
          </w:p>
        </w:tc>
        <w:tc>
          <w:tcPr>
            <w:tcW w:w="9400" w:type="dxa"/>
            <w:vAlign w:val="bottom"/>
          </w:tcPr>
          <w:p>
            <w:pPr>
              <w:spacing w:after="0"/>
              <w:rPr>
                <w:sz w:val="20"/>
                <w:szCs w:val="20"/>
                <w:color w:val="auto"/>
              </w:rPr>
            </w:pPr>
            <w:r>
              <w:rPr>
                <w:rFonts w:ascii="Arial" w:cs="Arial" w:eastAsia="Arial" w:hAnsi="Arial"/>
                <w:sz w:val="14"/>
                <w:szCs w:val="14"/>
                <w:color w:val="auto"/>
              </w:rPr>
              <w:t>Amended and Restated Articles of Incorporation of Visual Systems, Inc., a California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T3A-30*</w:t>
            </w:r>
          </w:p>
        </w:tc>
        <w:tc>
          <w:tcPr>
            <w:tcW w:w="9400" w:type="dxa"/>
            <w:vAlign w:val="bottom"/>
          </w:tcPr>
          <w:p>
            <w:pPr>
              <w:spacing w:after="0"/>
              <w:rPr>
                <w:sz w:val="20"/>
                <w:szCs w:val="20"/>
                <w:color w:val="auto"/>
              </w:rPr>
            </w:pPr>
            <w:r>
              <w:rPr>
                <w:rFonts w:ascii="Arial" w:cs="Arial" w:eastAsia="Arial" w:hAnsi="Arial"/>
                <w:sz w:val="14"/>
                <w:szCs w:val="14"/>
                <w:color w:val="auto"/>
              </w:rPr>
              <w:t>Articles of Incorporation of Warrior Well Services, Inc., an Illinois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T3A-31*</w:t>
            </w:r>
          </w:p>
        </w:tc>
        <w:tc>
          <w:tcPr>
            <w:tcW w:w="9400" w:type="dxa"/>
            <w:vAlign w:val="bottom"/>
          </w:tcPr>
          <w:p>
            <w:pPr>
              <w:spacing w:after="0"/>
              <w:rPr>
                <w:sz w:val="20"/>
                <w:szCs w:val="20"/>
                <w:color w:val="auto"/>
              </w:rPr>
            </w:pPr>
            <w:r>
              <w:rPr>
                <w:rFonts w:ascii="Arial" w:cs="Arial" w:eastAsia="Arial" w:hAnsi="Arial"/>
                <w:sz w:val="14"/>
                <w:szCs w:val="14"/>
                <w:color w:val="auto"/>
              </w:rPr>
              <w:t>Memorandum of Association of Weatherford (Nova Scotia) ULC, a Nova Scotia unlimited liability corporation</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T3A-32*</w:t>
            </w:r>
          </w:p>
        </w:tc>
        <w:tc>
          <w:tcPr>
            <w:tcW w:w="9400" w:type="dxa"/>
            <w:vAlign w:val="bottom"/>
          </w:tcPr>
          <w:p>
            <w:pPr>
              <w:spacing w:after="0"/>
              <w:rPr>
                <w:sz w:val="20"/>
                <w:szCs w:val="20"/>
                <w:color w:val="auto"/>
              </w:rPr>
            </w:pPr>
            <w:r>
              <w:rPr>
                <w:rFonts w:ascii="Arial" w:cs="Arial" w:eastAsia="Arial" w:hAnsi="Arial"/>
                <w:sz w:val="14"/>
                <w:szCs w:val="14"/>
                <w:color w:val="auto"/>
              </w:rPr>
              <w:t>Certificate of Formation of Weatherford (PTWI) L.L.C., a Delaware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T3A-33*</w:t>
            </w:r>
          </w:p>
        </w:tc>
        <w:tc>
          <w:tcPr>
            <w:tcW w:w="9400" w:type="dxa"/>
            <w:vAlign w:val="bottom"/>
          </w:tcPr>
          <w:p>
            <w:pPr>
              <w:spacing w:after="0"/>
              <w:rPr>
                <w:sz w:val="20"/>
                <w:szCs w:val="20"/>
                <w:color w:val="auto"/>
              </w:rPr>
            </w:pPr>
            <w:r>
              <w:rPr>
                <w:rFonts w:ascii="Arial" w:cs="Arial" w:eastAsia="Arial" w:hAnsi="Arial"/>
                <w:sz w:val="14"/>
                <w:szCs w:val="14"/>
                <w:color w:val="auto"/>
              </w:rPr>
              <w:t>Certificate of Formation of Weatherford Artificial Lift Systems, LLC, a Delaware limited liability company</w:t>
            </w:r>
          </w:p>
        </w:tc>
        <w:tc>
          <w:tcPr>
            <w:tcW w:w="40" w:type="dxa"/>
            <w:vAlign w:val="bottom"/>
          </w:tcPr>
          <w:p>
            <w:pPr>
              <w:spacing w:after="0"/>
              <w:rPr>
                <w:sz w:val="24"/>
                <w:szCs w:val="24"/>
                <w:color w:val="auto"/>
              </w:rPr>
            </w:pP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T3A-34*</w:t>
            </w:r>
          </w:p>
        </w:tc>
        <w:tc>
          <w:tcPr>
            <w:tcW w:w="9400" w:type="dxa"/>
            <w:vAlign w:val="bottom"/>
          </w:tcPr>
          <w:p>
            <w:pPr>
              <w:spacing w:after="0"/>
              <w:rPr>
                <w:sz w:val="20"/>
                <w:szCs w:val="20"/>
                <w:color w:val="auto"/>
              </w:rPr>
            </w:pPr>
            <w:r>
              <w:rPr>
                <w:rFonts w:ascii="Arial" w:cs="Arial" w:eastAsia="Arial" w:hAnsi="Arial"/>
                <w:sz w:val="14"/>
                <w:szCs w:val="14"/>
                <w:color w:val="auto"/>
              </w:rPr>
              <w:t>Certificate of Incorporation of Weatherford Australia Pty Limited, an Australian proprietary company</w:t>
            </w:r>
          </w:p>
        </w:tc>
        <w:tc>
          <w:tcPr>
            <w:tcW w:w="40" w:type="dxa"/>
            <w:vAlign w:val="bottom"/>
          </w:tcPr>
          <w:p>
            <w:pPr>
              <w:spacing w:after="0"/>
              <w:rPr>
                <w:sz w:val="24"/>
                <w:szCs w:val="24"/>
                <w:color w:val="auto"/>
              </w:rPr>
            </w:pPr>
          </w:p>
        </w:tc>
      </w:tr>
      <w:tr>
        <w:trPr>
          <w:trHeight w:val="332"/>
        </w:trPr>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0" w:type="dxa"/>
            <w:vAlign w:val="bottom"/>
          </w:tcPr>
          <w:p>
            <w:pPr>
              <w:ind w:left="3640"/>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4"/>
                <w:szCs w:val="24"/>
                <w:color w:val="auto"/>
              </w:rPr>
            </w:pPr>
          </w:p>
        </w:tc>
      </w:tr>
      <w:tr>
        <w:trPr>
          <w:trHeight w:val="100"/>
        </w:trPr>
        <w:tc>
          <w:tcPr>
            <w:tcW w:w="17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5" w:name="page6"/>
    <w:bookmarkEnd w:id="5"/>
    <w:p>
      <w:pPr>
        <w:spacing w:after="0"/>
        <w:tabs>
          <w:tab w:leader="none" w:pos="6480" w:val="left"/>
        </w:tabs>
        <w:rPr>
          <w:sz w:val="20"/>
          <w:szCs w:val="20"/>
          <w:color w:val="auto"/>
        </w:rPr>
      </w:pPr>
      <w:r>
        <w:rPr>
          <w:rFonts w:ascii="Arial" w:cs="Arial" w:eastAsia="Arial" w:hAnsi="Arial"/>
          <w:sz w:val="9"/>
          <w:szCs w:val="9"/>
          <w:b w:val="1"/>
          <w:bCs w:val="1"/>
          <w:color w:val="auto"/>
        </w:rPr>
        <w:t>Exhibit</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783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tcPr>
          <w:p>
            <w:pPr>
              <w:spacing w:after="0"/>
              <w:rPr>
                <w:sz w:val="20"/>
                <w:szCs w:val="20"/>
                <w:color w:val="auto"/>
              </w:rPr>
            </w:pPr>
            <w:r>
              <w:rPr>
                <w:rFonts w:ascii="Arial" w:cs="Arial" w:eastAsia="Arial" w:hAnsi="Arial"/>
                <w:sz w:val="14"/>
                <w:szCs w:val="14"/>
                <w:color w:val="auto"/>
              </w:rPr>
              <w:t>Exhibit T3A-35*</w:t>
            </w:r>
          </w:p>
        </w:tc>
        <w:tc>
          <w:tcPr>
            <w:tcW w:w="10000" w:type="dxa"/>
            <w:vAlign w:val="bottom"/>
          </w:tcPr>
          <w:p>
            <w:pPr>
              <w:ind w:left="560"/>
              <w:spacing w:after="0"/>
              <w:rPr>
                <w:sz w:val="20"/>
                <w:szCs w:val="20"/>
                <w:color w:val="auto"/>
              </w:rPr>
            </w:pPr>
            <w:r>
              <w:rPr>
                <w:rFonts w:ascii="Arial" w:cs="Arial" w:eastAsia="Arial" w:hAnsi="Arial"/>
                <w:sz w:val="14"/>
                <w:szCs w:val="14"/>
                <w:color w:val="auto"/>
              </w:rPr>
              <w:t>Memorandum of Association of Weatherford Bermuda Holdings Ltd.,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T3A-36*</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Amendment and Registration of Restated Articles of Weatherford Canada Ltd., an Alberta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T3A-37*</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Memorandum of Association of Weatherford Colombia Limited, a British Virgin Islands international business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T3A-38*</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Incorporation of Weatherford DISC Inc., a Nevada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T3A-39*</w:t>
            </w:r>
          </w:p>
        </w:tc>
        <w:tc>
          <w:tcPr>
            <w:tcW w:w="10000" w:type="dxa"/>
            <w:vAlign w:val="bottom"/>
          </w:tcPr>
          <w:p>
            <w:pPr>
              <w:ind w:left="560"/>
              <w:spacing w:after="0"/>
              <w:rPr>
                <w:sz w:val="20"/>
                <w:szCs w:val="20"/>
                <w:color w:val="auto"/>
              </w:rPr>
            </w:pPr>
            <w:r>
              <w:rPr>
                <w:rFonts w:ascii="Arial" w:cs="Arial" w:eastAsia="Arial" w:hAnsi="Arial"/>
                <w:sz w:val="14"/>
                <w:szCs w:val="14"/>
                <w:color w:val="auto"/>
                <w:w w:val="97"/>
              </w:rPr>
              <w:t>Amended and Restated Memorandum of Association of Weatherford Drilling International (BVI) Ltd., a British Virgin Islands international business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T3A-40*</w:t>
            </w:r>
          </w:p>
        </w:tc>
        <w:tc>
          <w:tcPr>
            <w:tcW w:w="10000" w:type="dxa"/>
            <w:vAlign w:val="bottom"/>
          </w:tcPr>
          <w:p>
            <w:pPr>
              <w:ind w:left="560"/>
              <w:spacing w:after="0"/>
              <w:rPr>
                <w:sz w:val="20"/>
                <w:szCs w:val="20"/>
                <w:color w:val="auto"/>
              </w:rPr>
            </w:pPr>
            <w:r>
              <w:rPr>
                <w:rFonts w:ascii="Arial" w:cs="Arial" w:eastAsia="Arial" w:hAnsi="Arial"/>
                <w:sz w:val="14"/>
                <w:szCs w:val="14"/>
                <w:color w:val="auto"/>
                <w:w w:val="92"/>
              </w:rPr>
              <w:t>Amended and Restated Memorandum of Association of Weatherford Drilling International Holdings (BVI) Ltd., a British Virgin Islands international business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T3A-41*</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Eurasia Limited, an England corporation,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T3A-42*</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Articles of Association of Weatherford European Holdings (Luxembourg) S.á r.l, a Luxembourg private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T3A-43*</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Organization of Weatherford Global Services LLC, a Louisiana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T3A-44*</w:t>
            </w:r>
          </w:p>
        </w:tc>
        <w:tc>
          <w:tcPr>
            <w:tcW w:w="10000" w:type="dxa"/>
            <w:vAlign w:val="bottom"/>
          </w:tcPr>
          <w:p>
            <w:pPr>
              <w:ind w:left="560"/>
              <w:spacing w:after="0"/>
              <w:rPr>
                <w:sz w:val="20"/>
                <w:szCs w:val="20"/>
                <w:color w:val="auto"/>
              </w:rPr>
            </w:pPr>
            <w:r>
              <w:rPr>
                <w:rFonts w:ascii="Arial" w:cs="Arial" w:eastAsia="Arial" w:hAnsi="Arial"/>
                <w:sz w:val="14"/>
                <w:szCs w:val="14"/>
                <w:color w:val="auto"/>
              </w:rPr>
              <w:t>Memorandum of Association of Weatherford Holdings (Bermuda) Ltd.,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T3A-45*</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Memorandum of Association of Weatherford Holdings (BVI) Ltd., a British Virgin Islands international business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T3A-46*</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Holdings (Switzerland) GmbH,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T3A-47*</w:t>
            </w:r>
          </w:p>
        </w:tc>
        <w:tc>
          <w:tcPr>
            <w:tcW w:w="10000" w:type="dxa"/>
            <w:vAlign w:val="bottom"/>
          </w:tcPr>
          <w:p>
            <w:pPr>
              <w:ind w:left="560"/>
              <w:spacing w:after="0"/>
              <w:rPr>
                <w:sz w:val="20"/>
                <w:szCs w:val="20"/>
                <w:color w:val="auto"/>
              </w:rPr>
            </w:pPr>
            <w:r>
              <w:rPr>
                <w:rFonts w:ascii="Arial" w:cs="Arial" w:eastAsia="Arial" w:hAnsi="Arial"/>
                <w:sz w:val="14"/>
                <w:szCs w:val="14"/>
                <w:color w:val="auto"/>
              </w:rPr>
              <w:t>[Reserved.]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T3A-48*</w:t>
            </w:r>
          </w:p>
        </w:tc>
        <w:tc>
          <w:tcPr>
            <w:tcW w:w="10000" w:type="dxa"/>
            <w:vAlign w:val="bottom"/>
          </w:tcPr>
          <w:p>
            <w:pPr>
              <w:ind w:left="560"/>
              <w:spacing w:after="0"/>
              <w:rPr>
                <w:sz w:val="20"/>
                <w:szCs w:val="20"/>
                <w:color w:val="auto"/>
              </w:rPr>
            </w:pPr>
            <w:r>
              <w:rPr>
                <w:rFonts w:ascii="Arial" w:cs="Arial" w:eastAsia="Arial" w:hAnsi="Arial"/>
                <w:sz w:val="14"/>
                <w:szCs w:val="14"/>
                <w:color w:val="auto"/>
                <w:w w:val="99"/>
              </w:rPr>
              <w:t>Amended and Restated Articles of Association of Weatherford International (Luxembourg) Holdings S.á r.l, a Luxembourg private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T3A-49*</w:t>
            </w:r>
          </w:p>
        </w:tc>
        <w:tc>
          <w:tcPr>
            <w:tcW w:w="10000" w:type="dxa"/>
            <w:vAlign w:val="bottom"/>
          </w:tcPr>
          <w:p>
            <w:pPr>
              <w:ind w:left="560"/>
              <w:spacing w:after="0"/>
              <w:rPr>
                <w:sz w:val="20"/>
                <w:szCs w:val="20"/>
                <w:color w:val="auto"/>
              </w:rPr>
            </w:pPr>
            <w:r>
              <w:rPr>
                <w:rFonts w:ascii="Arial" w:cs="Arial" w:eastAsia="Arial" w:hAnsi="Arial"/>
                <w:sz w:val="14"/>
                <w:szCs w:val="14"/>
                <w:color w:val="auto"/>
              </w:rPr>
              <w:t>Memorandum of Association of Weatherford International Holding (Bermuda) Ltd.,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T3A-50*</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Weatherford Investment Holding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T3A-51*</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Incorporation of Weatherford Investment Inc., a Delaware corporation,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T3A-52*</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Weatherford Latin America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T3A-53*</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Management Company Switzerland Sárl,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T3A-54*</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Weatherford Management,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T3A-55*</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Netherlands B.V., a Netherlands private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T3A-56*</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Norge AS, a Norway limited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T3A-57*</w:t>
            </w:r>
          </w:p>
        </w:tc>
        <w:tc>
          <w:tcPr>
            <w:tcW w:w="10000" w:type="dxa"/>
            <w:vAlign w:val="bottom"/>
          </w:tcPr>
          <w:p>
            <w:pPr>
              <w:ind w:left="560"/>
              <w:spacing w:after="0"/>
              <w:rPr>
                <w:sz w:val="20"/>
                <w:szCs w:val="20"/>
                <w:color w:val="auto"/>
              </w:rPr>
            </w:pPr>
            <w:r>
              <w:rPr>
                <w:rFonts w:ascii="Arial" w:cs="Arial" w:eastAsia="Arial" w:hAnsi="Arial"/>
                <w:sz w:val="14"/>
                <w:szCs w:val="14"/>
                <w:color w:val="auto"/>
                <w:w w:val="99"/>
              </w:rPr>
              <w:t>Amended and Restated Memorandum of Association of Weatherford Oil Tool Middle East Limited, a British Virgin Islands international business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T3A-58*</w:t>
            </w:r>
          </w:p>
        </w:tc>
        <w:tc>
          <w:tcPr>
            <w:tcW w:w="10000" w:type="dxa"/>
            <w:vAlign w:val="bottom"/>
          </w:tcPr>
          <w:p>
            <w:pPr>
              <w:ind w:left="560"/>
              <w:spacing w:after="0"/>
              <w:rPr>
                <w:sz w:val="20"/>
                <w:szCs w:val="20"/>
                <w:color w:val="auto"/>
              </w:rPr>
            </w:pPr>
            <w:r>
              <w:rPr>
                <w:rFonts w:ascii="Arial" w:cs="Arial" w:eastAsia="Arial" w:hAnsi="Arial"/>
                <w:sz w:val="14"/>
                <w:szCs w:val="14"/>
                <w:color w:val="auto"/>
              </w:rPr>
              <w:t>Memorandum of Association of Weatherford Pangaea Holdings Ltd.,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T3A-59*</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Incorporation of Weatherford Products GmbH,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T3A-60*</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Incorporation of Weatherford Services S. de R.L., a Panama corporation,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T3A-61*</w:t>
            </w:r>
          </w:p>
        </w:tc>
        <w:tc>
          <w:tcPr>
            <w:tcW w:w="10000" w:type="dxa"/>
            <w:vAlign w:val="bottom"/>
          </w:tcPr>
          <w:p>
            <w:pPr>
              <w:ind w:left="560"/>
              <w:spacing w:after="0"/>
              <w:rPr>
                <w:sz w:val="20"/>
                <w:szCs w:val="20"/>
                <w:color w:val="auto"/>
              </w:rPr>
            </w:pPr>
            <w:r>
              <w:rPr>
                <w:rFonts w:ascii="Arial" w:cs="Arial" w:eastAsia="Arial" w:hAnsi="Arial"/>
                <w:sz w:val="14"/>
                <w:szCs w:val="14"/>
                <w:color w:val="auto"/>
              </w:rPr>
              <w:t>Memorandum of Association of Weatherford Services, Ltd.,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T3A-62*</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Switzerland Trading and Development GmbH,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T3A-63*</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Weatherford Technology Holdings, LLC, a Delaware limited liability company,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T3A-64*</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U.K. Limited, an England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T3A-65*</w:t>
            </w:r>
          </w:p>
        </w:tc>
        <w:tc>
          <w:tcPr>
            <w:tcW w:w="10000" w:type="dxa"/>
            <w:vAlign w:val="bottom"/>
          </w:tcPr>
          <w:p>
            <w:pPr>
              <w:ind w:left="560"/>
              <w:spacing w:after="0"/>
              <w:rPr>
                <w:sz w:val="20"/>
                <w:szCs w:val="20"/>
                <w:color w:val="auto"/>
              </w:rPr>
            </w:pPr>
            <w:r>
              <w:rPr>
                <w:rFonts w:ascii="Arial" w:cs="Arial" w:eastAsia="Arial" w:hAnsi="Arial"/>
                <w:sz w:val="14"/>
                <w:szCs w:val="14"/>
                <w:color w:val="auto"/>
              </w:rPr>
              <w:t>[Reserved.]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T3A-66*</w:t>
            </w:r>
          </w:p>
        </w:tc>
        <w:tc>
          <w:tcPr>
            <w:tcW w:w="10000" w:type="dxa"/>
            <w:vAlign w:val="bottom"/>
          </w:tcPr>
          <w:p>
            <w:pPr>
              <w:ind w:left="560"/>
              <w:spacing w:after="0"/>
              <w:rPr>
                <w:sz w:val="20"/>
                <w:szCs w:val="20"/>
                <w:color w:val="auto"/>
              </w:rPr>
            </w:pPr>
            <w:r>
              <w:rPr>
                <w:rFonts w:ascii="Arial" w:cs="Arial" w:eastAsia="Arial" w:hAnsi="Arial"/>
                <w:sz w:val="14"/>
                <w:szCs w:val="14"/>
                <w:color w:val="auto"/>
              </w:rPr>
              <w:t>Louisiana Partnership Registration Form of Weatherford U.S., L.P., a Louisiana limited partnership</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T3A-67*</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Weatherford URS Holdings,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T3A-68*</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Worldwide Holdings GmbH,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T3A-69*</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Incorporation of Weatherford/Lamb, Inc., a Delaware corporation</w:t>
            </w:r>
          </w:p>
        </w:tc>
      </w:tr>
      <w:tr>
        <w:trPr>
          <w:trHeight w:val="332"/>
        </w:trPr>
        <w:tc>
          <w:tcPr>
            <w:tcW w:w="1500" w:type="dxa"/>
            <w:vAlign w:val="bottom"/>
          </w:tcPr>
          <w:p>
            <w:pPr>
              <w:spacing w:after="0"/>
              <w:rPr>
                <w:sz w:val="24"/>
                <w:szCs w:val="24"/>
                <w:color w:val="auto"/>
              </w:rPr>
            </w:pPr>
          </w:p>
        </w:tc>
        <w:tc>
          <w:tcPr>
            <w:tcW w:w="10000" w:type="dxa"/>
            <w:vAlign w:val="bottom"/>
          </w:tcPr>
          <w:p>
            <w:pPr>
              <w:ind w:left="4200"/>
              <w:spacing w:after="0"/>
              <w:rPr>
                <w:sz w:val="20"/>
                <w:szCs w:val="20"/>
                <w:color w:val="auto"/>
              </w:rPr>
            </w:pPr>
            <w:r>
              <w:rPr>
                <w:rFonts w:ascii="Arial" w:cs="Arial" w:eastAsia="Arial" w:hAnsi="Arial"/>
                <w:sz w:val="14"/>
                <w:szCs w:val="14"/>
                <w:color w:val="auto"/>
              </w:rPr>
              <w:t>6</w:t>
            </w:r>
          </w:p>
        </w:tc>
      </w:tr>
      <w:tr>
        <w:trPr>
          <w:trHeight w:val="100"/>
        </w:trPr>
        <w:tc>
          <w:tcPr>
            <w:tcW w:w="1500" w:type="dxa"/>
            <w:vAlign w:val="bottom"/>
            <w:tcBorders>
              <w:bottom w:val="single" w:sz="8" w:color="808080"/>
            </w:tcBorders>
          </w:tcPr>
          <w:p>
            <w:pPr>
              <w:spacing w:after="0"/>
              <w:rPr>
                <w:sz w:val="8"/>
                <w:szCs w:val="8"/>
                <w:color w:val="auto"/>
              </w:rPr>
            </w:pPr>
          </w:p>
        </w:tc>
        <w:tc>
          <w:tcPr>
            <w:tcW w:w="10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type w:val="continuous"/>
        </w:sectPr>
      </w:pPr>
    </w:p>
    <w:bookmarkStart w:id="6" w:name="page7"/>
    <w:bookmarkEnd w:id="6"/>
    <w:p>
      <w:pPr>
        <w:spacing w:after="0"/>
        <w:tabs>
          <w:tab w:leader="none" w:pos="6480" w:val="left"/>
        </w:tabs>
        <w:rPr>
          <w:sz w:val="20"/>
          <w:szCs w:val="20"/>
          <w:color w:val="auto"/>
        </w:rPr>
      </w:pPr>
      <w:r>
        <w:rPr>
          <w:rFonts w:ascii="Arial" w:cs="Arial" w:eastAsia="Arial" w:hAnsi="Arial"/>
          <w:sz w:val="9"/>
          <w:szCs w:val="9"/>
          <w:b w:val="1"/>
          <w:bCs w:val="1"/>
          <w:color w:val="auto"/>
        </w:rPr>
        <w:t>Exhibit</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7837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tcPr>
          <w:p>
            <w:pPr>
              <w:spacing w:after="0"/>
              <w:rPr>
                <w:sz w:val="20"/>
                <w:szCs w:val="20"/>
                <w:color w:val="auto"/>
              </w:rPr>
            </w:pPr>
            <w:r>
              <w:rPr>
                <w:rFonts w:ascii="Arial" w:cs="Arial" w:eastAsia="Arial" w:hAnsi="Arial"/>
                <w:sz w:val="14"/>
                <w:szCs w:val="14"/>
                <w:color w:val="auto"/>
              </w:rPr>
              <w:t>Exhibit T3A-70*</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WEUS Holding,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T3A-71*</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WIHBV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T3A-72*</w:t>
            </w:r>
          </w:p>
        </w:tc>
        <w:tc>
          <w:tcPr>
            <w:tcW w:w="10000" w:type="dxa"/>
            <w:vAlign w:val="bottom"/>
          </w:tcPr>
          <w:p>
            <w:pPr>
              <w:ind w:left="560"/>
              <w:spacing w:after="0"/>
              <w:rPr>
                <w:sz w:val="20"/>
                <w:szCs w:val="20"/>
                <w:color w:val="auto"/>
              </w:rPr>
            </w:pPr>
            <w:r>
              <w:rPr>
                <w:rFonts w:ascii="Arial" w:cs="Arial" w:eastAsia="Arial" w:hAnsi="Arial"/>
                <w:sz w:val="14"/>
                <w:szCs w:val="14"/>
                <w:color w:val="auto"/>
              </w:rPr>
              <w:t>Memorandum of Association of WOFS Assurance Limited,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T3A-73*</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Incorporation of WOFS International Finance GmbH,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T3A-74*</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WOFS Swiss Finance GmbH, a Switzerland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T3A-75*</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Formation of WUS Holding, L.L.C., a Delaware limited liability company,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T3A-76</w:t>
            </w:r>
          </w:p>
        </w:tc>
        <w:tc>
          <w:tcPr>
            <w:tcW w:w="10000" w:type="dxa"/>
            <w:vAlign w:val="bottom"/>
          </w:tcPr>
          <w:p>
            <w:pPr>
              <w:ind w:left="560"/>
              <w:spacing w:after="0"/>
              <w:rPr>
                <w:sz w:val="20"/>
                <w:szCs w:val="20"/>
                <w:color w:val="auto"/>
              </w:rPr>
            </w:pPr>
            <w:r>
              <w:rPr>
                <w:rFonts w:ascii="Arial" w:cs="Arial" w:eastAsia="Arial" w:hAnsi="Arial"/>
                <w:sz w:val="14"/>
                <w:szCs w:val="14"/>
                <w:color w:val="auto"/>
              </w:rPr>
              <w:t>Certificate of Incorporation of Weatherford Irish Holdings Limited, an Irish limited company</w:t>
            </w:r>
          </w:p>
        </w:tc>
      </w:tr>
      <w:tr>
        <w:trPr>
          <w:trHeight w:val="323"/>
        </w:trPr>
        <w:tc>
          <w:tcPr>
            <w:tcW w:w="1500" w:type="dxa"/>
            <w:vAlign w:val="bottom"/>
          </w:tcPr>
          <w:p>
            <w:pPr>
              <w:spacing w:after="0"/>
              <w:rPr>
                <w:sz w:val="20"/>
                <w:szCs w:val="20"/>
                <w:color w:val="auto"/>
              </w:rPr>
            </w:pPr>
            <w:r>
              <w:rPr>
                <w:rFonts w:ascii="Arial" w:cs="Arial" w:eastAsia="Arial" w:hAnsi="Arial"/>
                <w:sz w:val="14"/>
                <w:szCs w:val="14"/>
                <w:color w:val="auto"/>
              </w:rPr>
              <w:t>Exhibit T3B-1*</w:t>
            </w:r>
          </w:p>
        </w:tc>
        <w:tc>
          <w:tcPr>
            <w:tcW w:w="10000" w:type="dxa"/>
            <w:vAlign w:val="bottom"/>
          </w:tcPr>
          <w:p>
            <w:pPr>
              <w:ind w:left="560"/>
              <w:spacing w:after="0"/>
              <w:rPr>
                <w:sz w:val="20"/>
                <w:szCs w:val="20"/>
                <w:color w:val="auto"/>
              </w:rPr>
            </w:pPr>
            <w:r>
              <w:rPr>
                <w:rFonts w:ascii="Arial" w:cs="Arial" w:eastAsia="Arial" w:hAnsi="Arial"/>
                <w:sz w:val="14"/>
                <w:szCs w:val="14"/>
                <w:color w:val="auto"/>
                <w:w w:val="97"/>
              </w:rPr>
              <w:t>Limited Liability Company Agreement of Weatherford International, LLC, a Delaware limited liability company (incorporated by reference to Exhibit 4.8 to the</w:t>
            </w:r>
          </w:p>
        </w:tc>
      </w:tr>
      <w:tr>
        <w:trPr>
          <w:trHeight w:val="175"/>
        </w:trPr>
        <w:tc>
          <w:tcPr>
            <w:tcW w:w="1500" w:type="dxa"/>
            <w:vAlign w:val="bottom"/>
          </w:tcPr>
          <w:p>
            <w:pPr>
              <w:spacing w:after="0"/>
              <w:rPr>
                <w:sz w:val="15"/>
                <w:szCs w:val="15"/>
                <w:color w:val="auto"/>
              </w:rPr>
            </w:pPr>
          </w:p>
        </w:tc>
        <w:tc>
          <w:tcPr>
            <w:tcW w:w="10000" w:type="dxa"/>
            <w:vAlign w:val="bottom"/>
          </w:tcPr>
          <w:p>
            <w:pPr>
              <w:ind w:left="560"/>
              <w:spacing w:after="0"/>
              <w:rPr>
                <w:sz w:val="20"/>
                <w:szCs w:val="20"/>
                <w:color w:val="auto"/>
              </w:rPr>
            </w:pPr>
            <w:r>
              <w:rPr>
                <w:rFonts w:ascii="Arial" w:cs="Arial" w:eastAsia="Arial" w:hAnsi="Arial"/>
                <w:sz w:val="14"/>
                <w:szCs w:val="14"/>
                <w:color w:val="auto"/>
              </w:rPr>
              <w:t>Registration Statement on Form S-3 of Weatherford International Ltd., a Swiss joint-stock corporation (File No. 333-194431), filed March 7, 2014)</w:t>
            </w:r>
          </w:p>
        </w:tc>
      </w:tr>
      <w:tr>
        <w:trPr>
          <w:trHeight w:val="323"/>
        </w:trPr>
        <w:tc>
          <w:tcPr>
            <w:tcW w:w="1500" w:type="dxa"/>
            <w:vAlign w:val="bottom"/>
          </w:tcPr>
          <w:p>
            <w:pPr>
              <w:spacing w:after="0"/>
              <w:rPr>
                <w:sz w:val="20"/>
                <w:szCs w:val="20"/>
                <w:color w:val="auto"/>
              </w:rPr>
            </w:pPr>
            <w:r>
              <w:rPr>
                <w:rFonts w:ascii="Arial" w:cs="Arial" w:eastAsia="Arial" w:hAnsi="Arial"/>
                <w:sz w:val="14"/>
                <w:szCs w:val="14"/>
                <w:color w:val="auto"/>
              </w:rPr>
              <w:t>Exhibit T3B-2*</w:t>
            </w:r>
          </w:p>
        </w:tc>
        <w:tc>
          <w:tcPr>
            <w:tcW w:w="10000" w:type="dxa"/>
            <w:vAlign w:val="bottom"/>
          </w:tcPr>
          <w:p>
            <w:pPr>
              <w:ind w:left="560"/>
              <w:spacing w:after="0"/>
              <w:rPr>
                <w:sz w:val="20"/>
                <w:szCs w:val="20"/>
                <w:color w:val="auto"/>
              </w:rPr>
            </w:pPr>
            <w:r>
              <w:rPr>
                <w:rFonts w:ascii="Arial" w:cs="Arial" w:eastAsia="Arial" w:hAnsi="Arial"/>
                <w:sz w:val="14"/>
                <w:szCs w:val="14"/>
                <w:color w:val="auto"/>
                <w:w w:val="91"/>
              </w:rPr>
              <w:t>Bye-Laws of Weatherford International Ltd., a Bermuda exempted company, as amended on May 10, 2016 (incorporated by reference to Exhibit 3.4 to the Registration</w:t>
            </w:r>
          </w:p>
        </w:tc>
      </w:tr>
      <w:tr>
        <w:trPr>
          <w:trHeight w:val="175"/>
        </w:trPr>
        <w:tc>
          <w:tcPr>
            <w:tcW w:w="1500" w:type="dxa"/>
            <w:vAlign w:val="bottom"/>
          </w:tcPr>
          <w:p>
            <w:pPr>
              <w:spacing w:after="0"/>
              <w:rPr>
                <w:sz w:val="15"/>
                <w:szCs w:val="15"/>
                <w:color w:val="auto"/>
              </w:rPr>
            </w:pPr>
          </w:p>
        </w:tc>
        <w:tc>
          <w:tcPr>
            <w:tcW w:w="10000" w:type="dxa"/>
            <w:vAlign w:val="bottom"/>
          </w:tcPr>
          <w:p>
            <w:pPr>
              <w:ind w:left="560"/>
              <w:spacing w:after="0"/>
              <w:rPr>
                <w:sz w:val="20"/>
                <w:szCs w:val="20"/>
                <w:color w:val="auto"/>
              </w:rPr>
            </w:pPr>
            <w:r>
              <w:rPr>
                <w:rFonts w:ascii="Arial" w:cs="Arial" w:eastAsia="Arial" w:hAnsi="Arial"/>
                <w:sz w:val="14"/>
                <w:szCs w:val="14"/>
                <w:color w:val="auto"/>
              </w:rPr>
              <w:t>Statement on Form S-3 of Weatherford International plc (File No. 333-216034) filed February 13, 2017)</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T3B-3*</w:t>
            </w:r>
          </w:p>
        </w:tc>
        <w:tc>
          <w:tcPr>
            <w:tcW w:w="10000" w:type="dxa"/>
            <w:vAlign w:val="bottom"/>
          </w:tcPr>
          <w:p>
            <w:pPr>
              <w:ind w:left="560"/>
              <w:spacing w:after="0"/>
              <w:rPr>
                <w:sz w:val="20"/>
                <w:szCs w:val="20"/>
                <w:color w:val="auto"/>
              </w:rPr>
            </w:pPr>
            <w:r>
              <w:rPr>
                <w:rFonts w:ascii="Arial" w:cs="Arial" w:eastAsia="Arial" w:hAnsi="Arial"/>
                <w:sz w:val="14"/>
                <w:szCs w:val="14"/>
                <w:color w:val="auto"/>
              </w:rPr>
              <w:t>Bye-Laws of Advantage R &amp; D, Inc., a Delaware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T3B-4*</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By-Laws of Benmore In-Depth Corp., a Texas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T3B-5*</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Bylaws of Case Services, Inc., a Texas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T3B-6*</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Colombia Petroleum Services Corp., a Delaware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T3B-7*</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Columbia Oilfield Supply, Inc., a Delaware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T3B-8*</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Limited Liability Company Agreement of Datalog Acquisition,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T3B-9*</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Discovery Logging, Inc., a Texas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T3B-10*</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Edinburgh Petroleum Services Americas Incorporated, a Texas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T3B-11*</w:t>
            </w:r>
          </w:p>
        </w:tc>
        <w:tc>
          <w:tcPr>
            <w:tcW w:w="10000" w:type="dxa"/>
            <w:vAlign w:val="bottom"/>
          </w:tcPr>
          <w:p>
            <w:pPr>
              <w:ind w:left="560"/>
              <w:spacing w:after="0"/>
              <w:rPr>
                <w:sz w:val="20"/>
                <w:szCs w:val="20"/>
                <w:color w:val="auto"/>
              </w:rPr>
            </w:pPr>
            <w:r>
              <w:rPr>
                <w:rFonts w:ascii="Arial" w:cs="Arial" w:eastAsia="Arial" w:hAnsi="Arial"/>
                <w:sz w:val="14"/>
                <w:szCs w:val="14"/>
                <w:color w:val="auto"/>
              </w:rPr>
              <w:t>Company Agreement of eProduction Solutions, LLC, a Texas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T3B-12*</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High Pressure Integrity, Inc., a Louisiana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T3B-13*</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In-Depth Systems, Inc., a Texas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T3B-14*</w:t>
            </w:r>
          </w:p>
        </w:tc>
        <w:tc>
          <w:tcPr>
            <w:tcW w:w="10000" w:type="dxa"/>
            <w:vAlign w:val="bottom"/>
          </w:tcPr>
          <w:p>
            <w:pPr>
              <w:ind w:left="560"/>
              <w:spacing w:after="0"/>
              <w:rPr>
                <w:sz w:val="20"/>
                <w:szCs w:val="20"/>
                <w:color w:val="auto"/>
              </w:rPr>
            </w:pPr>
            <w:r>
              <w:rPr>
                <w:rFonts w:ascii="Arial" w:cs="Arial" w:eastAsia="Arial" w:hAnsi="Arial"/>
                <w:sz w:val="14"/>
                <w:szCs w:val="14"/>
                <w:color w:val="auto"/>
              </w:rPr>
              <w:t>Operating Agreement of International Logging LLC, a California limited liability company,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T3B-15*</w:t>
            </w:r>
          </w:p>
        </w:tc>
        <w:tc>
          <w:tcPr>
            <w:tcW w:w="10000" w:type="dxa"/>
            <w:vAlign w:val="bottom"/>
          </w:tcPr>
          <w:p>
            <w:pPr>
              <w:ind w:left="560"/>
              <w:spacing w:after="0"/>
              <w:rPr>
                <w:sz w:val="20"/>
                <w:szCs w:val="20"/>
                <w:color w:val="auto"/>
              </w:rPr>
            </w:pPr>
            <w:r>
              <w:rPr>
                <w:rFonts w:ascii="Arial" w:cs="Arial" w:eastAsia="Arial" w:hAnsi="Arial"/>
                <w:sz w:val="14"/>
                <w:szCs w:val="14"/>
                <w:color w:val="auto"/>
              </w:rPr>
              <w:t>Limited-Liability Company Agreement of International Logging S.A., LLC, a Nevada limited liability company,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T3B-16*</w:t>
            </w:r>
          </w:p>
        </w:tc>
        <w:tc>
          <w:tcPr>
            <w:tcW w:w="10000" w:type="dxa"/>
            <w:vAlign w:val="bottom"/>
          </w:tcPr>
          <w:p>
            <w:pPr>
              <w:ind w:left="560"/>
              <w:spacing w:after="0"/>
              <w:rPr>
                <w:sz w:val="20"/>
                <w:szCs w:val="20"/>
                <w:color w:val="auto"/>
              </w:rPr>
            </w:pPr>
            <w:r>
              <w:rPr>
                <w:rFonts w:ascii="Arial" w:cs="Arial" w:eastAsia="Arial" w:hAnsi="Arial"/>
                <w:sz w:val="14"/>
                <w:szCs w:val="14"/>
                <w:color w:val="auto"/>
              </w:rPr>
              <w:t>Bye-Laws of Key International Drilling Company Limited,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T3B-17*</w:t>
            </w:r>
          </w:p>
        </w:tc>
        <w:tc>
          <w:tcPr>
            <w:tcW w:w="10000" w:type="dxa"/>
            <w:vAlign w:val="bottom"/>
          </w:tcPr>
          <w:p>
            <w:pPr>
              <w:ind w:left="560"/>
              <w:spacing w:after="0"/>
              <w:rPr>
                <w:sz w:val="20"/>
                <w:szCs w:val="20"/>
                <w:color w:val="auto"/>
              </w:rPr>
            </w:pPr>
            <w:r>
              <w:rPr>
                <w:rFonts w:ascii="Arial" w:cs="Arial" w:eastAsia="Arial" w:hAnsi="Arial"/>
                <w:sz w:val="14"/>
                <w:szCs w:val="14"/>
                <w:color w:val="auto"/>
              </w:rPr>
              <w:t>Agreement of Limited Partnership of PD Holdings (USA), L.P., a Delaware limited partnership,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T3B-18*</w:t>
            </w:r>
          </w:p>
        </w:tc>
        <w:tc>
          <w:tcPr>
            <w:tcW w:w="10000" w:type="dxa"/>
            <w:vAlign w:val="bottom"/>
          </w:tcPr>
          <w:p>
            <w:pPr>
              <w:ind w:left="560"/>
              <w:spacing w:after="0"/>
              <w:rPr>
                <w:sz w:val="20"/>
                <w:szCs w:val="20"/>
                <w:color w:val="auto"/>
              </w:rPr>
            </w:pPr>
            <w:r>
              <w:rPr>
                <w:rFonts w:ascii="Arial" w:cs="Arial" w:eastAsia="Arial" w:hAnsi="Arial"/>
                <w:sz w:val="14"/>
                <w:szCs w:val="14"/>
                <w:color w:val="auto"/>
              </w:rPr>
              <w:t>Limited Liability Company Agreement of Precision Drilling GP, LLC, a Delaware limited liability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T3B-19*</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 No. 1 of Precision Energy International Ltd., an Alberta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T3B-20*</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 Number 1 of Precision Energy Services Colombia Ltd., an Alberta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T3B-21*</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 No. 1 of Precision Energy Services ULC, an Alberta unlimited liability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T3B-22*</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 No. 2 of Precision Energy Services ULC, an Alberta unlimited liability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T3B-23*</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Precision Energy Services, Inc., a Delaware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T3B-24*</w:t>
            </w:r>
          </w:p>
        </w:tc>
        <w:tc>
          <w:tcPr>
            <w:tcW w:w="10000" w:type="dxa"/>
            <w:vAlign w:val="bottom"/>
          </w:tcPr>
          <w:p>
            <w:pPr>
              <w:ind w:left="560"/>
              <w:spacing w:after="0"/>
              <w:rPr>
                <w:sz w:val="20"/>
                <w:szCs w:val="20"/>
                <w:color w:val="auto"/>
              </w:rPr>
            </w:pPr>
            <w:r>
              <w:rPr>
                <w:rFonts w:ascii="Arial" w:cs="Arial" w:eastAsia="Arial" w:hAnsi="Arial"/>
                <w:sz w:val="14"/>
                <w:szCs w:val="14"/>
                <w:color w:val="auto"/>
              </w:rPr>
              <w:t>Agreement of Limited Partnership of Precision Oilfield Services, LLP, a Texas registered limited liability partnership, as amended</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T3B-25*</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Bye-Laws of Sabre Drilling Ltd., a Bermuda exempted company</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T3B-26*</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Stealth Oil &amp; Gas, Inc., a Delaware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T3B-27*</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Tooke Rockies, Inc., a Wyoming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T3B-28*</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By-Laws of Visean Information Services Inc., a Texas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T3B-29*</w:t>
            </w:r>
          </w:p>
        </w:tc>
        <w:tc>
          <w:tcPr>
            <w:tcW w:w="10000" w:type="dxa"/>
            <w:vAlign w:val="bottom"/>
          </w:tcPr>
          <w:p>
            <w:pPr>
              <w:ind w:left="560"/>
              <w:spacing w:after="0"/>
              <w:rPr>
                <w:sz w:val="20"/>
                <w:szCs w:val="20"/>
                <w:color w:val="auto"/>
              </w:rPr>
            </w:pPr>
            <w:r>
              <w:rPr>
                <w:rFonts w:ascii="Arial" w:cs="Arial" w:eastAsia="Arial" w:hAnsi="Arial"/>
                <w:sz w:val="14"/>
                <w:szCs w:val="14"/>
                <w:color w:val="auto"/>
              </w:rPr>
              <w:t>Amended and Restated Bylaws of Visual Systems, Inc., a California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T3B-30*</w:t>
            </w:r>
          </w:p>
        </w:tc>
        <w:tc>
          <w:tcPr>
            <w:tcW w:w="10000" w:type="dxa"/>
            <w:vAlign w:val="bottom"/>
          </w:tcPr>
          <w:p>
            <w:pPr>
              <w:ind w:left="560"/>
              <w:spacing w:after="0"/>
              <w:rPr>
                <w:sz w:val="20"/>
                <w:szCs w:val="20"/>
                <w:color w:val="auto"/>
              </w:rPr>
            </w:pPr>
            <w:r>
              <w:rPr>
                <w:rFonts w:ascii="Arial" w:cs="Arial" w:eastAsia="Arial" w:hAnsi="Arial"/>
                <w:sz w:val="14"/>
                <w:szCs w:val="14"/>
                <w:color w:val="auto"/>
              </w:rPr>
              <w:t>Bylaws of Warrior Well Services, Inc., an Illinois corporation</w:t>
            </w:r>
          </w:p>
        </w:tc>
      </w:tr>
      <w:tr>
        <w:trPr>
          <w:trHeight w:val="332"/>
        </w:trPr>
        <w:tc>
          <w:tcPr>
            <w:tcW w:w="1500" w:type="dxa"/>
            <w:vAlign w:val="bottom"/>
          </w:tcPr>
          <w:p>
            <w:pPr>
              <w:spacing w:after="0"/>
              <w:rPr>
                <w:sz w:val="20"/>
                <w:szCs w:val="20"/>
                <w:color w:val="auto"/>
              </w:rPr>
            </w:pPr>
            <w:r>
              <w:rPr>
                <w:rFonts w:ascii="Arial" w:cs="Arial" w:eastAsia="Arial" w:hAnsi="Arial"/>
                <w:sz w:val="14"/>
                <w:szCs w:val="14"/>
                <w:color w:val="auto"/>
              </w:rPr>
              <w:t>Exhibit T3B-31*</w:t>
            </w:r>
          </w:p>
        </w:tc>
        <w:tc>
          <w:tcPr>
            <w:tcW w:w="10000" w:type="dxa"/>
            <w:vAlign w:val="bottom"/>
          </w:tcPr>
          <w:p>
            <w:pPr>
              <w:ind w:left="560"/>
              <w:spacing w:after="0"/>
              <w:rPr>
                <w:sz w:val="20"/>
                <w:szCs w:val="20"/>
                <w:color w:val="auto"/>
              </w:rPr>
            </w:pPr>
            <w:r>
              <w:rPr>
                <w:rFonts w:ascii="Arial" w:cs="Arial" w:eastAsia="Arial" w:hAnsi="Arial"/>
                <w:sz w:val="14"/>
                <w:szCs w:val="14"/>
                <w:color w:val="auto"/>
              </w:rPr>
              <w:t>Articles of Association of Weatherford (Nova Scotia) ULC, a Nova Scotia unlimited liability corporation</w:t>
            </w:r>
          </w:p>
        </w:tc>
      </w:tr>
      <w:tr>
        <w:trPr>
          <w:trHeight w:val="332"/>
        </w:trPr>
        <w:tc>
          <w:tcPr>
            <w:tcW w:w="1500" w:type="dxa"/>
            <w:vAlign w:val="bottom"/>
          </w:tcPr>
          <w:p>
            <w:pPr>
              <w:spacing w:after="0"/>
              <w:rPr>
                <w:sz w:val="24"/>
                <w:szCs w:val="24"/>
                <w:color w:val="auto"/>
              </w:rPr>
            </w:pPr>
          </w:p>
        </w:tc>
        <w:tc>
          <w:tcPr>
            <w:tcW w:w="10000" w:type="dxa"/>
            <w:vAlign w:val="bottom"/>
          </w:tcPr>
          <w:p>
            <w:pPr>
              <w:ind w:left="4200"/>
              <w:spacing w:after="0"/>
              <w:rPr>
                <w:sz w:val="20"/>
                <w:szCs w:val="20"/>
                <w:color w:val="auto"/>
              </w:rPr>
            </w:pPr>
            <w:r>
              <w:rPr>
                <w:rFonts w:ascii="Arial" w:cs="Arial" w:eastAsia="Arial" w:hAnsi="Arial"/>
                <w:sz w:val="14"/>
                <w:szCs w:val="14"/>
                <w:color w:val="auto"/>
              </w:rPr>
              <w:t>7</w:t>
            </w:r>
          </w:p>
        </w:tc>
      </w:tr>
      <w:tr>
        <w:trPr>
          <w:trHeight w:val="100"/>
        </w:trPr>
        <w:tc>
          <w:tcPr>
            <w:tcW w:w="1500" w:type="dxa"/>
            <w:vAlign w:val="bottom"/>
            <w:tcBorders>
              <w:bottom w:val="single" w:sz="8" w:color="808080"/>
            </w:tcBorders>
          </w:tcPr>
          <w:p>
            <w:pPr>
              <w:spacing w:after="0"/>
              <w:rPr>
                <w:sz w:val="8"/>
                <w:szCs w:val="8"/>
                <w:color w:val="auto"/>
              </w:rPr>
            </w:pPr>
          </w:p>
        </w:tc>
        <w:tc>
          <w:tcPr>
            <w:tcW w:w="10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type w:val="continuous"/>
        </w:sectPr>
      </w:pPr>
    </w:p>
    <w:bookmarkStart w:id="7" w:name="page8"/>
    <w:bookmarkEnd w:id="7"/>
    <w:p>
      <w:pPr>
        <w:spacing w:after="0"/>
        <w:tabs>
          <w:tab w:leader="none" w:pos="6480" w:val="left"/>
        </w:tabs>
        <w:rPr>
          <w:sz w:val="20"/>
          <w:szCs w:val="20"/>
          <w:color w:val="auto"/>
        </w:rPr>
      </w:pPr>
      <w:r>
        <w:rPr>
          <w:rFonts w:ascii="Arial" w:cs="Arial" w:eastAsia="Arial" w:hAnsi="Arial"/>
          <w:sz w:val="9"/>
          <w:szCs w:val="9"/>
          <w:b w:val="1"/>
          <w:bCs w:val="1"/>
          <w:color w:val="auto"/>
        </w:rPr>
        <w:t>Exhibit</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7837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Exhibit T3B-32*</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Weatherford (PTWI), L.L.C., a Delaware limited liability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T3B-33*</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Weatherford Artificial Lift Systems, LLC, a Delaware limited liability company, as amended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T3B-34*</w:t>
            </w:r>
          </w:p>
        </w:tc>
        <w:tc>
          <w:tcPr>
            <w:tcW w:w="9960" w:type="dxa"/>
            <w:vAlign w:val="bottom"/>
          </w:tcPr>
          <w:p>
            <w:pPr>
              <w:ind w:left="520"/>
              <w:spacing w:after="0"/>
              <w:rPr>
                <w:sz w:val="20"/>
                <w:szCs w:val="20"/>
                <w:color w:val="auto"/>
              </w:rPr>
            </w:pPr>
            <w:r>
              <w:rPr>
                <w:rFonts w:ascii="Arial" w:cs="Arial" w:eastAsia="Arial" w:hAnsi="Arial"/>
                <w:sz w:val="14"/>
                <w:szCs w:val="14"/>
                <w:color w:val="auto"/>
              </w:rPr>
              <w:t>Constitution of Weatherford Australia Pty Limited, an Australian proprietary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T3B-35*</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Bye-Laws of Weatherford Bermuda Holdings Ltd., a Bermuda exempted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T3B-36*</w:t>
            </w:r>
          </w:p>
        </w:tc>
        <w:tc>
          <w:tcPr>
            <w:tcW w:w="9960" w:type="dxa"/>
            <w:vAlign w:val="bottom"/>
          </w:tcPr>
          <w:p>
            <w:pPr>
              <w:ind w:left="520"/>
              <w:spacing w:after="0"/>
              <w:rPr>
                <w:sz w:val="20"/>
                <w:szCs w:val="20"/>
                <w:color w:val="auto"/>
              </w:rPr>
            </w:pPr>
            <w:r>
              <w:rPr>
                <w:rFonts w:ascii="Arial" w:cs="Arial" w:eastAsia="Arial" w:hAnsi="Arial"/>
                <w:sz w:val="14"/>
                <w:szCs w:val="14"/>
                <w:color w:val="auto"/>
              </w:rPr>
              <w:t>By-Law No. 1 of Weatherford Canada Ltd., an Alberta corporation</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T3B-37*</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Articles of Association of Weatherford Colombia Limited, a British Virgin Islands international business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T3B-38*</w:t>
            </w:r>
          </w:p>
        </w:tc>
        <w:tc>
          <w:tcPr>
            <w:tcW w:w="9960" w:type="dxa"/>
            <w:vAlign w:val="bottom"/>
          </w:tcPr>
          <w:p>
            <w:pPr>
              <w:ind w:left="520"/>
              <w:spacing w:after="0"/>
              <w:rPr>
                <w:sz w:val="20"/>
                <w:szCs w:val="20"/>
                <w:color w:val="auto"/>
              </w:rPr>
            </w:pPr>
            <w:r>
              <w:rPr>
                <w:rFonts w:ascii="Arial" w:cs="Arial" w:eastAsia="Arial" w:hAnsi="Arial"/>
                <w:sz w:val="14"/>
                <w:szCs w:val="14"/>
                <w:color w:val="auto"/>
              </w:rPr>
              <w:t>By-Laws of Weatherford DISC Inc., a Nevada corporation</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T3B-39*</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Articles of Association of Weatherford Drilling International (BVI) Ltd., a British Virgin Islands international business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T3B-40*</w:t>
            </w:r>
          </w:p>
        </w:tc>
        <w:tc>
          <w:tcPr>
            <w:tcW w:w="9960" w:type="dxa"/>
            <w:vAlign w:val="bottom"/>
          </w:tcPr>
          <w:p>
            <w:pPr>
              <w:ind w:left="520"/>
              <w:spacing w:after="0"/>
              <w:rPr>
                <w:sz w:val="20"/>
                <w:szCs w:val="20"/>
                <w:color w:val="auto"/>
              </w:rPr>
            </w:pPr>
            <w:r>
              <w:rPr>
                <w:rFonts w:ascii="Arial" w:cs="Arial" w:eastAsia="Arial" w:hAnsi="Arial"/>
                <w:sz w:val="14"/>
                <w:szCs w:val="14"/>
                <w:color w:val="auto"/>
                <w:w w:val="96"/>
              </w:rPr>
              <w:t>Amended and Restated Articles of Association of Weatherford Drilling International Holdings (BVI) Ltd., a British Virgin Islands international business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T3B-41*</w:t>
            </w:r>
          </w:p>
        </w:tc>
        <w:tc>
          <w:tcPr>
            <w:tcW w:w="9960" w:type="dxa"/>
            <w:vAlign w:val="bottom"/>
          </w:tcPr>
          <w:p>
            <w:pPr>
              <w:ind w:left="520"/>
              <w:spacing w:after="0"/>
              <w:rPr>
                <w:sz w:val="20"/>
                <w:szCs w:val="20"/>
                <w:color w:val="auto"/>
              </w:rPr>
            </w:pPr>
            <w:r>
              <w:rPr>
                <w:rFonts w:ascii="Arial" w:cs="Arial" w:eastAsia="Arial" w:hAnsi="Arial"/>
                <w:sz w:val="14"/>
                <w:szCs w:val="14"/>
                <w:color w:val="auto"/>
              </w:rPr>
              <w:t>Regulations of Weatherford Global Services LLC, a Louisiana limited liability company, as amended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T3B-42*</w:t>
            </w:r>
          </w:p>
        </w:tc>
        <w:tc>
          <w:tcPr>
            <w:tcW w:w="9960" w:type="dxa"/>
            <w:vAlign w:val="bottom"/>
          </w:tcPr>
          <w:p>
            <w:pPr>
              <w:ind w:left="520"/>
              <w:spacing w:after="0"/>
              <w:rPr>
                <w:sz w:val="20"/>
                <w:szCs w:val="20"/>
                <w:color w:val="auto"/>
              </w:rPr>
            </w:pPr>
            <w:r>
              <w:rPr>
                <w:rFonts w:ascii="Arial" w:cs="Arial" w:eastAsia="Arial" w:hAnsi="Arial"/>
                <w:sz w:val="14"/>
                <w:szCs w:val="14"/>
                <w:color w:val="auto"/>
              </w:rPr>
              <w:t>Bye-Laws of Weatherford Holdings (Bermuda) Ltd., a Bermuda exempted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T3B-43*</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Articles of Association of Weatherford Holdings (BVI) Ltd., a British Virgin Islands international business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T3B-44*</w:t>
            </w:r>
          </w:p>
        </w:tc>
        <w:tc>
          <w:tcPr>
            <w:tcW w:w="9960" w:type="dxa"/>
            <w:vAlign w:val="bottom"/>
          </w:tcPr>
          <w:p>
            <w:pPr>
              <w:ind w:left="520"/>
              <w:spacing w:after="0"/>
              <w:rPr>
                <w:sz w:val="20"/>
                <w:szCs w:val="20"/>
                <w:color w:val="auto"/>
              </w:rPr>
            </w:pPr>
            <w:r>
              <w:rPr>
                <w:rFonts w:ascii="Arial" w:cs="Arial" w:eastAsia="Arial" w:hAnsi="Arial"/>
                <w:sz w:val="14"/>
                <w:szCs w:val="14"/>
                <w:color w:val="auto"/>
              </w:rPr>
              <w:t>[Reserved.]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T3B-45*</w:t>
            </w:r>
          </w:p>
        </w:tc>
        <w:tc>
          <w:tcPr>
            <w:tcW w:w="9960" w:type="dxa"/>
            <w:vAlign w:val="bottom"/>
          </w:tcPr>
          <w:p>
            <w:pPr>
              <w:ind w:left="520"/>
              <w:spacing w:after="0"/>
              <w:rPr>
                <w:sz w:val="20"/>
                <w:szCs w:val="20"/>
                <w:color w:val="auto"/>
              </w:rPr>
            </w:pPr>
            <w:r>
              <w:rPr>
                <w:rFonts w:ascii="Arial" w:cs="Arial" w:eastAsia="Arial" w:hAnsi="Arial"/>
                <w:sz w:val="14"/>
                <w:szCs w:val="14"/>
                <w:color w:val="auto"/>
              </w:rPr>
              <w:t>Bye-Laws of Weatherford International Holding (Bermuda) Ltd., a Bermuda exempted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T3B-46*</w:t>
            </w:r>
          </w:p>
        </w:tc>
        <w:tc>
          <w:tcPr>
            <w:tcW w:w="9960" w:type="dxa"/>
            <w:vAlign w:val="bottom"/>
          </w:tcPr>
          <w:p>
            <w:pPr>
              <w:ind w:left="520"/>
              <w:spacing w:after="0"/>
              <w:rPr>
                <w:sz w:val="20"/>
                <w:szCs w:val="20"/>
                <w:color w:val="auto"/>
              </w:rPr>
            </w:pPr>
            <w:r>
              <w:rPr>
                <w:rFonts w:ascii="Arial" w:cs="Arial" w:eastAsia="Arial" w:hAnsi="Arial"/>
                <w:sz w:val="14"/>
                <w:szCs w:val="14"/>
                <w:color w:val="auto"/>
              </w:rPr>
              <w:t>[Reserved.]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T3B-47*</w:t>
            </w:r>
          </w:p>
        </w:tc>
        <w:tc>
          <w:tcPr>
            <w:tcW w:w="9960" w:type="dxa"/>
            <w:vAlign w:val="bottom"/>
          </w:tcPr>
          <w:p>
            <w:pPr>
              <w:ind w:left="520"/>
              <w:spacing w:after="0"/>
              <w:rPr>
                <w:sz w:val="20"/>
                <w:szCs w:val="20"/>
                <w:color w:val="auto"/>
              </w:rPr>
            </w:pPr>
            <w:r>
              <w:rPr>
                <w:rFonts w:ascii="Arial" w:cs="Arial" w:eastAsia="Arial" w:hAnsi="Arial"/>
                <w:sz w:val="14"/>
                <w:szCs w:val="14"/>
                <w:color w:val="auto"/>
              </w:rPr>
              <w:t>Bylaws of Weatherford Investment Inc., a Delaware corporation</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T3B-48*</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Limited Liability Company Agreement of Weatherford Latin America LLC, a Delaware limited liability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T3B-49*</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Weatherford Management, LLC, a Delaware limited liability company, as amended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T3B-50*</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Articles of Association of Weatherford Oil Tool Middle East Limited, a British Virgin Islands international business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T3B-51*</w:t>
            </w:r>
          </w:p>
        </w:tc>
        <w:tc>
          <w:tcPr>
            <w:tcW w:w="9960" w:type="dxa"/>
            <w:vAlign w:val="bottom"/>
          </w:tcPr>
          <w:p>
            <w:pPr>
              <w:ind w:left="520"/>
              <w:spacing w:after="0"/>
              <w:rPr>
                <w:sz w:val="20"/>
                <w:szCs w:val="20"/>
                <w:color w:val="auto"/>
              </w:rPr>
            </w:pPr>
            <w:r>
              <w:rPr>
                <w:rFonts w:ascii="Arial" w:cs="Arial" w:eastAsia="Arial" w:hAnsi="Arial"/>
                <w:sz w:val="14"/>
                <w:szCs w:val="14"/>
                <w:color w:val="auto"/>
              </w:rPr>
              <w:t>Bye-Laws of Weatherford Pangaea Holdings Ltd., a Bermuda exempted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T3B-52*</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Bye-Laws of Weatherford Services, Ltd., a Bermuda exempted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T3B-53*</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Weatherford Technology Holdings, LLC, a Delaware limited liability company, as amended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T3B-54*</w:t>
            </w:r>
          </w:p>
        </w:tc>
        <w:tc>
          <w:tcPr>
            <w:tcW w:w="9960" w:type="dxa"/>
            <w:vAlign w:val="bottom"/>
          </w:tcPr>
          <w:p>
            <w:pPr>
              <w:ind w:left="520"/>
              <w:spacing w:after="0"/>
              <w:rPr>
                <w:sz w:val="20"/>
                <w:szCs w:val="20"/>
                <w:color w:val="auto"/>
              </w:rPr>
            </w:pPr>
            <w:r>
              <w:rPr>
                <w:rFonts w:ascii="Arial" w:cs="Arial" w:eastAsia="Arial" w:hAnsi="Arial"/>
                <w:sz w:val="14"/>
                <w:szCs w:val="14"/>
                <w:color w:val="auto"/>
              </w:rPr>
              <w:t>[Reserved.]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T3B-55*</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Articles of Partnership in Commendam of Weatherford U.S., L.P., a Louisiana limited partnership</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T3B-56*</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Weatherford URS Holdings, LLC, a Delaware limited liability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T3B-57*</w:t>
            </w:r>
          </w:p>
        </w:tc>
        <w:tc>
          <w:tcPr>
            <w:tcW w:w="9960" w:type="dxa"/>
            <w:vAlign w:val="bottom"/>
          </w:tcPr>
          <w:p>
            <w:pPr>
              <w:ind w:left="520"/>
              <w:spacing w:after="0"/>
              <w:rPr>
                <w:sz w:val="20"/>
                <w:szCs w:val="20"/>
                <w:color w:val="auto"/>
              </w:rPr>
            </w:pPr>
            <w:r>
              <w:rPr>
                <w:rFonts w:ascii="Arial" w:cs="Arial" w:eastAsia="Arial" w:hAnsi="Arial"/>
                <w:sz w:val="14"/>
                <w:szCs w:val="14"/>
                <w:color w:val="auto"/>
              </w:rPr>
              <w:t>Bylaws of Weatherford/Lamb, Inc., a Delaware corporation</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T3B-58*</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WEUS Holding, LLC, a Delaware limited liability company, as amended</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T3B-59*</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WIHBV LLC, a Delaware limited liability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T3B-60*</w:t>
            </w:r>
          </w:p>
        </w:tc>
        <w:tc>
          <w:tcPr>
            <w:tcW w:w="9960" w:type="dxa"/>
            <w:vAlign w:val="bottom"/>
          </w:tcPr>
          <w:p>
            <w:pPr>
              <w:ind w:left="520"/>
              <w:spacing w:after="0"/>
              <w:rPr>
                <w:sz w:val="20"/>
                <w:szCs w:val="20"/>
                <w:color w:val="auto"/>
              </w:rPr>
            </w:pPr>
            <w:r>
              <w:rPr>
                <w:rFonts w:ascii="Arial" w:cs="Arial" w:eastAsia="Arial" w:hAnsi="Arial"/>
                <w:sz w:val="14"/>
                <w:szCs w:val="14"/>
                <w:color w:val="auto"/>
              </w:rPr>
              <w:t>Amended and Restated Bye-Laws of WOFS Assurance limited, a Bermuda exempted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T3B-61*</w:t>
            </w:r>
          </w:p>
        </w:tc>
        <w:tc>
          <w:tcPr>
            <w:tcW w:w="9960" w:type="dxa"/>
            <w:vAlign w:val="bottom"/>
          </w:tcPr>
          <w:p>
            <w:pPr>
              <w:ind w:left="520"/>
              <w:spacing w:after="0"/>
              <w:rPr>
                <w:sz w:val="20"/>
                <w:szCs w:val="20"/>
                <w:color w:val="auto"/>
              </w:rPr>
            </w:pPr>
            <w:r>
              <w:rPr>
                <w:rFonts w:ascii="Arial" w:cs="Arial" w:eastAsia="Arial" w:hAnsi="Arial"/>
                <w:sz w:val="14"/>
                <w:szCs w:val="14"/>
                <w:color w:val="auto"/>
              </w:rPr>
              <w:t>Limited Liability Company Agreement of WUS Holding, L.L.C., a Delaware limited liability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T3B-62</w:t>
            </w:r>
          </w:p>
        </w:tc>
        <w:tc>
          <w:tcPr>
            <w:tcW w:w="9960" w:type="dxa"/>
            <w:vAlign w:val="bottom"/>
          </w:tcPr>
          <w:p>
            <w:pPr>
              <w:ind w:left="520"/>
              <w:spacing w:after="0"/>
              <w:rPr>
                <w:sz w:val="20"/>
                <w:szCs w:val="20"/>
                <w:color w:val="auto"/>
              </w:rPr>
            </w:pPr>
            <w:r>
              <w:rPr>
                <w:rFonts w:ascii="Arial" w:cs="Arial" w:eastAsia="Arial" w:hAnsi="Arial"/>
                <w:sz w:val="14"/>
                <w:szCs w:val="14"/>
                <w:color w:val="auto"/>
              </w:rPr>
              <w:t>Constitution of Weatherford Irish Holdings Limited, an Irish limited company</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T3C-1</w:t>
            </w:r>
          </w:p>
        </w:tc>
        <w:tc>
          <w:tcPr>
            <w:tcW w:w="9960" w:type="dxa"/>
            <w:vAlign w:val="bottom"/>
          </w:tcPr>
          <w:p>
            <w:pPr>
              <w:ind w:left="520"/>
              <w:spacing w:after="0"/>
              <w:rPr>
                <w:sz w:val="20"/>
                <w:szCs w:val="20"/>
                <w:color w:val="auto"/>
              </w:rPr>
            </w:pPr>
            <w:r>
              <w:rPr>
                <w:rFonts w:ascii="Arial" w:cs="Arial" w:eastAsia="Arial" w:hAnsi="Arial"/>
                <w:sz w:val="14"/>
                <w:szCs w:val="14"/>
                <w:color w:val="auto"/>
              </w:rPr>
              <w:t>Form of Indenture Governing the 2024 Notes to be issued by Weatherford Delaware</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T3D</w:t>
            </w:r>
          </w:p>
        </w:tc>
        <w:tc>
          <w:tcPr>
            <w:tcW w:w="9960" w:type="dxa"/>
            <w:vAlign w:val="bottom"/>
          </w:tcPr>
          <w:p>
            <w:pPr>
              <w:ind w:left="520"/>
              <w:spacing w:after="0"/>
              <w:rPr>
                <w:sz w:val="20"/>
                <w:szCs w:val="20"/>
                <w:color w:val="auto"/>
              </w:rPr>
            </w:pPr>
            <w:r>
              <w:rPr>
                <w:rFonts w:ascii="Arial" w:cs="Arial" w:eastAsia="Arial" w:hAnsi="Arial"/>
                <w:sz w:val="14"/>
                <w:szCs w:val="14"/>
                <w:color w:val="auto"/>
              </w:rPr>
              <w:t>Not applicable</w:t>
            </w:r>
          </w:p>
        </w:tc>
      </w:tr>
      <w:tr>
        <w:trPr>
          <w:trHeight w:val="332"/>
        </w:trPr>
        <w:tc>
          <w:tcPr>
            <w:tcW w:w="1540" w:type="dxa"/>
            <w:vAlign w:val="bottom"/>
          </w:tcPr>
          <w:p>
            <w:pPr>
              <w:spacing w:after="0"/>
              <w:rPr>
                <w:sz w:val="20"/>
                <w:szCs w:val="20"/>
                <w:color w:val="auto"/>
              </w:rPr>
            </w:pPr>
            <w:r>
              <w:rPr>
                <w:rFonts w:ascii="Arial" w:cs="Arial" w:eastAsia="Arial" w:hAnsi="Arial"/>
                <w:sz w:val="14"/>
                <w:szCs w:val="14"/>
                <w:color w:val="auto"/>
              </w:rPr>
              <w:t>Exhibit T3E-1***</w:t>
            </w:r>
          </w:p>
        </w:tc>
        <w:tc>
          <w:tcPr>
            <w:tcW w:w="9960" w:type="dxa"/>
            <w:vAlign w:val="bottom"/>
          </w:tcPr>
          <w:p>
            <w:pPr>
              <w:ind w:left="520"/>
              <w:spacing w:after="0"/>
              <w:rPr>
                <w:sz w:val="20"/>
                <w:szCs w:val="20"/>
                <w:color w:val="auto"/>
              </w:rPr>
            </w:pPr>
            <w:r>
              <w:rPr>
                <w:rFonts w:ascii="Arial" w:cs="Arial" w:eastAsia="Arial" w:hAnsi="Arial"/>
                <w:sz w:val="14"/>
                <w:szCs w:val="14"/>
                <w:color w:val="auto"/>
              </w:rPr>
              <w:t>Disclosure Statement for the Joint Prepackaged Plan of Reorganization of Weatherford International plc and its Affiliate Debtors, dated June 28, 2019</w:t>
            </w:r>
          </w:p>
        </w:tc>
      </w:tr>
      <w:tr>
        <w:trPr>
          <w:trHeight w:val="332"/>
        </w:trPr>
        <w:tc>
          <w:tcPr>
            <w:tcW w:w="154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4"/>
                <w:szCs w:val="14"/>
                <w:color w:val="auto"/>
              </w:rPr>
              <w:t>8</w:t>
            </w:r>
          </w:p>
        </w:tc>
      </w:tr>
      <w:tr>
        <w:trPr>
          <w:trHeight w:val="100"/>
        </w:trPr>
        <w:tc>
          <w:tcPr>
            <w:tcW w:w="1540" w:type="dxa"/>
            <w:vAlign w:val="bottom"/>
            <w:tcBorders>
              <w:bottom w:val="single" w:sz="8" w:color="808080"/>
            </w:tcBorders>
          </w:tcPr>
          <w:p>
            <w:pPr>
              <w:spacing w:after="0"/>
              <w:rPr>
                <w:sz w:val="8"/>
                <w:szCs w:val="8"/>
                <w:color w:val="auto"/>
              </w:rPr>
            </w:pPr>
          </w:p>
        </w:tc>
        <w:tc>
          <w:tcPr>
            <w:tcW w:w="99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31"/>
        </w:trPr>
        <w:tc>
          <w:tcPr>
            <w:tcW w:w="1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w:t>
            </w:r>
          </w:p>
        </w:tc>
        <w:tc>
          <w:tcPr>
            <w:tcW w:w="280" w:type="dxa"/>
            <w:vAlign w:val="bottom"/>
          </w:tcPr>
          <w:p>
            <w:pPr>
              <w:spacing w:after="0"/>
              <w:rPr>
                <w:sz w:val="11"/>
                <w:szCs w:val="11"/>
                <w:color w:val="auto"/>
              </w:rPr>
            </w:pPr>
          </w:p>
        </w:tc>
        <w:tc>
          <w:tcPr>
            <w:tcW w:w="9400" w:type="dxa"/>
            <w:vAlign w:val="bottom"/>
            <w:tcBorders>
              <w:bottom w:val="single" w:sz="8" w:color="auto"/>
            </w:tcBorders>
          </w:tcPr>
          <w:p>
            <w:pPr>
              <w:ind w:left="4440"/>
              <w:spacing w:after="0"/>
              <w:rPr>
                <w:sz w:val="20"/>
                <w:szCs w:val="20"/>
                <w:color w:val="auto"/>
              </w:rPr>
            </w:pPr>
            <w:r>
              <w:rPr>
                <w:rFonts w:ascii="Arial" w:cs="Arial" w:eastAsia="Arial" w:hAnsi="Arial"/>
                <w:sz w:val="11"/>
                <w:szCs w:val="11"/>
                <w:b w:val="1"/>
                <w:bCs w:val="1"/>
                <w:color w:val="auto"/>
              </w:rPr>
              <w:t>Description</w:t>
            </w:r>
          </w:p>
        </w:tc>
      </w:tr>
      <w:tr>
        <w:trPr>
          <w:trHeight w:val="321"/>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T3E-2*</w:t>
            </w:r>
          </w:p>
        </w:tc>
        <w:tc>
          <w:tcPr>
            <w:tcW w:w="9400" w:type="dxa"/>
            <w:vAlign w:val="bottom"/>
          </w:tcPr>
          <w:p>
            <w:pPr>
              <w:spacing w:after="0"/>
              <w:rPr>
                <w:sz w:val="20"/>
                <w:szCs w:val="20"/>
                <w:color w:val="auto"/>
              </w:rPr>
            </w:pPr>
            <w:r>
              <w:rPr>
                <w:rFonts w:ascii="Arial" w:cs="Arial" w:eastAsia="Arial" w:hAnsi="Arial"/>
                <w:sz w:val="14"/>
                <w:szCs w:val="14"/>
                <w:color w:val="auto"/>
              </w:rPr>
              <w:t>Joint Prepackaged Plan of Reorganization of Weatherford International plc and its Affiliate Debtors, dated June 28, 2019</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T3E-3*</w:t>
            </w:r>
          </w:p>
        </w:tc>
        <w:tc>
          <w:tcPr>
            <w:tcW w:w="9400" w:type="dxa"/>
            <w:vAlign w:val="bottom"/>
          </w:tcPr>
          <w:p>
            <w:pPr>
              <w:spacing w:after="0"/>
              <w:rPr>
                <w:sz w:val="20"/>
                <w:szCs w:val="20"/>
                <w:color w:val="auto"/>
              </w:rPr>
            </w:pPr>
            <w:r>
              <w:rPr>
                <w:rFonts w:ascii="Arial" w:cs="Arial" w:eastAsia="Arial" w:hAnsi="Arial"/>
                <w:sz w:val="14"/>
                <w:szCs w:val="14"/>
                <w:color w:val="auto"/>
                <w:w w:val="99"/>
              </w:rPr>
              <w:t>Backstop Commitment Agreement among Weatherford International plc, the other Debtors and the Commitment Parties party thereto, dated July 1, 2019</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T3E-4*</w:t>
            </w:r>
          </w:p>
        </w:tc>
        <w:tc>
          <w:tcPr>
            <w:tcW w:w="9400" w:type="dxa"/>
            <w:vAlign w:val="bottom"/>
          </w:tcPr>
          <w:p>
            <w:pPr>
              <w:spacing w:after="0"/>
              <w:rPr>
                <w:sz w:val="20"/>
                <w:szCs w:val="20"/>
                <w:color w:val="auto"/>
              </w:rPr>
            </w:pPr>
            <w:r>
              <w:rPr>
                <w:rFonts w:ascii="Arial" w:cs="Arial" w:eastAsia="Arial" w:hAnsi="Arial"/>
                <w:sz w:val="14"/>
                <w:szCs w:val="14"/>
                <w:color w:val="auto"/>
              </w:rPr>
              <w:t>First Amended Joint Prepackaged Plan of Reorganization of Weatherford International plc and its Affiliate Debtors, dated September 3, 2019</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T3E-5</w:t>
            </w:r>
          </w:p>
        </w:tc>
        <w:tc>
          <w:tcPr>
            <w:tcW w:w="9400" w:type="dxa"/>
            <w:vAlign w:val="bottom"/>
          </w:tcPr>
          <w:p>
            <w:pPr>
              <w:spacing w:after="0"/>
              <w:rPr>
                <w:sz w:val="20"/>
                <w:szCs w:val="20"/>
                <w:color w:val="auto"/>
              </w:rPr>
            </w:pPr>
            <w:r>
              <w:rPr>
                <w:rFonts w:ascii="Arial" w:cs="Arial" w:eastAsia="Arial" w:hAnsi="Arial"/>
                <w:sz w:val="14"/>
                <w:szCs w:val="14"/>
                <w:color w:val="auto"/>
              </w:rPr>
              <w:t>Second Amended Joint Prepackaged Plan of Reorganization of Weatherford International plc and its Affiliate Debtors, dated September 9, 2019</w:t>
            </w:r>
          </w:p>
        </w:tc>
      </w:tr>
      <w:tr>
        <w:trPr>
          <w:trHeight w:val="323"/>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T3E-6</w:t>
            </w:r>
          </w:p>
        </w:tc>
        <w:tc>
          <w:tcPr>
            <w:tcW w:w="9400" w:type="dxa"/>
            <w:vAlign w:val="bottom"/>
          </w:tcPr>
          <w:p>
            <w:pPr>
              <w:spacing w:after="0"/>
              <w:rPr>
                <w:sz w:val="20"/>
                <w:szCs w:val="20"/>
                <w:color w:val="auto"/>
              </w:rPr>
            </w:pPr>
            <w:r>
              <w:rPr>
                <w:rFonts w:ascii="Arial" w:cs="Arial" w:eastAsia="Arial" w:hAnsi="Arial"/>
                <w:sz w:val="14"/>
                <w:szCs w:val="14"/>
                <w:color w:val="auto"/>
                <w:w w:val="93"/>
              </w:rPr>
              <w:t>First Amendment to Backstop Commitment Agreement, by and among Weatherford International plc, its Affiliate Debtors and the Commitment Parties, dated as of</w:t>
            </w:r>
          </w:p>
        </w:tc>
      </w:tr>
      <w:tr>
        <w:trPr>
          <w:trHeight w:val="175"/>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0" w:type="dxa"/>
            <w:vAlign w:val="bottom"/>
          </w:tcPr>
          <w:p>
            <w:pPr>
              <w:spacing w:after="0"/>
              <w:rPr>
                <w:sz w:val="20"/>
                <w:szCs w:val="20"/>
                <w:color w:val="auto"/>
              </w:rPr>
            </w:pPr>
            <w:r>
              <w:rPr>
                <w:rFonts w:ascii="Arial" w:cs="Arial" w:eastAsia="Arial" w:hAnsi="Arial"/>
                <w:sz w:val="14"/>
                <w:szCs w:val="14"/>
                <w:color w:val="auto"/>
              </w:rPr>
              <w:t>September 9, 2019</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T3F-1</w:t>
            </w:r>
          </w:p>
        </w:tc>
        <w:tc>
          <w:tcPr>
            <w:tcW w:w="9400" w:type="dxa"/>
            <w:vAlign w:val="bottom"/>
          </w:tcPr>
          <w:p>
            <w:pPr>
              <w:spacing w:after="0"/>
              <w:rPr>
                <w:sz w:val="20"/>
                <w:szCs w:val="20"/>
                <w:color w:val="auto"/>
              </w:rPr>
            </w:pPr>
            <w:r>
              <w:rPr>
                <w:rFonts w:ascii="Arial" w:cs="Arial" w:eastAsia="Arial" w:hAnsi="Arial"/>
                <w:sz w:val="14"/>
                <w:szCs w:val="14"/>
                <w:color w:val="auto"/>
              </w:rPr>
              <w:t>Cross-reference sheet (included in Exhibit T3C-1)</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25.1</w:t>
            </w:r>
          </w:p>
        </w:tc>
        <w:tc>
          <w:tcPr>
            <w:tcW w:w="9400" w:type="dxa"/>
            <w:vAlign w:val="bottom"/>
          </w:tcPr>
          <w:p>
            <w:pPr>
              <w:spacing w:after="0"/>
              <w:rPr>
                <w:sz w:val="20"/>
                <w:szCs w:val="20"/>
                <w:color w:val="auto"/>
              </w:rPr>
            </w:pPr>
            <w:r>
              <w:rPr>
                <w:rFonts w:ascii="Arial" w:cs="Arial" w:eastAsia="Arial" w:hAnsi="Arial"/>
                <w:sz w:val="14"/>
                <w:szCs w:val="14"/>
                <w:color w:val="auto"/>
              </w:rPr>
              <w:t>Form T-1 qualifying the Trustee under each Indenture to be qualified pursuant to this application</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9400" w:type="dxa"/>
            <w:vAlign w:val="bottom"/>
          </w:tcPr>
          <w:p>
            <w:pPr>
              <w:spacing w:after="0"/>
              <w:rPr>
                <w:sz w:val="20"/>
                <w:szCs w:val="20"/>
                <w:color w:val="auto"/>
              </w:rPr>
            </w:pPr>
            <w:r>
              <w:rPr>
                <w:rFonts w:ascii="Arial" w:cs="Arial" w:eastAsia="Arial" w:hAnsi="Arial"/>
                <w:sz w:val="14"/>
                <w:szCs w:val="14"/>
                <w:color w:val="auto"/>
              </w:rPr>
              <w:t>Organizational Chart</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9400" w:type="dxa"/>
            <w:vAlign w:val="bottom"/>
          </w:tcPr>
          <w:p>
            <w:pPr>
              <w:spacing w:after="0"/>
              <w:rPr>
                <w:sz w:val="20"/>
                <w:szCs w:val="20"/>
                <w:color w:val="auto"/>
              </w:rPr>
            </w:pPr>
            <w:r>
              <w:rPr>
                <w:rFonts w:ascii="Arial" w:cs="Arial" w:eastAsia="Arial" w:hAnsi="Arial"/>
                <w:sz w:val="14"/>
                <w:szCs w:val="14"/>
                <w:color w:val="auto"/>
              </w:rPr>
              <w:t>Directors, Executive Officers and Capitalization of each Applicant</w:t>
            </w:r>
          </w:p>
        </w:tc>
      </w:tr>
      <w:tr>
        <w:trPr>
          <w:trHeight w:val="332"/>
        </w:trPr>
        <w:tc>
          <w:tcPr>
            <w:tcW w:w="2060" w:type="dxa"/>
            <w:vAlign w:val="bottom"/>
            <w:gridSpan w:val="2"/>
          </w:tcPr>
          <w:p>
            <w:pPr>
              <w:spacing w:after="0"/>
              <w:rPr>
                <w:sz w:val="20"/>
                <w:szCs w:val="20"/>
                <w:color w:val="auto"/>
              </w:rPr>
            </w:pPr>
            <w:r>
              <w:rPr>
                <w:rFonts w:ascii="Arial" w:cs="Arial" w:eastAsia="Arial" w:hAnsi="Arial"/>
                <w:sz w:val="14"/>
                <w:szCs w:val="14"/>
                <w:color w:val="auto"/>
              </w:rPr>
              <w:t>Exhibit 99.3</w:t>
            </w:r>
          </w:p>
        </w:tc>
        <w:tc>
          <w:tcPr>
            <w:tcW w:w="9400" w:type="dxa"/>
            <w:vAlign w:val="bottom"/>
          </w:tcPr>
          <w:p>
            <w:pPr>
              <w:spacing w:after="0"/>
              <w:rPr>
                <w:sz w:val="20"/>
                <w:szCs w:val="20"/>
                <w:color w:val="auto"/>
              </w:rPr>
            </w:pPr>
            <w:r>
              <w:rPr>
                <w:rFonts w:ascii="Arial" w:cs="Arial" w:eastAsia="Arial" w:hAnsi="Arial"/>
                <w:sz w:val="14"/>
                <w:szCs w:val="14"/>
                <w:color w:val="auto"/>
              </w:rPr>
              <w:t>Principal Owners of Voting Securities of each Applicant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183134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13" w:lineRule="exact"/>
        <w:rPr>
          <w:sz w:val="20"/>
          <w:szCs w:val="20"/>
          <w:color w:val="auto"/>
        </w:rPr>
      </w:pPr>
    </w:p>
    <w:p>
      <w:pPr>
        <w:ind w:left="480" w:hanging="477"/>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Filed previously.</w:t>
      </w:r>
    </w:p>
    <w:p>
      <w:pPr>
        <w:spacing w:after="0" w:line="14" w:lineRule="exact"/>
        <w:rPr>
          <w:sz w:val="20"/>
          <w:szCs w:val="20"/>
          <w:color w:val="auto"/>
        </w:rPr>
      </w:pPr>
    </w:p>
    <w:p>
      <w:pPr>
        <w:ind w:left="480" w:hanging="477"/>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Post Effective Date Organizational Chart to be filed by amendment. Current Organizational Chart filed previously.</w:t>
      </w:r>
    </w:p>
    <w:p>
      <w:pPr>
        <w:spacing w:after="0" w:line="4" w:lineRule="exact"/>
        <w:rPr>
          <w:rFonts w:ascii="Arial" w:cs="Arial" w:eastAsia="Arial" w:hAnsi="Arial"/>
          <w:sz w:val="14"/>
          <w:szCs w:val="14"/>
          <w:color w:val="auto"/>
        </w:rPr>
      </w:pPr>
    </w:p>
    <w:p>
      <w:pPr>
        <w:ind w:left="480" w:hanging="477"/>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exhibits related to the Disclosure Statement attached to Amendment No. 1 to this Form T-3 are available at http://www.primeclerk.com/Weatherford.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88" w:right="21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4"/>
          <w:szCs w:val="14"/>
          <w:b w:val="1"/>
          <w:bCs w:val="1"/>
          <w:color w:val="auto"/>
        </w:rPr>
        <w:t>SIGNATURE</w:t>
      </w:r>
    </w:p>
    <w:p>
      <w:pPr>
        <w:spacing w:after="0" w:line="175"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23rd day of October,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20"/>
                <w:szCs w:val="20"/>
                <w:color w:val="auto"/>
              </w:rPr>
            </w:pPr>
            <w:r>
              <w:rPr>
                <w:rFonts w:ascii="Arial" w:cs="Arial" w:eastAsia="Arial" w:hAnsi="Arial"/>
                <w:sz w:val="14"/>
                <w:szCs w:val="14"/>
                <w:b w:val="1"/>
                <w:bCs w:val="1"/>
                <w:color w:val="auto"/>
              </w:rPr>
              <w:t>(SEAL)</w:t>
            </w: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INTERNATIONAL, LLC</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S. Silverman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Christine M. Morrison</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Joshua S. Silverman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Christine M. Morrison</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Sole Manager of Sole Member</w:t>
            </w:r>
          </w:p>
        </w:tc>
      </w:tr>
    </w:tbl>
    <w:p>
      <w:pPr>
        <w:spacing w:after="0" w:line="157" w:lineRule="exact"/>
        <w:rPr>
          <w:sz w:val="20"/>
          <w:szCs w:val="20"/>
          <w:color w:val="auto"/>
        </w:rPr>
      </w:pPr>
    </w:p>
    <w:p>
      <w:pPr>
        <w:ind w:right="100"/>
        <w:spacing w:after="0" w:line="353" w:lineRule="auto"/>
        <w:rPr>
          <w:sz w:val="20"/>
          <w:szCs w:val="20"/>
          <w:color w:val="auto"/>
        </w:rPr>
      </w:pPr>
      <w:r>
        <w:rPr>
          <w:rFonts w:ascii="Arial" w:cs="Arial" w:eastAsia="Arial" w:hAnsi="Arial"/>
          <w:sz w:val="12"/>
          <w:szCs w:val="12"/>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23rd day of October,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20"/>
                <w:szCs w:val="20"/>
                <w:color w:val="auto"/>
              </w:rPr>
            </w:pPr>
            <w:r>
              <w:rPr>
                <w:rFonts w:ascii="Arial" w:cs="Arial" w:eastAsia="Arial" w:hAnsi="Arial"/>
                <w:sz w:val="14"/>
                <w:szCs w:val="14"/>
                <w:b w:val="1"/>
                <w:bCs w:val="1"/>
                <w:color w:val="auto"/>
              </w:rPr>
              <w:t>(SEAL)</w:t>
            </w: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INTERNATIONAL, LTD.</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Vice President</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ADVANTAGE R&amp;D,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BENMORE IN-DEPTH CORP.</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4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CASE SERVICES, INC.</w:t>
            </w:r>
          </w:p>
        </w:tc>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COLOMBIA PETROLEUM SERVICES CORP.</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COLUMBIA OILFIELD SUPPLY,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DATALOG ACQUISITION,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DISCOVERY LOGGING,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EDINBURGH PETROLEUM SERVICES AMERICAS INCORPORATED</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EPRODUCTION SOLUTIONS,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HIGH PRESSURE INTEGRITY,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IN-DEPTH SYSTEMS,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INTERNATIONAL LOGGING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INTERNATIONAL LOGGING S.A.,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PD HOLDINGS (USA), L.P.</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PRECISION DRILLING GP,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PRECISION ENERGY SERVICES,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PRECISION OILFIELD SERVICES, LLP</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STEALTH OIL &amp; GAS,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VISEAN INFORMATION SERVICES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(PTWI),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ARTIFICIAL LIFT SYSTEMS,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DISC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GLOBAL SERVICES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INVESTMENT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LATIN AMERICA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MANAGEMENT,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TECHNOLOGY HOLDINGS,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U.S., L.P.</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URS HOLDINGS, LLC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WEATHERFORD/LAMB, INC.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40" w:type="dxa"/>
            <w:vAlign w:val="bottom"/>
            <w:gridSpan w:val="2"/>
          </w:tcPr>
          <w:p>
            <w:pPr>
              <w:ind w:left="460"/>
              <w:spacing w:after="0"/>
              <w:rPr>
                <w:sz w:val="20"/>
                <w:szCs w:val="20"/>
                <w:color w:val="auto"/>
              </w:rPr>
            </w:pPr>
            <w:r>
              <w:rPr>
                <w:rFonts w:ascii="Arial" w:cs="Arial" w:eastAsia="Arial" w:hAnsi="Arial"/>
                <w:sz w:val="14"/>
                <w:szCs w:val="14"/>
                <w:b w:val="1"/>
                <w:bCs w:val="1"/>
                <w:color w:val="auto"/>
              </w:rPr>
              <w:t>WEUS HOLDING, LLC</w:t>
            </w:r>
          </w:p>
        </w:tc>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40" w:type="dxa"/>
            <w:vAlign w:val="bottom"/>
            <w:gridSpan w:val="2"/>
          </w:tcPr>
          <w:p>
            <w:pPr>
              <w:ind w:left="460"/>
              <w:spacing w:after="0"/>
              <w:rPr>
                <w:sz w:val="20"/>
                <w:szCs w:val="20"/>
                <w:color w:val="auto"/>
              </w:rPr>
            </w:pPr>
            <w:r>
              <w:rPr>
                <w:rFonts w:ascii="Arial" w:cs="Arial" w:eastAsia="Arial" w:hAnsi="Arial"/>
                <w:sz w:val="14"/>
                <w:szCs w:val="14"/>
                <w:b w:val="1"/>
                <w:bCs w:val="1"/>
                <w:color w:val="auto"/>
              </w:rPr>
              <w:t>WIHBV LLC</w:t>
            </w:r>
          </w:p>
        </w:tc>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940" w:type="dxa"/>
            <w:vAlign w:val="bottom"/>
            <w:gridSpan w:val="2"/>
          </w:tcPr>
          <w:p>
            <w:pPr>
              <w:ind w:left="460"/>
              <w:spacing w:after="0"/>
              <w:rPr>
                <w:sz w:val="20"/>
                <w:szCs w:val="20"/>
                <w:color w:val="auto"/>
              </w:rPr>
            </w:pPr>
            <w:r>
              <w:rPr>
                <w:rFonts w:ascii="Arial" w:cs="Arial" w:eastAsia="Arial" w:hAnsi="Arial"/>
                <w:sz w:val="14"/>
                <w:szCs w:val="14"/>
                <w:b w:val="1"/>
                <w:bCs w:val="1"/>
                <w:color w:val="auto"/>
                <w:w w:val="98"/>
              </w:rPr>
              <w:t>WUS HOLDING, L.L.C.</w:t>
            </w:r>
          </w:p>
        </w:tc>
        <w:tc>
          <w:tcPr>
            <w:tcW w:w="4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S. Silverman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Christine M. Morrison</w:t>
            </w:r>
          </w:p>
        </w:tc>
        <w:tc>
          <w:tcPr>
            <w:tcW w:w="40" w:type="dxa"/>
            <w:vAlign w:val="bottom"/>
          </w:tcPr>
          <w:p>
            <w:pPr>
              <w:spacing w:after="0"/>
              <w:rPr>
                <w:sz w:val="24"/>
                <w:szCs w:val="24"/>
                <w:color w:val="auto"/>
              </w:rPr>
            </w:pP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Joshua S. Silverman</w:t>
            </w:r>
          </w:p>
        </w:tc>
        <w:tc>
          <w:tcPr>
            <w:tcW w:w="1100" w:type="dxa"/>
            <w:vAlign w:val="bottom"/>
          </w:tcPr>
          <w:p>
            <w:pPr>
              <w:spacing w:after="0"/>
              <w:rPr>
                <w:sz w:val="12"/>
                <w:szCs w:val="12"/>
                <w:color w:val="auto"/>
              </w:rPr>
            </w:pPr>
          </w:p>
        </w:tc>
        <w:tc>
          <w:tcPr>
            <w:tcW w:w="84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000" w:type="dxa"/>
            <w:vAlign w:val="bottom"/>
          </w:tcPr>
          <w:p>
            <w:pPr>
              <w:spacing w:after="0" w:line="147" w:lineRule="exact"/>
              <w:rPr>
                <w:sz w:val="20"/>
                <w:szCs w:val="20"/>
                <w:color w:val="auto"/>
              </w:rPr>
            </w:pPr>
            <w:r>
              <w:rPr>
                <w:rFonts w:ascii="Arial" w:cs="Arial" w:eastAsia="Arial" w:hAnsi="Arial"/>
                <w:sz w:val="14"/>
                <w:szCs w:val="14"/>
                <w:color w:val="auto"/>
              </w:rPr>
              <w:t>Christine M. Morrison</w:t>
            </w:r>
          </w:p>
        </w:tc>
        <w:tc>
          <w:tcPr>
            <w:tcW w:w="40" w:type="dxa"/>
            <w:vAlign w:val="bottom"/>
          </w:tcPr>
          <w:p>
            <w:pPr>
              <w:spacing w:after="0"/>
              <w:rPr>
                <w:sz w:val="12"/>
                <w:szCs w:val="12"/>
                <w:color w:val="auto"/>
              </w:rPr>
            </w:pP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spacing w:after="0"/>
              <w:rPr>
                <w:sz w:val="20"/>
                <w:szCs w:val="20"/>
                <w:color w:val="auto"/>
              </w:rPr>
            </w:pPr>
            <w:r>
              <w:rPr>
                <w:rFonts w:ascii="Arial" w:cs="Arial" w:eastAsia="Arial" w:hAnsi="Arial"/>
                <w:sz w:val="14"/>
                <w:szCs w:val="14"/>
                <w:color w:val="auto"/>
              </w:rPr>
              <w:t>Vice President</w:t>
            </w:r>
          </w:p>
        </w:tc>
        <w:tc>
          <w:tcPr>
            <w:tcW w:w="40" w:type="dxa"/>
            <w:vAlign w:val="bottom"/>
          </w:tcPr>
          <w:p>
            <w:pPr>
              <w:spacing w:after="0"/>
              <w:rPr>
                <w:sz w:val="15"/>
                <w:szCs w:val="15"/>
                <w:color w:val="auto"/>
              </w:rPr>
            </w:pPr>
          </w:p>
        </w:tc>
      </w:tr>
      <w:tr>
        <w:trPr>
          <w:trHeight w:val="332"/>
        </w:trPr>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4"/>
                <w:szCs w:val="14"/>
                <w:color w:val="auto"/>
              </w:rPr>
              <w:t>10</w:t>
            </w:r>
          </w:p>
        </w:tc>
        <w:tc>
          <w:tcPr>
            <w:tcW w:w="8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86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TOOKE ROCKIES, INC.</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VISUAL SYSTEMS, INC.</w:t>
            </w:r>
          </w:p>
        </w:tc>
      </w:tr>
      <w:tr>
        <w:trPr>
          <w:trHeight w:val="179"/>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WARRIOR WELL SERVICES, INC.</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S. Silverman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Christine M. Morrison</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Joshua S. Silverman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Christine M. Morrison</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Vice President</w:t>
            </w:r>
          </w:p>
        </w:tc>
      </w:tr>
      <w:tr>
        <w:trPr>
          <w:trHeight w:val="332"/>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SERVICES, LTD.</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Vice President</w:t>
            </w:r>
          </w:p>
        </w:tc>
      </w:tr>
      <w:tr>
        <w:trPr>
          <w:trHeight w:val="332"/>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INTERNATIONAL PLC</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Christoph Bausch</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Christoph Bausch</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Executive Vice President and Chief Financial Officer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23rd day of October, 2019.</w:t>
      </w:r>
    </w:p>
    <w:p>
      <w:pPr>
        <w:sectPr>
          <w:pgSz w:w="11900" w:h="16838" w:orient="portrait"/>
          <w:cols w:equalWidth="0" w:num="1">
            <w:col w:w="11500"/>
          </w:cols>
          <w:pgMar w:left="220" w:top="291" w:right="17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(SEAL)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INTERNATIONAL DRILLING COMPANY LIMITED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WEATHERFORD DRILLING INTERNATIONAL (BVI) LTD.</w:t>
      </w:r>
    </w:p>
    <w:p>
      <w:pPr>
        <w:spacing w:after="0" w:line="162" w:lineRule="exact"/>
        <w:rPr>
          <w:sz w:val="20"/>
          <w:szCs w:val="20"/>
          <w:color w:val="auto"/>
        </w:rPr>
      </w:pPr>
    </w:p>
    <w:p>
      <w:pPr>
        <w:sectPr>
          <w:pgSz w:w="11900" w:h="16838" w:orient="portrait"/>
          <w:cols w:equalWidth="0" w:num="2">
            <w:col w:w="5260" w:space="720"/>
            <w:col w:w="5520"/>
          </w:cols>
          <w:pgMar w:left="220" w:top="291" w:right="179" w:bottom="1440" w:gutter="0" w:footer="0" w:header="0"/>
          <w:type w:val="continuous"/>
        </w:sectPr>
      </w:pPr>
    </w:p>
    <w:p>
      <w:pPr>
        <w:spacing w:after="0"/>
        <w:rPr>
          <w:sz w:val="20"/>
          <w:szCs w:val="20"/>
          <w:color w:val="auto"/>
        </w:rPr>
      </w:pPr>
      <w:r>
        <w:rPr>
          <w:rFonts w:ascii="Arial" w:cs="Arial" w:eastAsia="Arial" w:hAnsi="Arial"/>
          <w:sz w:val="13"/>
          <w:szCs w:val="13"/>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 Christine M. Morrison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 Andrew David Gold</w:t>
      </w:r>
    </w:p>
    <w:p>
      <w:pPr>
        <w:spacing w:after="0" w:line="37" w:lineRule="exact"/>
        <w:rPr>
          <w:sz w:val="20"/>
          <w:szCs w:val="20"/>
          <w:color w:val="auto"/>
        </w:rPr>
      </w:pPr>
    </w:p>
    <w:p>
      <w:pPr>
        <w:sectPr>
          <w:pgSz w:w="11900" w:h="16838" w:orient="portrait"/>
          <w:cols w:equalWidth="0" w:num="4">
            <w:col w:w="380" w:space="480"/>
            <w:col w:w="4400" w:space="720"/>
            <w:col w:w="200" w:space="440"/>
            <w:col w:w="4880"/>
          </w:cols>
          <w:pgMar w:left="220" w:top="291" w:right="17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860" w:type="dxa"/>
            <w:vAlign w:val="bottom"/>
          </w:tcPr>
          <w:p>
            <w:pPr>
              <w:spacing w:after="0"/>
              <w:rPr>
                <w:sz w:val="12"/>
                <w:szCs w:val="12"/>
                <w:color w:val="auto"/>
              </w:rPr>
            </w:pPr>
          </w:p>
        </w:tc>
        <w:tc>
          <w:tcPr>
            <w:tcW w:w="46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Borders>
              <w:top w:val="single" w:sz="8" w:color="auto"/>
            </w:tcBorders>
          </w:tcPr>
          <w:p>
            <w:pPr>
              <w:ind w:left="240"/>
              <w:spacing w:after="0" w:line="147" w:lineRule="exact"/>
              <w:rPr>
                <w:sz w:val="20"/>
                <w:szCs w:val="20"/>
                <w:color w:val="auto"/>
              </w:rPr>
            </w:pPr>
            <w:r>
              <w:rPr>
                <w:rFonts w:ascii="Arial" w:cs="Arial" w:eastAsia="Arial" w:hAnsi="Arial"/>
                <w:sz w:val="14"/>
                <w:szCs w:val="14"/>
                <w:color w:val="auto"/>
              </w:rPr>
              <w:t>Andrew David Gold</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President</w:t>
            </w:r>
          </w:p>
        </w:tc>
      </w:tr>
      <w:tr>
        <w:trPr>
          <w:trHeight w:val="31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SABRE DRILLING LTD.</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BERMUDA HOLDINGS LTD.</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COLOMBIA LIMITED</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DRILLING INTERNATIONAL HOLDINGS (BVI) LTD.</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HOLDINGS (BERMUDA) LTD.</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INTERNATIONAL HOLDING (BERMUDA) LTD.</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PANGAEA HOLDINGS LTD.</w:t>
            </w:r>
          </w:p>
        </w:tc>
      </w:tr>
      <w:tr>
        <w:trPr>
          <w:trHeight w:val="179"/>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WOFS ASSURANCE LIMITED</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Vice President</w:t>
            </w:r>
          </w:p>
        </w:tc>
      </w:tr>
      <w:tr>
        <w:trPr>
          <w:trHeight w:val="31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HOLDINGS (BVI) LTD.</w:t>
            </w:r>
          </w:p>
        </w:tc>
      </w:tr>
      <w:tr>
        <w:trPr>
          <w:trHeight w:val="179"/>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OIL TOOL MIDDLE EAST LIMITED</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Senior Vice President</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PRECISION ENERGY INTERNATIONAL LTD.</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PRECISION ENERGY SERVICES COLOMBIA LTD.</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PRECISION ENERGY SERVICES ULC</w:t>
            </w:r>
          </w:p>
        </w:tc>
        <w:tc>
          <w:tcPr>
            <w:tcW w:w="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(NOVA SCOTIA) ULC</w:t>
            </w:r>
          </w:p>
        </w:tc>
        <w:tc>
          <w:tcPr>
            <w:tcW w:w="40" w:type="dxa"/>
            <w:vAlign w:val="bottom"/>
          </w:tcPr>
          <w:p>
            <w:pPr>
              <w:spacing w:after="0"/>
              <w:rPr>
                <w:sz w:val="14"/>
                <w:szCs w:val="14"/>
                <w:color w:val="auto"/>
              </w:rPr>
            </w:pPr>
          </w:p>
        </w:tc>
      </w:tr>
      <w:tr>
        <w:trPr>
          <w:trHeight w:val="179"/>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CANADA LTD.</w:t>
            </w:r>
          </w:p>
        </w:tc>
        <w:tc>
          <w:tcPr>
            <w:tcW w:w="40" w:type="dxa"/>
            <w:vAlign w:val="bottom"/>
          </w:tcPr>
          <w:p>
            <w:pPr>
              <w:spacing w:after="0"/>
              <w:rPr>
                <w:sz w:val="15"/>
                <w:szCs w:val="15"/>
                <w:color w:val="auto"/>
              </w:rPr>
            </w:pP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Pamela M. Webb</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Raymond Charles Smith</w:t>
            </w:r>
          </w:p>
        </w:tc>
        <w:tc>
          <w:tcPr>
            <w:tcW w:w="40" w:type="dxa"/>
            <w:vAlign w:val="bottom"/>
          </w:tcPr>
          <w:p>
            <w:pPr>
              <w:spacing w:after="0"/>
              <w:rPr>
                <w:sz w:val="24"/>
                <w:szCs w:val="24"/>
                <w:color w:val="auto"/>
              </w:rPr>
            </w:pP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Pamela M. Webb</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Raymond Charles Smith</w:t>
            </w:r>
          </w:p>
        </w:tc>
        <w:tc>
          <w:tcPr>
            <w:tcW w:w="40" w:type="dxa"/>
            <w:vAlign w:val="bottom"/>
          </w:tcPr>
          <w:p>
            <w:pPr>
              <w:spacing w:after="0"/>
              <w:rPr>
                <w:sz w:val="12"/>
                <w:szCs w:val="12"/>
                <w:color w:val="auto"/>
              </w:rPr>
            </w:pP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Vice President</w:t>
            </w:r>
          </w:p>
        </w:tc>
        <w:tc>
          <w:tcPr>
            <w:tcW w:w="40" w:type="dxa"/>
            <w:vAlign w:val="bottom"/>
          </w:tcPr>
          <w:p>
            <w:pPr>
              <w:spacing w:after="0"/>
              <w:rPr>
                <w:sz w:val="15"/>
                <w:szCs w:val="15"/>
                <w:color w:val="auto"/>
              </w:rPr>
            </w:pPr>
          </w:p>
        </w:tc>
      </w:tr>
      <w:tr>
        <w:trPr>
          <w:trHeight w:val="332"/>
        </w:trPr>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4"/>
                <w:szCs w:val="14"/>
                <w:color w:val="auto"/>
              </w:rPr>
              <w:t>11</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86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type w:val="continuous"/>
        </w:sectPr>
      </w:pPr>
    </w:p>
    <w:bookmarkStart w:id="11" w:name="page12"/>
    <w:bookmarkEnd w:id="11"/>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23rd day of October, 2019.</w:t>
      </w:r>
    </w:p>
    <w:p>
      <w:pPr>
        <w:sectPr>
          <w:pgSz w:w="11900" w:h="16838" w:orient="portrait"/>
          <w:cols w:equalWidth="0" w:num="1">
            <w:col w:w="11500"/>
          </w:cols>
          <w:pgMar w:left="220" w:top="295" w:right="17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(SEAL)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WEATHERFORD HOLDINGS (SWITZERLAND) GMBH</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WEATHERFORD MANAGEMENT COMPANY SWITZERLAND SÀRL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WEATHERFORD WORLDWIDE HOLDINGS GMBH</w:t>
      </w:r>
    </w:p>
    <w:p>
      <w:pPr>
        <w:spacing w:after="0" w:line="162" w:lineRule="exact"/>
        <w:rPr>
          <w:sz w:val="20"/>
          <w:szCs w:val="20"/>
          <w:color w:val="auto"/>
        </w:rPr>
      </w:pPr>
    </w:p>
    <w:p>
      <w:pPr>
        <w:sectPr>
          <w:pgSz w:w="11900" w:h="16838" w:orient="portrait"/>
          <w:cols w:equalWidth="0" w:num="2">
            <w:col w:w="5260" w:space="720"/>
            <w:col w:w="5520"/>
          </w:cols>
          <w:pgMar w:left="220" w:top="295" w:right="179" w:bottom="1440" w:gutter="0" w:footer="0" w:header="0"/>
          <w:type w:val="continuous"/>
        </w:sectPr>
      </w:pPr>
    </w:p>
    <w:p>
      <w:pPr>
        <w:spacing w:after="0"/>
        <w:rPr>
          <w:sz w:val="20"/>
          <w:szCs w:val="20"/>
          <w:color w:val="auto"/>
        </w:rPr>
      </w:pPr>
      <w:r>
        <w:rPr>
          <w:rFonts w:ascii="Arial" w:cs="Arial" w:eastAsia="Arial" w:hAnsi="Arial"/>
          <w:sz w:val="13"/>
          <w:szCs w:val="13"/>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 Cristina Waber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 Valentin Mueller</w:t>
      </w:r>
    </w:p>
    <w:p>
      <w:pPr>
        <w:spacing w:after="0" w:line="37" w:lineRule="exact"/>
        <w:rPr>
          <w:sz w:val="20"/>
          <w:szCs w:val="20"/>
          <w:color w:val="auto"/>
        </w:rPr>
      </w:pPr>
    </w:p>
    <w:p>
      <w:pPr>
        <w:sectPr>
          <w:pgSz w:w="11900" w:h="16838" w:orient="portrait"/>
          <w:cols w:equalWidth="0" w:num="4">
            <w:col w:w="380" w:space="480"/>
            <w:col w:w="4400" w:space="720"/>
            <w:col w:w="200" w:space="440"/>
            <w:col w:w="4880"/>
          </w:cols>
          <w:pgMar w:left="220" w:top="295" w:right="17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860" w:type="dxa"/>
            <w:vAlign w:val="bottom"/>
          </w:tcPr>
          <w:p>
            <w:pPr>
              <w:spacing w:after="0"/>
              <w:rPr>
                <w:sz w:val="12"/>
                <w:szCs w:val="12"/>
                <w:color w:val="auto"/>
              </w:rPr>
            </w:pPr>
          </w:p>
        </w:tc>
        <w:tc>
          <w:tcPr>
            <w:tcW w:w="46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Cristina Waber</w:t>
            </w:r>
          </w:p>
        </w:tc>
        <w:tc>
          <w:tcPr>
            <w:tcW w:w="1100" w:type="dxa"/>
            <w:vAlign w:val="bottom"/>
          </w:tcPr>
          <w:p>
            <w:pPr>
              <w:spacing w:after="0"/>
              <w:rPr>
                <w:sz w:val="12"/>
                <w:szCs w:val="12"/>
                <w:color w:val="auto"/>
              </w:rPr>
            </w:pPr>
          </w:p>
        </w:tc>
        <w:tc>
          <w:tcPr>
            <w:tcW w:w="6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Borders>
              <w:top w:val="single" w:sz="8" w:color="auto"/>
            </w:tcBorders>
          </w:tcPr>
          <w:p>
            <w:pPr>
              <w:ind w:left="240"/>
              <w:spacing w:after="0" w:line="147" w:lineRule="exact"/>
              <w:rPr>
                <w:sz w:val="20"/>
                <w:szCs w:val="20"/>
                <w:color w:val="auto"/>
              </w:rPr>
            </w:pPr>
            <w:r>
              <w:rPr>
                <w:rFonts w:ascii="Arial" w:cs="Arial" w:eastAsia="Arial" w:hAnsi="Arial"/>
                <w:sz w:val="14"/>
                <w:szCs w:val="14"/>
                <w:color w:val="auto"/>
              </w:rPr>
              <w:t>Valentin Mueller</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Managing Officer</w:t>
            </w:r>
          </w:p>
        </w:tc>
      </w:tr>
      <w:tr>
        <w:trPr>
          <w:trHeight w:val="31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PRODUCTS GMBH</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SWITZERLAND TRADING AND DEVELOPMENT GMBH</w:t>
            </w:r>
          </w:p>
        </w:tc>
      </w:tr>
      <w:tr>
        <w:trPr>
          <w:trHeight w:val="179"/>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WOFS INTERNATIONAL FINANCE GMBH</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Mathias Neuenschwander</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Managing Officer</w:t>
            </w:r>
          </w:p>
        </w:tc>
      </w:tr>
      <w:tr>
        <w:trPr>
          <w:trHeight w:val="332"/>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WOFS SWISS FINANCE GMBH</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Arjana Cabariu-Truong</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Arjana Cabariu-Truong</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Manging Officer</w:t>
            </w:r>
          </w:p>
        </w:tc>
      </w:tr>
      <w:tr>
        <w:trPr>
          <w:trHeight w:val="332"/>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SERVICES S. DE R.L.</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Mathias Neuenschwander</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Mathias Neuenschwander</w:t>
            </w:r>
          </w:p>
        </w:tc>
      </w:tr>
      <w:tr>
        <w:trPr>
          <w:trHeight w:val="166"/>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Managing Officer, Weatherford Worldwide Holdings GmbH, as</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Arial" w:cs="Arial" w:eastAsia="Arial" w:hAnsi="Arial"/>
                <w:sz w:val="14"/>
                <w:szCs w:val="14"/>
                <w:color w:val="auto"/>
              </w:rPr>
              <w:t>shareholder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EUROPEAN HOLDINGS (LUXEMBOURG) S.À R.L.</w:t>
            </w:r>
          </w:p>
        </w:tc>
      </w:tr>
      <w:tr>
        <w:trPr>
          <w:trHeight w:val="170"/>
        </w:trPr>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INTERNATIONAL (LUXEMBOURG) HOLDINGS S.À R.L.</w:t>
            </w:r>
          </w:p>
        </w:tc>
      </w:tr>
      <w:tr>
        <w:trPr>
          <w:trHeight w:val="176"/>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Mathias Neuenschwander</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Manager A</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EURASIA LIMITED</w:t>
            </w:r>
          </w:p>
        </w:tc>
        <w:tc>
          <w:tcPr>
            <w:tcW w:w="40" w:type="dxa"/>
            <w:vAlign w:val="bottom"/>
          </w:tcPr>
          <w:p>
            <w:pPr>
              <w:spacing w:after="0"/>
              <w:rPr>
                <w:sz w:val="15"/>
                <w:szCs w:val="15"/>
                <w:color w:val="auto"/>
              </w:rPr>
            </w:pP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Richard Strachan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Neil MacLeod</w:t>
            </w:r>
          </w:p>
        </w:tc>
        <w:tc>
          <w:tcPr>
            <w:tcW w:w="40" w:type="dxa"/>
            <w:vAlign w:val="bottom"/>
          </w:tcPr>
          <w:p>
            <w:pPr>
              <w:spacing w:after="0"/>
              <w:rPr>
                <w:sz w:val="24"/>
                <w:szCs w:val="24"/>
                <w:color w:val="auto"/>
              </w:rPr>
            </w:pP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Richard Strachan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Neil MacLeod</w:t>
            </w:r>
          </w:p>
        </w:tc>
        <w:tc>
          <w:tcPr>
            <w:tcW w:w="40" w:type="dxa"/>
            <w:vAlign w:val="bottom"/>
          </w:tcPr>
          <w:p>
            <w:pPr>
              <w:spacing w:after="0"/>
              <w:rPr>
                <w:sz w:val="12"/>
                <w:szCs w:val="12"/>
                <w:color w:val="auto"/>
              </w:rPr>
            </w:pP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15"/>
                <w:szCs w:val="15"/>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U.K. LIMITED</w:t>
            </w:r>
          </w:p>
        </w:tc>
        <w:tc>
          <w:tcPr>
            <w:tcW w:w="40" w:type="dxa"/>
            <w:vAlign w:val="bottom"/>
          </w:tcPr>
          <w:p>
            <w:pPr>
              <w:spacing w:after="0"/>
              <w:rPr>
                <w:sz w:val="24"/>
                <w:szCs w:val="24"/>
                <w:color w:val="auto"/>
              </w:rPr>
            </w:pP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Richard Strachan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Alexander Olsson</w:t>
            </w:r>
          </w:p>
        </w:tc>
        <w:tc>
          <w:tcPr>
            <w:tcW w:w="40" w:type="dxa"/>
            <w:vAlign w:val="bottom"/>
          </w:tcPr>
          <w:p>
            <w:pPr>
              <w:spacing w:after="0"/>
              <w:rPr>
                <w:sz w:val="24"/>
                <w:szCs w:val="24"/>
                <w:color w:val="auto"/>
              </w:rPr>
            </w:pP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Richard Strachan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Alexander Olsson</w:t>
            </w:r>
          </w:p>
        </w:tc>
        <w:tc>
          <w:tcPr>
            <w:tcW w:w="40" w:type="dxa"/>
            <w:vAlign w:val="bottom"/>
          </w:tcPr>
          <w:p>
            <w:pPr>
              <w:spacing w:after="0"/>
              <w:rPr>
                <w:sz w:val="12"/>
                <w:szCs w:val="12"/>
                <w:color w:val="auto"/>
              </w:rPr>
            </w:pP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15"/>
                <w:szCs w:val="15"/>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IRISH HOLDINGS LIMITED</w:t>
            </w:r>
          </w:p>
        </w:tc>
        <w:tc>
          <w:tcPr>
            <w:tcW w:w="40" w:type="dxa"/>
            <w:vAlign w:val="bottom"/>
          </w:tcPr>
          <w:p>
            <w:pPr>
              <w:spacing w:after="0"/>
              <w:rPr>
                <w:sz w:val="24"/>
                <w:szCs w:val="24"/>
                <w:color w:val="auto"/>
              </w:rPr>
            </w:pP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Neil Alexander MacLeod</w:t>
            </w:r>
          </w:p>
        </w:tc>
        <w:tc>
          <w:tcPr>
            <w:tcW w:w="40" w:type="dxa"/>
            <w:vAlign w:val="bottom"/>
          </w:tcPr>
          <w:p>
            <w:pPr>
              <w:spacing w:after="0"/>
              <w:rPr>
                <w:sz w:val="24"/>
                <w:szCs w:val="24"/>
                <w:color w:val="auto"/>
              </w:rPr>
            </w:pP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Neil Alexander MacLeod</w:t>
            </w:r>
          </w:p>
        </w:tc>
        <w:tc>
          <w:tcPr>
            <w:tcW w:w="40" w:type="dxa"/>
            <w:vAlign w:val="bottom"/>
          </w:tcPr>
          <w:p>
            <w:pPr>
              <w:spacing w:after="0"/>
              <w:rPr>
                <w:sz w:val="12"/>
                <w:szCs w:val="12"/>
                <w:color w:val="auto"/>
              </w:rPr>
            </w:pP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15"/>
                <w:szCs w:val="15"/>
                <w:color w:val="auto"/>
              </w:rPr>
            </w:pPr>
          </w:p>
        </w:tc>
      </w:tr>
      <w:tr>
        <w:trPr>
          <w:trHeight w:val="332"/>
        </w:trPr>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4"/>
                <w:szCs w:val="14"/>
                <w:color w:val="auto"/>
              </w:rPr>
              <w:t>12</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86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type w:val="continuous"/>
        </w:sectPr>
      </w:pPr>
    </w:p>
    <w:bookmarkStart w:id="12" w:name="page13"/>
    <w:bookmarkEnd w:id="12"/>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NETHERLANDS B.V.</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Marcus Johannes van Dijk</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August Willem Versteeg</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Marcus Johannes van Dijk</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August Willem Versteeg</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Managing Director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NORGE AS</w:t>
            </w: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Arve Eide Haraldsen</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Geir Egil Moller Olsen</w:t>
            </w: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Arve Eide Haraldsen</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Geir Egil Moller Olsen</w:t>
            </w: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Chairman of the Board</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23rd day of October,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20"/>
                <w:szCs w:val="20"/>
                <w:color w:val="auto"/>
              </w:rPr>
            </w:pPr>
            <w:r>
              <w:rPr>
                <w:rFonts w:ascii="Arial" w:cs="Arial" w:eastAsia="Arial" w:hAnsi="Arial"/>
                <w:sz w:val="14"/>
                <w:szCs w:val="14"/>
                <w:color w:val="auto"/>
              </w:rPr>
              <w:t>(SEAL)</w:t>
            </w:r>
          </w:p>
        </w:tc>
        <w:tc>
          <w:tcPr>
            <w:tcW w:w="4660" w:type="dxa"/>
            <w:vAlign w:val="bottom"/>
          </w:tcPr>
          <w:p>
            <w:pPr>
              <w:spacing w:after="0"/>
              <w:rPr>
                <w:sz w:val="15"/>
                <w:szCs w:val="15"/>
                <w:color w:val="auto"/>
              </w:rPr>
            </w:pPr>
          </w:p>
        </w:tc>
        <w:tc>
          <w:tcPr>
            <w:tcW w:w="5940" w:type="dxa"/>
            <w:vAlign w:val="bottom"/>
            <w:gridSpan w:val="3"/>
          </w:tcPr>
          <w:p>
            <w:pPr>
              <w:ind w:left="460"/>
              <w:spacing w:after="0"/>
              <w:rPr>
                <w:sz w:val="20"/>
                <w:szCs w:val="20"/>
                <w:color w:val="auto"/>
              </w:rPr>
            </w:pPr>
            <w:r>
              <w:rPr>
                <w:rFonts w:ascii="Arial" w:cs="Arial" w:eastAsia="Arial" w:hAnsi="Arial"/>
                <w:sz w:val="14"/>
                <w:szCs w:val="14"/>
                <w:b w:val="1"/>
                <w:bCs w:val="1"/>
                <w:color w:val="auto"/>
              </w:rPr>
              <w:t>WEATHERFORD AUSTRALIA PTY LIMITED</w:t>
            </w:r>
          </w:p>
        </w:tc>
        <w:tc>
          <w:tcPr>
            <w:tcW w:w="40" w:type="dxa"/>
            <w:vAlign w:val="bottom"/>
          </w:tcPr>
          <w:p>
            <w:pPr>
              <w:spacing w:after="0"/>
              <w:rPr>
                <w:sz w:val="15"/>
                <w:szCs w:val="15"/>
                <w:color w:val="auto"/>
              </w:rPr>
            </w:pPr>
          </w:p>
        </w:tc>
      </w:tr>
      <w:tr>
        <w:trPr>
          <w:trHeight w:val="333"/>
        </w:trPr>
        <w:tc>
          <w:tcPr>
            <w:tcW w:w="860" w:type="dxa"/>
            <w:vAlign w:val="bottom"/>
          </w:tcPr>
          <w:p>
            <w:pPr>
              <w:spacing w:after="0"/>
              <w:rPr>
                <w:sz w:val="20"/>
                <w:szCs w:val="20"/>
                <w:color w:val="auto"/>
              </w:rPr>
            </w:pPr>
            <w:r>
              <w:rPr>
                <w:rFonts w:ascii="Arial" w:cs="Arial" w:eastAsia="Arial" w:hAnsi="Arial"/>
                <w:sz w:val="14"/>
                <w:szCs w:val="14"/>
                <w:color w:val="auto"/>
              </w:rPr>
              <w:t>Attest: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Antonino Gullotti</w:t>
            </w:r>
          </w:p>
        </w:tc>
        <w:tc>
          <w:tcPr>
            <w:tcW w:w="110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Robert Antonio DeGasperis</w:t>
            </w:r>
          </w:p>
        </w:tc>
        <w:tc>
          <w:tcPr>
            <w:tcW w:w="40" w:type="dxa"/>
            <w:vAlign w:val="bottom"/>
          </w:tcPr>
          <w:p>
            <w:pPr>
              <w:spacing w:after="0"/>
              <w:rPr>
                <w:sz w:val="24"/>
                <w:szCs w:val="24"/>
                <w:color w:val="auto"/>
              </w:rPr>
            </w:pPr>
          </w:p>
        </w:tc>
      </w:tr>
      <w:tr>
        <w:trPr>
          <w:trHeight w:val="146"/>
        </w:trPr>
        <w:tc>
          <w:tcPr>
            <w:tcW w:w="860" w:type="dxa"/>
            <w:vAlign w:val="bottom"/>
          </w:tcPr>
          <w:p>
            <w:pPr>
              <w:spacing w:after="0"/>
              <w:rPr>
                <w:sz w:val="12"/>
                <w:szCs w:val="12"/>
                <w:color w:val="auto"/>
              </w:rPr>
            </w:pPr>
          </w:p>
        </w:tc>
        <w:tc>
          <w:tcPr>
            <w:tcW w:w="4660" w:type="dxa"/>
            <w:vAlign w:val="bottom"/>
          </w:tcPr>
          <w:p>
            <w:pPr>
              <w:spacing w:after="0" w:line="147" w:lineRule="exact"/>
              <w:rPr>
                <w:sz w:val="20"/>
                <w:szCs w:val="20"/>
                <w:color w:val="auto"/>
              </w:rPr>
            </w:pPr>
            <w:r>
              <w:rPr>
                <w:rFonts w:ascii="Arial" w:cs="Arial" w:eastAsia="Arial" w:hAnsi="Arial"/>
                <w:sz w:val="14"/>
                <w:szCs w:val="14"/>
                <w:color w:val="auto"/>
              </w:rPr>
              <w:t>Name: Antonino Gullotti</w:t>
            </w:r>
          </w:p>
        </w:tc>
        <w:tc>
          <w:tcPr>
            <w:tcW w:w="110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240" w:type="dxa"/>
            <w:vAlign w:val="bottom"/>
          </w:tcPr>
          <w:p>
            <w:pPr>
              <w:ind w:left="240"/>
              <w:spacing w:after="0" w:line="147" w:lineRule="exact"/>
              <w:rPr>
                <w:sz w:val="20"/>
                <w:szCs w:val="20"/>
                <w:color w:val="auto"/>
              </w:rPr>
            </w:pPr>
            <w:r>
              <w:rPr>
                <w:rFonts w:ascii="Arial" w:cs="Arial" w:eastAsia="Arial" w:hAnsi="Arial"/>
                <w:sz w:val="14"/>
                <w:szCs w:val="14"/>
                <w:color w:val="auto"/>
              </w:rPr>
              <w:t>Robert Antonio DeGasperis</w:t>
            </w:r>
          </w:p>
        </w:tc>
        <w:tc>
          <w:tcPr>
            <w:tcW w:w="40" w:type="dxa"/>
            <w:vAlign w:val="bottom"/>
          </w:tcPr>
          <w:p>
            <w:pPr>
              <w:spacing w:after="0"/>
              <w:rPr>
                <w:sz w:val="12"/>
                <w:szCs w:val="12"/>
                <w:color w:val="auto"/>
              </w:rPr>
            </w:pPr>
          </w:p>
        </w:tc>
      </w:tr>
      <w:tr>
        <w:trPr>
          <w:trHeight w:val="175"/>
        </w:trPr>
        <w:tc>
          <w:tcPr>
            <w:tcW w:w="8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240" w:type="dxa"/>
            <w:vAlign w:val="bottom"/>
          </w:tcPr>
          <w:p>
            <w:pPr>
              <w:ind w:left="24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15"/>
                <w:szCs w:val="15"/>
                <w:color w:val="auto"/>
              </w:rPr>
            </w:pPr>
          </w:p>
        </w:tc>
      </w:tr>
      <w:tr>
        <w:trPr>
          <w:trHeight w:val="332"/>
        </w:trPr>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00" w:type="dxa"/>
            <w:vAlign w:val="bottom"/>
          </w:tcPr>
          <w:p>
            <w:pPr>
              <w:jc w:val="right"/>
              <w:ind w:right="751"/>
              <w:spacing w:after="0"/>
              <w:rPr>
                <w:sz w:val="20"/>
                <w:szCs w:val="20"/>
                <w:color w:val="auto"/>
              </w:rPr>
            </w:pPr>
            <w:r>
              <w:rPr>
                <w:rFonts w:ascii="Arial" w:cs="Arial" w:eastAsia="Arial" w:hAnsi="Arial"/>
                <w:sz w:val="14"/>
                <w:szCs w:val="14"/>
                <w:color w:val="auto"/>
              </w:rPr>
              <w:t>13</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86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13" w:name="page14"/>
    <w:bookmarkEnd w:id="13"/>
    <w:p>
      <w:pPr>
        <w:ind w:left="9320"/>
        <w:spacing w:after="0"/>
        <w:rPr>
          <w:sz w:val="20"/>
          <w:szCs w:val="20"/>
          <w:color w:val="auto"/>
        </w:rPr>
      </w:pPr>
      <w:r>
        <w:rPr>
          <w:rFonts w:ascii="Arial" w:cs="Arial" w:eastAsia="Arial" w:hAnsi="Arial"/>
          <w:sz w:val="13"/>
          <w:szCs w:val="13"/>
          <w:b w:val="1"/>
          <w:bCs w:val="1"/>
          <w:color w:val="auto"/>
        </w:rPr>
        <w:t>Exhibit T3A-76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132080</wp:posOffset>
            </wp:positionV>
            <wp:extent cx="4479290" cy="4768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79290" cy="476885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4" w:name="page15"/>
    <w:bookmarkEnd w:id="14"/>
    <w:p>
      <w:pPr>
        <w:ind w:left="9340"/>
        <w:spacing w:after="0"/>
        <w:rPr>
          <w:sz w:val="20"/>
          <w:szCs w:val="20"/>
          <w:color w:val="auto"/>
        </w:rPr>
      </w:pPr>
      <w:r>
        <w:rPr>
          <w:rFonts w:ascii="Arial" w:cs="Arial" w:eastAsia="Arial" w:hAnsi="Arial"/>
          <w:sz w:val="12"/>
          <w:szCs w:val="12"/>
          <w:b w:val="1"/>
          <w:bCs w:val="1"/>
          <w:color w:val="auto"/>
        </w:rPr>
        <w:t>Exhibit T3B-62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139065</wp:posOffset>
            </wp:positionV>
            <wp:extent cx="4479290" cy="6336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36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3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95250</wp:posOffset>
            </wp:positionV>
            <wp:extent cx="4479290" cy="6329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T3C-1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278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7837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LLC,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Delaware limited liability company,](1)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Issuer,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Irish public limited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Parent Guarantor,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Bermuda exempted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Subsidiary Guarantor,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DEUTSCHE BANK TRUST COMPANY AMERICAS,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Trustee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INDENTURE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170815</wp:posOffset>
            </wp:positionV>
            <wp:extent cx="183769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11.00%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183134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(1) NTD: Notes issued by Delaware entity will be guaranteed by Bermuda and[, if applicable,] notes issued by Bermuda entity will be guaranteed by Delaware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7837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148590</wp:posOffset>
            </wp:positionV>
            <wp:extent cx="7278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329565</wp:posOffset>
            </wp:positionV>
            <wp:extent cx="72974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160" w:type="dxa"/>
            <w:vAlign w:val="bottom"/>
            <w:gridSpan w:val="3"/>
          </w:tcPr>
          <w:p>
            <w:pPr>
              <w:ind w:left="1500"/>
              <w:spacing w:after="0"/>
              <w:rPr>
                <w:sz w:val="20"/>
                <w:szCs w:val="20"/>
                <w:color w:val="auto"/>
              </w:rPr>
            </w:pPr>
            <w:r>
              <w:rPr>
                <w:rFonts w:ascii="Arial" w:cs="Arial" w:eastAsia="Arial" w:hAnsi="Arial"/>
                <w:sz w:val="14"/>
                <w:szCs w:val="14"/>
                <w:b w:val="1"/>
                <w:bCs w:val="1"/>
                <w:color w:val="auto"/>
              </w:rPr>
              <w:t>CROSS-REFERENCE TABLE</w:t>
            </w:r>
          </w:p>
        </w:tc>
        <w:tc>
          <w:tcPr>
            <w:tcW w:w="40" w:type="dxa"/>
            <w:vAlign w:val="bottom"/>
          </w:tcPr>
          <w:p>
            <w:pPr>
              <w:spacing w:after="0"/>
              <w:rPr>
                <w:sz w:val="15"/>
                <w:szCs w:val="15"/>
                <w:color w:val="auto"/>
              </w:rPr>
            </w:pPr>
          </w:p>
        </w:tc>
      </w:tr>
      <w:tr>
        <w:trPr>
          <w:trHeight w:val="264"/>
        </w:trPr>
        <w:tc>
          <w:tcPr>
            <w:tcW w:w="440" w:type="dxa"/>
            <w:vAlign w:val="bottom"/>
          </w:tcPr>
          <w:p>
            <w:pPr>
              <w:spacing w:after="0"/>
              <w:rPr>
                <w:sz w:val="20"/>
                <w:szCs w:val="20"/>
                <w:color w:val="auto"/>
              </w:rPr>
            </w:pPr>
            <w:r>
              <w:rPr>
                <w:rFonts w:ascii="Arial" w:cs="Arial" w:eastAsia="Arial" w:hAnsi="Arial"/>
                <w:sz w:val="11"/>
                <w:szCs w:val="11"/>
                <w:b w:val="1"/>
                <w:bCs w:val="1"/>
                <w:color w:val="auto"/>
              </w:rPr>
              <w:t>TIA</w:t>
            </w:r>
          </w:p>
        </w:tc>
        <w:tc>
          <w:tcPr>
            <w:tcW w:w="286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ind w:left="440"/>
              <w:spacing w:after="0"/>
              <w:rPr>
                <w:sz w:val="20"/>
                <w:szCs w:val="20"/>
                <w:color w:val="auto"/>
              </w:rPr>
            </w:pPr>
            <w:r>
              <w:rPr>
                <w:rFonts w:ascii="Arial" w:cs="Arial" w:eastAsia="Arial" w:hAnsi="Arial"/>
                <w:sz w:val="11"/>
                <w:szCs w:val="11"/>
                <w:b w:val="1"/>
                <w:bCs w:val="1"/>
                <w:color w:val="auto"/>
              </w:rPr>
              <w:t>Indenture</w:t>
            </w:r>
          </w:p>
        </w:tc>
        <w:tc>
          <w:tcPr>
            <w:tcW w:w="40" w:type="dxa"/>
            <w:vAlign w:val="bottom"/>
          </w:tcPr>
          <w:p>
            <w:pPr>
              <w:spacing w:after="0"/>
              <w:rPr>
                <w:sz w:val="22"/>
                <w:szCs w:val="22"/>
                <w:color w:val="auto"/>
              </w:rPr>
            </w:pPr>
          </w:p>
        </w:tc>
      </w:tr>
      <w:tr>
        <w:trPr>
          <w:trHeight w:val="131"/>
        </w:trPr>
        <w:tc>
          <w:tcPr>
            <w:tcW w:w="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Section</w:t>
            </w:r>
          </w:p>
        </w:tc>
        <w:tc>
          <w:tcPr>
            <w:tcW w:w="2860" w:type="dxa"/>
            <w:vAlign w:val="bottom"/>
            <w:tcBorders>
              <w:bottom w:val="single" w:sz="8" w:color="auto"/>
            </w:tcBorders>
          </w:tcPr>
          <w:p>
            <w:pPr>
              <w:spacing w:after="0"/>
              <w:rPr>
                <w:sz w:val="11"/>
                <w:szCs w:val="11"/>
                <w:color w:val="auto"/>
              </w:rPr>
            </w:pPr>
          </w:p>
        </w:tc>
        <w:tc>
          <w:tcPr>
            <w:tcW w:w="652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Section</w:t>
            </w:r>
          </w:p>
        </w:tc>
        <w:tc>
          <w:tcPr>
            <w:tcW w:w="40" w:type="dxa"/>
            <w:vAlign w:val="bottom"/>
          </w:tcPr>
          <w:p>
            <w:pPr>
              <w:spacing w:after="0"/>
              <w:rPr>
                <w:sz w:val="11"/>
                <w:szCs w:val="11"/>
                <w:color w:val="auto"/>
              </w:rPr>
            </w:pPr>
          </w:p>
        </w:tc>
      </w:tr>
      <w:tr>
        <w:trPr>
          <w:trHeight w:val="156"/>
        </w:trPr>
        <w:tc>
          <w:tcPr>
            <w:tcW w:w="4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310</w:t>
            </w:r>
          </w:p>
        </w:tc>
        <w:tc>
          <w:tcPr>
            <w:tcW w:w="2860" w:type="dxa"/>
            <w:vAlign w:val="bottom"/>
            <w:shd w:val="clear" w:color="auto" w:fill="CCEEFF"/>
          </w:tcPr>
          <w:p>
            <w:pPr>
              <w:ind w:left="540"/>
              <w:spacing w:after="0" w:line="157" w:lineRule="exact"/>
              <w:rPr>
                <w:sz w:val="20"/>
                <w:szCs w:val="20"/>
                <w:color w:val="auto"/>
              </w:rPr>
            </w:pPr>
            <w:r>
              <w:rPr>
                <w:rFonts w:ascii="Arial" w:cs="Arial" w:eastAsia="Arial" w:hAnsi="Arial"/>
                <w:sz w:val="14"/>
                <w:szCs w:val="14"/>
                <w:color w:val="auto"/>
              </w:rPr>
              <w:t>(a)(1)</w:t>
            </w:r>
          </w:p>
        </w:tc>
        <w:tc>
          <w:tcPr>
            <w:tcW w:w="6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609</w:t>
            </w:r>
          </w:p>
        </w:tc>
        <w:tc>
          <w:tcPr>
            <w:tcW w:w="40" w:type="dxa"/>
            <w:vAlign w:val="bottom"/>
          </w:tcPr>
          <w:p>
            <w:pPr>
              <w:spacing w:after="0"/>
              <w:rPr>
                <w:sz w:val="13"/>
                <w:szCs w:val="13"/>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(a)(2)</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609</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(a)(3)</w:t>
            </w:r>
          </w:p>
        </w:tc>
        <w:tc>
          <w:tcPr>
            <w:tcW w:w="6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(a)(4)</w:t>
            </w:r>
          </w:p>
        </w:tc>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608</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610</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311</w:t>
            </w: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312</w:t>
            </w: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701</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(c)</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313</w:t>
            </w: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(d)</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314</w:t>
            </w: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704</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(a)(4)</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(a)(4)</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1004</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(b)</w:t>
            </w:r>
          </w:p>
        </w:tc>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(c)(1)</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(c)(2)</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(c)(3)</w:t>
            </w:r>
          </w:p>
        </w:tc>
        <w:tc>
          <w:tcPr>
            <w:tcW w:w="6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(d)</w:t>
            </w:r>
          </w:p>
        </w:tc>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(e)</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Arial" w:cs="Arial" w:eastAsia="Arial" w:hAnsi="Arial"/>
                <w:sz w:val="14"/>
                <w:szCs w:val="14"/>
                <w:color w:val="auto"/>
              </w:rPr>
              <w:t>315</w:t>
            </w:r>
          </w:p>
        </w:tc>
        <w:tc>
          <w:tcPr>
            <w:tcW w:w="2860" w:type="dxa"/>
            <w:vAlign w:val="bottom"/>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601;603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602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(c)</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601</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(d)(1)</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601</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(d)(2)</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601</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(d)(3)</w:t>
            </w:r>
          </w:p>
        </w:tc>
        <w:tc>
          <w:tcPr>
            <w:tcW w:w="6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(e)</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514</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316</w:t>
            </w: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(a)(1)(A)</w:t>
            </w:r>
          </w:p>
        </w:tc>
        <w:tc>
          <w:tcPr>
            <w:tcW w:w="6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(a)(1)(A)</w:t>
            </w:r>
          </w:p>
        </w:tc>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(a)(1)(B)</w:t>
            </w:r>
          </w:p>
        </w:tc>
        <w:tc>
          <w:tcPr>
            <w:tcW w:w="6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(a)(2)</w:t>
            </w:r>
          </w:p>
        </w:tc>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508</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(c)</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317</w:t>
            </w: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(a)(1)</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503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60" w:type="dxa"/>
            <w:vAlign w:val="bottom"/>
          </w:tcPr>
          <w:p>
            <w:pPr>
              <w:ind w:left="540"/>
              <w:spacing w:after="0"/>
              <w:rPr>
                <w:sz w:val="20"/>
                <w:szCs w:val="20"/>
                <w:color w:val="auto"/>
              </w:rPr>
            </w:pPr>
            <w:r>
              <w:rPr>
                <w:rFonts w:ascii="Arial" w:cs="Arial" w:eastAsia="Arial" w:hAnsi="Arial"/>
                <w:sz w:val="14"/>
                <w:szCs w:val="14"/>
                <w:color w:val="auto"/>
              </w:rPr>
              <w:t>(a)(2)</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504</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(b)</w:t>
            </w:r>
          </w:p>
        </w:tc>
        <w:tc>
          <w:tcPr>
            <w:tcW w:w="8160" w:type="dxa"/>
            <w:vAlign w:val="bottom"/>
            <w:gridSpan w:val="3"/>
            <w:shd w:val="clear" w:color="auto" w:fill="CCEEFF"/>
          </w:tcPr>
          <w:p>
            <w:pPr>
              <w:ind w:left="6800"/>
              <w:spacing w:after="0"/>
              <w:rPr>
                <w:sz w:val="20"/>
                <w:szCs w:val="20"/>
                <w:color w:val="auto"/>
              </w:rPr>
            </w:pPr>
            <w:r>
              <w:rPr>
                <w:rFonts w:ascii="Arial" w:cs="Arial" w:eastAsia="Arial" w:hAnsi="Arial"/>
                <w:sz w:val="14"/>
                <w:szCs w:val="14"/>
                <w:color w:val="auto"/>
              </w:rPr>
              <w:t>1003</w:t>
            </w:r>
          </w:p>
        </w:tc>
        <w:tc>
          <w:tcPr>
            <w:tcW w:w="40" w:type="dxa"/>
            <w:vAlign w:val="bottom"/>
          </w:tcPr>
          <w:p>
            <w:pPr>
              <w:spacing w:after="0"/>
              <w:rPr>
                <w:sz w:val="14"/>
                <w:szCs w:val="14"/>
                <w:color w:val="auto"/>
              </w:rPr>
            </w:pPr>
          </w:p>
        </w:tc>
      </w:tr>
      <w:tr>
        <w:trPr>
          <w:trHeight w:val="175"/>
        </w:trPr>
        <w:tc>
          <w:tcPr>
            <w:tcW w:w="440" w:type="dxa"/>
            <w:vAlign w:val="bottom"/>
          </w:tcPr>
          <w:p>
            <w:pPr>
              <w:spacing w:after="0"/>
              <w:rPr>
                <w:sz w:val="20"/>
                <w:szCs w:val="20"/>
                <w:color w:val="auto"/>
              </w:rPr>
            </w:pPr>
            <w:r>
              <w:rPr>
                <w:rFonts w:ascii="Arial" w:cs="Arial" w:eastAsia="Arial" w:hAnsi="Arial"/>
                <w:sz w:val="14"/>
                <w:szCs w:val="14"/>
                <w:color w:val="auto"/>
              </w:rPr>
              <w:t>318</w:t>
            </w:r>
          </w:p>
        </w:tc>
        <w:tc>
          <w:tcPr>
            <w:tcW w:w="2860" w:type="dxa"/>
            <w:vAlign w:val="bottom"/>
          </w:tcPr>
          <w:p>
            <w:pPr>
              <w:ind w:left="540"/>
              <w:spacing w:after="0"/>
              <w:rPr>
                <w:sz w:val="20"/>
                <w:szCs w:val="20"/>
                <w:color w:val="auto"/>
              </w:rPr>
            </w:pPr>
            <w:r>
              <w:rPr>
                <w:rFonts w:ascii="Arial" w:cs="Arial" w:eastAsia="Arial" w:hAnsi="Arial"/>
                <w:sz w:val="14"/>
                <w:szCs w:val="14"/>
                <w:color w:val="auto"/>
              </w:rPr>
              <w:t>(a)</w:t>
            </w:r>
          </w:p>
        </w:tc>
        <w:tc>
          <w:tcPr>
            <w:tcW w:w="8160" w:type="dxa"/>
            <w:vAlign w:val="bottom"/>
            <w:gridSpan w:val="3"/>
          </w:tcPr>
          <w:p>
            <w:pPr>
              <w:ind w:left="6800"/>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15"/>
                <w:szCs w:val="15"/>
                <w:color w:val="auto"/>
              </w:rPr>
            </w:pPr>
          </w:p>
        </w:tc>
      </w:tr>
      <w:tr>
        <w:trPr>
          <w:trHeight w:val="321"/>
        </w:trPr>
        <w:tc>
          <w:tcPr>
            <w:tcW w:w="440" w:type="dxa"/>
            <w:vAlign w:val="bottom"/>
          </w:tcPr>
          <w:p>
            <w:pPr>
              <w:spacing w:after="0"/>
              <w:rPr>
                <w:sz w:val="20"/>
                <w:szCs w:val="20"/>
                <w:color w:val="auto"/>
              </w:rPr>
            </w:pPr>
            <w:r>
              <w:rPr>
                <w:rFonts w:ascii="Arial" w:cs="Arial" w:eastAsia="Arial" w:hAnsi="Arial"/>
                <w:sz w:val="14"/>
                <w:szCs w:val="14"/>
                <w:color w:val="auto"/>
              </w:rPr>
              <w:t>N.A.</w:t>
            </w:r>
          </w:p>
        </w:tc>
        <w:tc>
          <w:tcPr>
            <w:tcW w:w="2860" w:type="dxa"/>
            <w:vAlign w:val="bottom"/>
          </w:tcPr>
          <w:p>
            <w:pPr>
              <w:ind w:left="100"/>
              <w:spacing w:after="0"/>
              <w:rPr>
                <w:sz w:val="20"/>
                <w:szCs w:val="20"/>
                <w:color w:val="auto"/>
              </w:rPr>
            </w:pPr>
            <w:r>
              <w:rPr>
                <w:rFonts w:ascii="Arial" w:cs="Arial" w:eastAsia="Arial" w:hAnsi="Arial"/>
                <w:sz w:val="14"/>
                <w:szCs w:val="14"/>
                <w:color w:val="auto"/>
              </w:rPr>
              <w:t>means Not Applicable</w:t>
            </w:r>
          </w:p>
        </w:tc>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440" w:type="dxa"/>
            <w:vAlign w:val="bottom"/>
            <w:tcBorders>
              <w:bottom w:val="single" w:sz="8" w:color="808080"/>
            </w:tcBorders>
          </w:tcPr>
          <w:p>
            <w:pPr>
              <w:spacing w:after="0"/>
              <w:rPr>
                <w:sz w:val="23"/>
                <w:szCs w:val="23"/>
                <w:color w:val="auto"/>
              </w:rPr>
            </w:pPr>
          </w:p>
        </w:tc>
        <w:tc>
          <w:tcPr>
            <w:tcW w:w="2860" w:type="dxa"/>
            <w:vAlign w:val="bottom"/>
            <w:tcBorders>
              <w:bottom w:val="single" w:sz="8" w:color="808080"/>
            </w:tcBorders>
          </w:tcPr>
          <w:p>
            <w:pPr>
              <w:spacing w:after="0"/>
              <w:rPr>
                <w:sz w:val="23"/>
                <w:szCs w:val="23"/>
                <w:color w:val="auto"/>
              </w:rPr>
            </w:pPr>
          </w:p>
        </w:tc>
        <w:tc>
          <w:tcPr>
            <w:tcW w:w="65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13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52" w:name="page53"/>
    <w:bookmarkEnd w:id="52"/>
    <w:p>
      <w:pPr>
        <w:ind w:left="4800"/>
        <w:spacing w:after="0"/>
        <w:rPr>
          <w:sz w:val="20"/>
          <w:szCs w:val="20"/>
          <w:color w:val="auto"/>
        </w:rPr>
      </w:pPr>
      <w:r>
        <w:rPr>
          <w:rFonts w:ascii="Arial" w:cs="Arial" w:eastAsia="Arial" w:hAnsi="Arial"/>
          <w:sz w:val="13"/>
          <w:szCs w:val="13"/>
          <w:b w:val="1"/>
          <w:bCs w:val="1"/>
          <w:color w:val="auto"/>
        </w:rPr>
        <w:t>CROSS-REFERENCE TABLE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NOTE:  This Cross Reference Table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974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9"/>
        </w:trPr>
        <w:tc>
          <w:tcPr>
            <w:tcW w:w="1040" w:type="dxa"/>
            <w:vAlign w:val="bottom"/>
          </w:tcPr>
          <w:p>
            <w:pPr>
              <w:spacing w:after="0"/>
              <w:rPr>
                <w:sz w:val="15"/>
                <w:szCs w:val="15"/>
                <w:color w:val="auto"/>
              </w:rPr>
            </w:pPr>
          </w:p>
        </w:tc>
        <w:tc>
          <w:tcPr>
            <w:tcW w:w="8120" w:type="dxa"/>
            <w:vAlign w:val="bottom"/>
          </w:tcPr>
          <w:p>
            <w:pPr>
              <w:jc w:val="center"/>
              <w:ind w:left="1211"/>
              <w:spacing w:after="0"/>
              <w:rPr>
                <w:sz w:val="20"/>
                <w:szCs w:val="20"/>
                <w:color w:val="auto"/>
              </w:rPr>
            </w:pPr>
            <w:r>
              <w:rPr>
                <w:rFonts w:ascii="Arial" w:cs="Arial" w:eastAsia="Arial" w:hAnsi="Arial"/>
                <w:sz w:val="14"/>
                <w:szCs w:val="14"/>
                <w:b w:val="1"/>
                <w:bCs w:val="1"/>
                <w:color w:val="auto"/>
                <w:w w:val="98"/>
              </w:rPr>
              <w:t>TABLE OF CONTENTS</w:t>
            </w:r>
          </w:p>
        </w:tc>
        <w:tc>
          <w:tcPr>
            <w:tcW w:w="2340" w:type="dxa"/>
            <w:vAlign w:val="bottom"/>
          </w:tcPr>
          <w:p>
            <w:pPr>
              <w:spacing w:after="0"/>
              <w:rPr>
                <w:sz w:val="15"/>
                <w:szCs w:val="15"/>
                <w:color w:val="auto"/>
              </w:rPr>
            </w:pPr>
          </w:p>
        </w:tc>
      </w:tr>
      <w:tr>
        <w:trPr>
          <w:trHeight w:val="323"/>
        </w:trPr>
        <w:tc>
          <w:tcPr>
            <w:tcW w:w="1040" w:type="dxa"/>
            <w:vAlign w:val="bottom"/>
          </w:tcPr>
          <w:p>
            <w:pPr>
              <w:spacing w:after="0"/>
              <w:rPr>
                <w:sz w:val="24"/>
                <w:szCs w:val="24"/>
                <w:color w:val="auto"/>
              </w:rPr>
            </w:pPr>
          </w:p>
        </w:tc>
        <w:tc>
          <w:tcPr>
            <w:tcW w:w="8120" w:type="dxa"/>
            <w:vAlign w:val="bottom"/>
          </w:tcPr>
          <w:p>
            <w:pPr>
              <w:jc w:val="center"/>
              <w:ind w:left="1211"/>
              <w:spacing w:after="0"/>
              <w:rPr>
                <w:sz w:val="20"/>
                <w:szCs w:val="20"/>
                <w:color w:val="auto"/>
              </w:rPr>
            </w:pPr>
            <w:r>
              <w:rPr>
                <w:rFonts w:ascii="Arial" w:cs="Arial" w:eastAsia="Arial" w:hAnsi="Arial"/>
                <w:sz w:val="14"/>
                <w:szCs w:val="14"/>
                <w:b w:val="1"/>
                <w:bCs w:val="1"/>
                <w:color w:val="auto"/>
              </w:rPr>
              <w:t>ARTICLE ONE</w:t>
            </w:r>
          </w:p>
        </w:tc>
        <w:tc>
          <w:tcPr>
            <w:tcW w:w="234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8120" w:type="dxa"/>
            <w:vAlign w:val="bottom"/>
          </w:tcPr>
          <w:p>
            <w:pPr>
              <w:jc w:val="center"/>
              <w:ind w:left="1191"/>
              <w:spacing w:after="0"/>
              <w:rPr>
                <w:sz w:val="20"/>
                <w:szCs w:val="20"/>
                <w:color w:val="auto"/>
              </w:rPr>
            </w:pPr>
            <w:r>
              <w:rPr>
                <w:rFonts w:ascii="Arial" w:cs="Arial" w:eastAsia="Arial" w:hAnsi="Arial"/>
                <w:sz w:val="14"/>
                <w:szCs w:val="14"/>
                <w:color w:val="auto"/>
                <w:w w:val="95"/>
              </w:rPr>
              <w:t>DEFINITIONS AND OTHER PROVISIONS</w:t>
            </w:r>
          </w:p>
        </w:tc>
        <w:tc>
          <w:tcPr>
            <w:tcW w:w="2340" w:type="dxa"/>
            <w:vAlign w:val="bottom"/>
          </w:tcPr>
          <w:p>
            <w:pPr>
              <w:spacing w:after="0"/>
              <w:rPr>
                <w:sz w:val="14"/>
                <w:szCs w:val="14"/>
                <w:color w:val="auto"/>
              </w:rPr>
            </w:pPr>
          </w:p>
        </w:tc>
      </w:tr>
      <w:tr>
        <w:trPr>
          <w:trHeight w:val="175"/>
        </w:trPr>
        <w:tc>
          <w:tcPr>
            <w:tcW w:w="1040" w:type="dxa"/>
            <w:vAlign w:val="bottom"/>
          </w:tcPr>
          <w:p>
            <w:pPr>
              <w:spacing w:after="0"/>
              <w:rPr>
                <w:sz w:val="15"/>
                <w:szCs w:val="15"/>
                <w:color w:val="auto"/>
              </w:rPr>
            </w:pPr>
          </w:p>
        </w:tc>
        <w:tc>
          <w:tcPr>
            <w:tcW w:w="8120" w:type="dxa"/>
            <w:vAlign w:val="bottom"/>
          </w:tcPr>
          <w:p>
            <w:pPr>
              <w:jc w:val="center"/>
              <w:ind w:left="1191"/>
              <w:spacing w:after="0"/>
              <w:rPr>
                <w:sz w:val="20"/>
                <w:szCs w:val="20"/>
                <w:color w:val="auto"/>
              </w:rPr>
            </w:pPr>
            <w:r>
              <w:rPr>
                <w:rFonts w:ascii="Arial" w:cs="Arial" w:eastAsia="Arial" w:hAnsi="Arial"/>
                <w:sz w:val="14"/>
                <w:szCs w:val="14"/>
                <w:color w:val="auto"/>
                <w:w w:val="95"/>
              </w:rPr>
              <w:t>OF GENERAL APPLICATION</w:t>
            </w:r>
          </w:p>
        </w:tc>
        <w:tc>
          <w:tcPr>
            <w:tcW w:w="234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101.</w:t>
            </w:r>
          </w:p>
        </w:tc>
        <w:tc>
          <w:tcPr>
            <w:tcW w:w="8120" w:type="dxa"/>
            <w:vAlign w:val="bottom"/>
          </w:tcPr>
          <w:p>
            <w:pPr>
              <w:ind w:left="340"/>
              <w:spacing w:after="0"/>
              <w:rPr>
                <w:sz w:val="20"/>
                <w:szCs w:val="20"/>
                <w:color w:val="auto"/>
              </w:rPr>
            </w:pPr>
            <w:r>
              <w:rPr>
                <w:rFonts w:ascii="Arial" w:cs="Arial" w:eastAsia="Arial" w:hAnsi="Arial"/>
                <w:sz w:val="14"/>
                <w:szCs w:val="14"/>
                <w:color w:val="auto"/>
              </w:rPr>
              <w:t>Definitions</w:t>
            </w:r>
          </w:p>
        </w:tc>
        <w:tc>
          <w:tcPr>
            <w:tcW w:w="23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102.</w:t>
            </w:r>
          </w:p>
        </w:tc>
        <w:tc>
          <w:tcPr>
            <w:tcW w:w="8120" w:type="dxa"/>
            <w:vAlign w:val="bottom"/>
          </w:tcPr>
          <w:p>
            <w:pPr>
              <w:ind w:left="340"/>
              <w:spacing w:after="0"/>
              <w:rPr>
                <w:sz w:val="20"/>
                <w:szCs w:val="20"/>
                <w:color w:val="auto"/>
              </w:rPr>
            </w:pPr>
            <w:r>
              <w:rPr>
                <w:rFonts w:ascii="Arial" w:cs="Arial" w:eastAsia="Arial" w:hAnsi="Arial"/>
                <w:sz w:val="14"/>
                <w:szCs w:val="14"/>
                <w:color w:val="auto"/>
              </w:rPr>
              <w:t>Compliance Certificates and Opinions</w:t>
            </w:r>
          </w:p>
        </w:tc>
        <w:tc>
          <w:tcPr>
            <w:tcW w:w="23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103.</w:t>
            </w:r>
          </w:p>
        </w:tc>
        <w:tc>
          <w:tcPr>
            <w:tcW w:w="8120" w:type="dxa"/>
            <w:vAlign w:val="bottom"/>
          </w:tcPr>
          <w:p>
            <w:pPr>
              <w:ind w:left="340"/>
              <w:spacing w:after="0"/>
              <w:rPr>
                <w:sz w:val="20"/>
                <w:szCs w:val="20"/>
                <w:color w:val="auto"/>
              </w:rPr>
            </w:pPr>
            <w:r>
              <w:rPr>
                <w:rFonts w:ascii="Arial" w:cs="Arial" w:eastAsia="Arial" w:hAnsi="Arial"/>
                <w:sz w:val="14"/>
                <w:szCs w:val="14"/>
                <w:color w:val="auto"/>
              </w:rPr>
              <w:t>Form of Documents Delivered to Trustee</w:t>
            </w:r>
          </w:p>
        </w:tc>
        <w:tc>
          <w:tcPr>
            <w:tcW w:w="23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104.</w:t>
            </w:r>
          </w:p>
        </w:tc>
        <w:tc>
          <w:tcPr>
            <w:tcW w:w="8120" w:type="dxa"/>
            <w:vAlign w:val="bottom"/>
          </w:tcPr>
          <w:p>
            <w:pPr>
              <w:ind w:left="340"/>
              <w:spacing w:after="0"/>
              <w:rPr>
                <w:sz w:val="20"/>
                <w:szCs w:val="20"/>
                <w:color w:val="auto"/>
              </w:rPr>
            </w:pPr>
            <w:r>
              <w:rPr>
                <w:rFonts w:ascii="Arial" w:cs="Arial" w:eastAsia="Arial" w:hAnsi="Arial"/>
                <w:sz w:val="14"/>
                <w:szCs w:val="14"/>
                <w:color w:val="auto"/>
              </w:rPr>
              <w:t>Acts of Holders; Record Dates</w:t>
            </w:r>
          </w:p>
        </w:tc>
        <w:tc>
          <w:tcPr>
            <w:tcW w:w="23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105.</w:t>
            </w:r>
          </w:p>
        </w:tc>
        <w:tc>
          <w:tcPr>
            <w:tcW w:w="8120" w:type="dxa"/>
            <w:vAlign w:val="bottom"/>
          </w:tcPr>
          <w:p>
            <w:pPr>
              <w:ind w:left="340"/>
              <w:spacing w:after="0"/>
              <w:rPr>
                <w:sz w:val="20"/>
                <w:szCs w:val="20"/>
                <w:color w:val="auto"/>
              </w:rPr>
            </w:pPr>
            <w:r>
              <w:rPr>
                <w:rFonts w:ascii="Arial" w:cs="Arial" w:eastAsia="Arial" w:hAnsi="Arial"/>
                <w:sz w:val="14"/>
                <w:szCs w:val="14"/>
                <w:color w:val="auto"/>
              </w:rPr>
              <w:t>Notices, Etc., to Trustee, Issuer and Guarantors</w:t>
            </w:r>
          </w:p>
        </w:tc>
        <w:tc>
          <w:tcPr>
            <w:tcW w:w="23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106.</w:t>
            </w:r>
          </w:p>
        </w:tc>
        <w:tc>
          <w:tcPr>
            <w:tcW w:w="8120" w:type="dxa"/>
            <w:vAlign w:val="bottom"/>
          </w:tcPr>
          <w:p>
            <w:pPr>
              <w:ind w:left="340"/>
              <w:spacing w:after="0"/>
              <w:rPr>
                <w:sz w:val="20"/>
                <w:szCs w:val="20"/>
                <w:color w:val="auto"/>
              </w:rPr>
            </w:pPr>
            <w:r>
              <w:rPr>
                <w:rFonts w:ascii="Arial" w:cs="Arial" w:eastAsia="Arial" w:hAnsi="Arial"/>
                <w:sz w:val="14"/>
                <w:szCs w:val="14"/>
                <w:color w:val="auto"/>
              </w:rPr>
              <w:t>Notice to Holders; Waiver</w:t>
            </w:r>
          </w:p>
        </w:tc>
        <w:tc>
          <w:tcPr>
            <w:tcW w:w="23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107.</w:t>
            </w:r>
          </w:p>
        </w:tc>
        <w:tc>
          <w:tcPr>
            <w:tcW w:w="8120" w:type="dxa"/>
            <w:vAlign w:val="bottom"/>
          </w:tcPr>
          <w:p>
            <w:pPr>
              <w:ind w:left="340"/>
              <w:spacing w:after="0"/>
              <w:rPr>
                <w:sz w:val="20"/>
                <w:szCs w:val="20"/>
                <w:color w:val="auto"/>
              </w:rPr>
            </w:pPr>
            <w:r>
              <w:rPr>
                <w:rFonts w:ascii="Arial" w:cs="Arial" w:eastAsia="Arial" w:hAnsi="Arial"/>
                <w:sz w:val="14"/>
                <w:szCs w:val="14"/>
                <w:color w:val="auto"/>
              </w:rPr>
              <w:t>Conflict with Trust Indenture Act</w:t>
            </w:r>
          </w:p>
        </w:tc>
        <w:tc>
          <w:tcPr>
            <w:tcW w:w="2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108.</w:t>
            </w:r>
          </w:p>
        </w:tc>
        <w:tc>
          <w:tcPr>
            <w:tcW w:w="8120" w:type="dxa"/>
            <w:vAlign w:val="bottom"/>
          </w:tcPr>
          <w:p>
            <w:pPr>
              <w:ind w:left="340"/>
              <w:spacing w:after="0"/>
              <w:rPr>
                <w:sz w:val="20"/>
                <w:szCs w:val="20"/>
                <w:color w:val="auto"/>
              </w:rPr>
            </w:pPr>
            <w:r>
              <w:rPr>
                <w:rFonts w:ascii="Arial" w:cs="Arial" w:eastAsia="Arial" w:hAnsi="Arial"/>
                <w:sz w:val="14"/>
                <w:szCs w:val="14"/>
                <w:color w:val="auto"/>
              </w:rPr>
              <w:t>Effect of Headings and Table of Contents</w:t>
            </w:r>
          </w:p>
        </w:tc>
        <w:tc>
          <w:tcPr>
            <w:tcW w:w="2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109.</w:t>
            </w:r>
          </w:p>
        </w:tc>
        <w:tc>
          <w:tcPr>
            <w:tcW w:w="8120" w:type="dxa"/>
            <w:vAlign w:val="bottom"/>
          </w:tcPr>
          <w:p>
            <w:pPr>
              <w:ind w:left="340"/>
              <w:spacing w:after="0"/>
              <w:rPr>
                <w:sz w:val="20"/>
                <w:szCs w:val="20"/>
                <w:color w:val="auto"/>
              </w:rPr>
            </w:pPr>
            <w:r>
              <w:rPr>
                <w:rFonts w:ascii="Arial" w:cs="Arial" w:eastAsia="Arial" w:hAnsi="Arial"/>
                <w:sz w:val="14"/>
                <w:szCs w:val="14"/>
                <w:color w:val="auto"/>
              </w:rPr>
              <w:t>Successors and Assigns</w:t>
            </w:r>
          </w:p>
        </w:tc>
        <w:tc>
          <w:tcPr>
            <w:tcW w:w="2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110.</w:t>
            </w:r>
          </w:p>
        </w:tc>
        <w:tc>
          <w:tcPr>
            <w:tcW w:w="8120" w:type="dxa"/>
            <w:vAlign w:val="bottom"/>
          </w:tcPr>
          <w:p>
            <w:pPr>
              <w:ind w:left="340"/>
              <w:spacing w:after="0"/>
              <w:rPr>
                <w:sz w:val="20"/>
                <w:szCs w:val="20"/>
                <w:color w:val="auto"/>
              </w:rPr>
            </w:pPr>
            <w:r>
              <w:rPr>
                <w:rFonts w:ascii="Arial" w:cs="Arial" w:eastAsia="Arial" w:hAnsi="Arial"/>
                <w:sz w:val="14"/>
                <w:szCs w:val="14"/>
                <w:color w:val="auto"/>
              </w:rPr>
              <w:t>Separability Clause</w:t>
            </w:r>
          </w:p>
        </w:tc>
        <w:tc>
          <w:tcPr>
            <w:tcW w:w="2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111.</w:t>
            </w:r>
          </w:p>
        </w:tc>
        <w:tc>
          <w:tcPr>
            <w:tcW w:w="8120" w:type="dxa"/>
            <w:vAlign w:val="bottom"/>
          </w:tcPr>
          <w:p>
            <w:pPr>
              <w:ind w:left="340"/>
              <w:spacing w:after="0"/>
              <w:rPr>
                <w:sz w:val="20"/>
                <w:szCs w:val="20"/>
                <w:color w:val="auto"/>
              </w:rPr>
            </w:pPr>
            <w:r>
              <w:rPr>
                <w:rFonts w:ascii="Arial" w:cs="Arial" w:eastAsia="Arial" w:hAnsi="Arial"/>
                <w:sz w:val="14"/>
                <w:szCs w:val="14"/>
                <w:color w:val="auto"/>
              </w:rPr>
              <w:t>Benefits of Indenture</w:t>
            </w:r>
          </w:p>
        </w:tc>
        <w:tc>
          <w:tcPr>
            <w:tcW w:w="2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112.</w:t>
            </w:r>
          </w:p>
        </w:tc>
        <w:tc>
          <w:tcPr>
            <w:tcW w:w="8120" w:type="dxa"/>
            <w:vAlign w:val="bottom"/>
          </w:tcPr>
          <w:p>
            <w:pPr>
              <w:ind w:left="340"/>
              <w:spacing w:after="0"/>
              <w:rPr>
                <w:sz w:val="20"/>
                <w:szCs w:val="20"/>
                <w:color w:val="auto"/>
              </w:rPr>
            </w:pPr>
            <w:r>
              <w:rPr>
                <w:rFonts w:ascii="Arial" w:cs="Arial" w:eastAsia="Arial" w:hAnsi="Arial"/>
                <w:sz w:val="14"/>
                <w:szCs w:val="14"/>
                <w:color w:val="auto"/>
              </w:rPr>
              <w:t>Governing Law; Submission to Jurisdiction</w:t>
            </w:r>
          </w:p>
        </w:tc>
        <w:tc>
          <w:tcPr>
            <w:tcW w:w="23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113.</w:t>
            </w:r>
          </w:p>
        </w:tc>
        <w:tc>
          <w:tcPr>
            <w:tcW w:w="8120" w:type="dxa"/>
            <w:vAlign w:val="bottom"/>
          </w:tcPr>
          <w:p>
            <w:pPr>
              <w:ind w:left="340"/>
              <w:spacing w:after="0"/>
              <w:rPr>
                <w:sz w:val="20"/>
                <w:szCs w:val="20"/>
                <w:color w:val="auto"/>
              </w:rPr>
            </w:pPr>
            <w:r>
              <w:rPr>
                <w:rFonts w:ascii="Arial" w:cs="Arial" w:eastAsia="Arial" w:hAnsi="Arial"/>
                <w:sz w:val="14"/>
                <w:szCs w:val="14"/>
                <w:color w:val="auto"/>
              </w:rPr>
              <w:t>Legal Holidays</w:t>
            </w:r>
          </w:p>
        </w:tc>
        <w:tc>
          <w:tcPr>
            <w:tcW w:w="23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114.</w:t>
            </w:r>
          </w:p>
        </w:tc>
        <w:tc>
          <w:tcPr>
            <w:tcW w:w="8120" w:type="dxa"/>
            <w:vAlign w:val="bottom"/>
          </w:tcPr>
          <w:p>
            <w:pPr>
              <w:ind w:left="340"/>
              <w:spacing w:after="0"/>
              <w:rPr>
                <w:sz w:val="20"/>
                <w:szCs w:val="20"/>
                <w:color w:val="auto"/>
              </w:rPr>
            </w:pPr>
            <w:r>
              <w:rPr>
                <w:rFonts w:ascii="Arial" w:cs="Arial" w:eastAsia="Arial" w:hAnsi="Arial"/>
                <w:sz w:val="14"/>
                <w:szCs w:val="14"/>
                <w:color w:val="auto"/>
              </w:rPr>
              <w:t>No Personal Liability of Directors, Officers, Employees and Shareholders</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115.</w:t>
            </w:r>
          </w:p>
        </w:tc>
        <w:tc>
          <w:tcPr>
            <w:tcW w:w="8120" w:type="dxa"/>
            <w:vAlign w:val="bottom"/>
          </w:tcPr>
          <w:p>
            <w:pPr>
              <w:ind w:left="340"/>
              <w:spacing w:after="0"/>
              <w:rPr>
                <w:sz w:val="20"/>
                <w:szCs w:val="20"/>
                <w:color w:val="auto"/>
              </w:rPr>
            </w:pPr>
            <w:r>
              <w:rPr>
                <w:rFonts w:ascii="Arial" w:cs="Arial" w:eastAsia="Arial" w:hAnsi="Arial"/>
                <w:sz w:val="14"/>
                <w:szCs w:val="14"/>
                <w:color w:val="auto"/>
              </w:rPr>
              <w:t>No Adverse Interpretation of Other Agreements</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116.</w:t>
            </w:r>
          </w:p>
        </w:tc>
        <w:tc>
          <w:tcPr>
            <w:tcW w:w="8120" w:type="dxa"/>
            <w:vAlign w:val="bottom"/>
          </w:tcPr>
          <w:p>
            <w:pPr>
              <w:ind w:left="340"/>
              <w:spacing w:after="0"/>
              <w:rPr>
                <w:sz w:val="20"/>
                <w:szCs w:val="20"/>
                <w:color w:val="auto"/>
              </w:rPr>
            </w:pPr>
            <w:r>
              <w:rPr>
                <w:rFonts w:ascii="Arial" w:cs="Arial" w:eastAsia="Arial" w:hAnsi="Arial"/>
                <w:sz w:val="14"/>
                <w:szCs w:val="14"/>
                <w:color w:val="auto"/>
              </w:rPr>
              <w:t>U.S.A. PATRIOT Act</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117.</w:t>
            </w:r>
          </w:p>
        </w:tc>
        <w:tc>
          <w:tcPr>
            <w:tcW w:w="8120" w:type="dxa"/>
            <w:vAlign w:val="bottom"/>
          </w:tcPr>
          <w:p>
            <w:pPr>
              <w:ind w:left="340"/>
              <w:spacing w:after="0"/>
              <w:rPr>
                <w:sz w:val="20"/>
                <w:szCs w:val="20"/>
                <w:color w:val="auto"/>
              </w:rPr>
            </w:pPr>
            <w:r>
              <w:rPr>
                <w:rFonts w:ascii="Arial" w:cs="Arial" w:eastAsia="Arial" w:hAnsi="Arial"/>
                <w:sz w:val="14"/>
                <w:szCs w:val="14"/>
                <w:color w:val="auto"/>
              </w:rPr>
              <w:t>Payment in Required Currency; Judgment Currency</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118.</w:t>
            </w:r>
          </w:p>
        </w:tc>
        <w:tc>
          <w:tcPr>
            <w:tcW w:w="8120" w:type="dxa"/>
            <w:vAlign w:val="bottom"/>
          </w:tcPr>
          <w:p>
            <w:pPr>
              <w:ind w:left="340"/>
              <w:spacing w:after="0"/>
              <w:rPr>
                <w:sz w:val="20"/>
                <w:szCs w:val="20"/>
                <w:color w:val="auto"/>
              </w:rPr>
            </w:pPr>
            <w:r>
              <w:rPr>
                <w:rFonts w:ascii="Arial" w:cs="Arial" w:eastAsia="Arial" w:hAnsi="Arial"/>
                <w:sz w:val="14"/>
                <w:szCs w:val="14"/>
                <w:color w:val="auto"/>
              </w:rPr>
              <w:t>Language of Notices, Etc</w:t>
            </w:r>
          </w:p>
        </w:tc>
        <w:tc>
          <w:tcPr>
            <w:tcW w:w="23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119.</w:t>
            </w:r>
          </w:p>
        </w:tc>
        <w:tc>
          <w:tcPr>
            <w:tcW w:w="8120" w:type="dxa"/>
            <w:vAlign w:val="bottom"/>
          </w:tcPr>
          <w:p>
            <w:pPr>
              <w:ind w:left="340"/>
              <w:spacing w:after="0"/>
              <w:rPr>
                <w:sz w:val="20"/>
                <w:szCs w:val="20"/>
                <w:color w:val="auto"/>
              </w:rPr>
            </w:pPr>
            <w:r>
              <w:rPr>
                <w:rFonts w:ascii="Arial" w:cs="Arial" w:eastAsia="Arial" w:hAnsi="Arial"/>
                <w:sz w:val="14"/>
                <w:szCs w:val="14"/>
                <w:color w:val="auto"/>
              </w:rPr>
              <w:t>Counterpart Originals</w:t>
            </w:r>
          </w:p>
        </w:tc>
        <w:tc>
          <w:tcPr>
            <w:tcW w:w="23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3"/>
        </w:trPr>
        <w:tc>
          <w:tcPr>
            <w:tcW w:w="1040" w:type="dxa"/>
            <w:vAlign w:val="bottom"/>
          </w:tcPr>
          <w:p>
            <w:pPr>
              <w:spacing w:after="0"/>
              <w:rPr>
                <w:sz w:val="24"/>
                <w:szCs w:val="24"/>
                <w:color w:val="auto"/>
              </w:rPr>
            </w:pPr>
          </w:p>
        </w:tc>
        <w:tc>
          <w:tcPr>
            <w:tcW w:w="8120" w:type="dxa"/>
            <w:vAlign w:val="bottom"/>
          </w:tcPr>
          <w:p>
            <w:pPr>
              <w:jc w:val="center"/>
              <w:ind w:left="1211"/>
              <w:spacing w:after="0"/>
              <w:rPr>
                <w:sz w:val="20"/>
                <w:szCs w:val="20"/>
                <w:color w:val="auto"/>
              </w:rPr>
            </w:pPr>
            <w:r>
              <w:rPr>
                <w:rFonts w:ascii="Arial" w:cs="Arial" w:eastAsia="Arial" w:hAnsi="Arial"/>
                <w:sz w:val="14"/>
                <w:szCs w:val="14"/>
                <w:b w:val="1"/>
                <w:bCs w:val="1"/>
                <w:color w:val="auto"/>
              </w:rPr>
              <w:t>ARTICLE TWO</w:t>
            </w:r>
          </w:p>
        </w:tc>
        <w:tc>
          <w:tcPr>
            <w:tcW w:w="234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8120" w:type="dxa"/>
            <w:vAlign w:val="bottom"/>
          </w:tcPr>
          <w:p>
            <w:pPr>
              <w:jc w:val="center"/>
              <w:ind w:left="1211"/>
              <w:spacing w:after="0"/>
              <w:rPr>
                <w:sz w:val="20"/>
                <w:szCs w:val="20"/>
                <w:color w:val="auto"/>
              </w:rPr>
            </w:pPr>
            <w:r>
              <w:rPr>
                <w:rFonts w:ascii="Arial" w:cs="Arial" w:eastAsia="Arial" w:hAnsi="Arial"/>
                <w:sz w:val="14"/>
                <w:szCs w:val="14"/>
                <w:color w:val="auto"/>
                <w:w w:val="94"/>
              </w:rPr>
              <w:t>NOTE FORMS</w:t>
            </w:r>
          </w:p>
        </w:tc>
        <w:tc>
          <w:tcPr>
            <w:tcW w:w="234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201.</w:t>
            </w:r>
          </w:p>
        </w:tc>
        <w:tc>
          <w:tcPr>
            <w:tcW w:w="8120" w:type="dxa"/>
            <w:vAlign w:val="bottom"/>
          </w:tcPr>
          <w:p>
            <w:pPr>
              <w:ind w:left="340"/>
              <w:spacing w:after="0"/>
              <w:rPr>
                <w:sz w:val="20"/>
                <w:szCs w:val="20"/>
                <w:color w:val="auto"/>
              </w:rPr>
            </w:pPr>
            <w:r>
              <w:rPr>
                <w:rFonts w:ascii="Arial" w:cs="Arial" w:eastAsia="Arial" w:hAnsi="Arial"/>
                <w:sz w:val="14"/>
                <w:szCs w:val="14"/>
                <w:color w:val="auto"/>
              </w:rPr>
              <w:t>Forms Generally</w:t>
            </w:r>
          </w:p>
        </w:tc>
        <w:tc>
          <w:tcPr>
            <w:tcW w:w="23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202.</w:t>
            </w:r>
          </w:p>
        </w:tc>
        <w:tc>
          <w:tcPr>
            <w:tcW w:w="8120" w:type="dxa"/>
            <w:vAlign w:val="bottom"/>
          </w:tcPr>
          <w:p>
            <w:pPr>
              <w:ind w:left="340"/>
              <w:spacing w:after="0"/>
              <w:rPr>
                <w:sz w:val="20"/>
                <w:szCs w:val="20"/>
                <w:color w:val="auto"/>
              </w:rPr>
            </w:pPr>
            <w:r>
              <w:rPr>
                <w:rFonts w:ascii="Arial" w:cs="Arial" w:eastAsia="Arial" w:hAnsi="Arial"/>
                <w:sz w:val="14"/>
                <w:szCs w:val="14"/>
                <w:color w:val="auto"/>
              </w:rPr>
              <w:t>Legends for Notes</w:t>
            </w:r>
          </w:p>
        </w:tc>
        <w:tc>
          <w:tcPr>
            <w:tcW w:w="23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203.</w:t>
            </w:r>
          </w:p>
        </w:tc>
        <w:tc>
          <w:tcPr>
            <w:tcW w:w="8120" w:type="dxa"/>
            <w:vAlign w:val="bottom"/>
          </w:tcPr>
          <w:p>
            <w:pPr>
              <w:ind w:left="340"/>
              <w:spacing w:after="0"/>
              <w:rPr>
                <w:sz w:val="20"/>
                <w:szCs w:val="20"/>
                <w:color w:val="auto"/>
              </w:rPr>
            </w:pPr>
            <w:r>
              <w:rPr>
                <w:rFonts w:ascii="Arial" w:cs="Arial" w:eastAsia="Arial" w:hAnsi="Arial"/>
                <w:sz w:val="14"/>
                <w:szCs w:val="14"/>
                <w:color w:val="auto"/>
              </w:rPr>
              <w:t>Global Notes</w:t>
            </w:r>
          </w:p>
        </w:tc>
        <w:tc>
          <w:tcPr>
            <w:tcW w:w="23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3"/>
        </w:trPr>
        <w:tc>
          <w:tcPr>
            <w:tcW w:w="1040" w:type="dxa"/>
            <w:vAlign w:val="bottom"/>
          </w:tcPr>
          <w:p>
            <w:pPr>
              <w:spacing w:after="0"/>
              <w:rPr>
                <w:sz w:val="24"/>
                <w:szCs w:val="24"/>
                <w:color w:val="auto"/>
              </w:rPr>
            </w:pPr>
          </w:p>
        </w:tc>
        <w:tc>
          <w:tcPr>
            <w:tcW w:w="8120" w:type="dxa"/>
            <w:vAlign w:val="bottom"/>
          </w:tcPr>
          <w:p>
            <w:pPr>
              <w:jc w:val="center"/>
              <w:ind w:left="1191"/>
              <w:spacing w:after="0"/>
              <w:rPr>
                <w:sz w:val="20"/>
                <w:szCs w:val="20"/>
                <w:color w:val="auto"/>
              </w:rPr>
            </w:pPr>
            <w:r>
              <w:rPr>
                <w:rFonts w:ascii="Arial" w:cs="Arial" w:eastAsia="Arial" w:hAnsi="Arial"/>
                <w:sz w:val="14"/>
                <w:szCs w:val="14"/>
                <w:b w:val="1"/>
                <w:bCs w:val="1"/>
                <w:color w:val="auto"/>
              </w:rPr>
              <w:t>ARTICLE THREE</w:t>
            </w:r>
          </w:p>
        </w:tc>
        <w:tc>
          <w:tcPr>
            <w:tcW w:w="234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8120" w:type="dxa"/>
            <w:vAlign w:val="bottom"/>
          </w:tcPr>
          <w:p>
            <w:pPr>
              <w:jc w:val="center"/>
              <w:ind w:left="1191"/>
              <w:spacing w:after="0"/>
              <w:rPr>
                <w:sz w:val="20"/>
                <w:szCs w:val="20"/>
                <w:color w:val="auto"/>
              </w:rPr>
            </w:pPr>
            <w:r>
              <w:rPr>
                <w:rFonts w:ascii="Arial" w:cs="Arial" w:eastAsia="Arial" w:hAnsi="Arial"/>
                <w:sz w:val="14"/>
                <w:szCs w:val="14"/>
                <w:color w:val="auto"/>
                <w:w w:val="92"/>
              </w:rPr>
              <w:t>THE NOTES</w:t>
            </w:r>
          </w:p>
        </w:tc>
        <w:tc>
          <w:tcPr>
            <w:tcW w:w="234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301.</w:t>
            </w:r>
          </w:p>
        </w:tc>
        <w:tc>
          <w:tcPr>
            <w:tcW w:w="8120" w:type="dxa"/>
            <w:vAlign w:val="bottom"/>
          </w:tcPr>
          <w:p>
            <w:pPr>
              <w:ind w:left="340"/>
              <w:spacing w:after="0"/>
              <w:rPr>
                <w:sz w:val="20"/>
                <w:szCs w:val="20"/>
                <w:color w:val="auto"/>
              </w:rPr>
            </w:pPr>
            <w:r>
              <w:rPr>
                <w:rFonts w:ascii="Arial" w:cs="Arial" w:eastAsia="Arial" w:hAnsi="Arial"/>
                <w:sz w:val="14"/>
                <w:szCs w:val="14"/>
                <w:color w:val="auto"/>
              </w:rPr>
              <w:t>Title and Terms</w:t>
            </w:r>
          </w:p>
        </w:tc>
        <w:tc>
          <w:tcPr>
            <w:tcW w:w="23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302.</w:t>
            </w:r>
          </w:p>
        </w:tc>
        <w:tc>
          <w:tcPr>
            <w:tcW w:w="8120" w:type="dxa"/>
            <w:vAlign w:val="bottom"/>
          </w:tcPr>
          <w:p>
            <w:pPr>
              <w:ind w:left="340"/>
              <w:spacing w:after="0"/>
              <w:rPr>
                <w:sz w:val="20"/>
                <w:szCs w:val="20"/>
                <w:color w:val="auto"/>
              </w:rPr>
            </w:pPr>
            <w:r>
              <w:rPr>
                <w:rFonts w:ascii="Arial" w:cs="Arial" w:eastAsia="Arial" w:hAnsi="Arial"/>
                <w:sz w:val="14"/>
                <w:szCs w:val="14"/>
                <w:color w:val="auto"/>
              </w:rPr>
              <w:t>Denominations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303.</w:t>
            </w:r>
          </w:p>
        </w:tc>
        <w:tc>
          <w:tcPr>
            <w:tcW w:w="8120" w:type="dxa"/>
            <w:vAlign w:val="bottom"/>
          </w:tcPr>
          <w:p>
            <w:pPr>
              <w:ind w:left="340"/>
              <w:spacing w:after="0"/>
              <w:rPr>
                <w:sz w:val="20"/>
                <w:szCs w:val="20"/>
                <w:color w:val="auto"/>
              </w:rPr>
            </w:pPr>
            <w:r>
              <w:rPr>
                <w:rFonts w:ascii="Arial" w:cs="Arial" w:eastAsia="Arial" w:hAnsi="Arial"/>
                <w:sz w:val="14"/>
                <w:szCs w:val="14"/>
                <w:color w:val="auto"/>
              </w:rPr>
              <w:t>Execution, Authentication, Delivery and Dating</w:t>
            </w:r>
          </w:p>
        </w:tc>
        <w:tc>
          <w:tcPr>
            <w:tcW w:w="23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304.</w:t>
            </w:r>
          </w:p>
        </w:tc>
        <w:tc>
          <w:tcPr>
            <w:tcW w:w="8120" w:type="dxa"/>
            <w:vAlign w:val="bottom"/>
          </w:tcPr>
          <w:p>
            <w:pPr>
              <w:ind w:left="340"/>
              <w:spacing w:after="0"/>
              <w:rPr>
                <w:sz w:val="20"/>
                <w:szCs w:val="20"/>
                <w:color w:val="auto"/>
              </w:rPr>
            </w:pPr>
            <w:r>
              <w:rPr>
                <w:rFonts w:ascii="Arial" w:cs="Arial" w:eastAsia="Arial" w:hAnsi="Arial"/>
                <w:sz w:val="14"/>
                <w:szCs w:val="14"/>
                <w:color w:val="auto"/>
              </w:rPr>
              <w:t>Temporary Notes</w:t>
            </w:r>
          </w:p>
        </w:tc>
        <w:tc>
          <w:tcPr>
            <w:tcW w:w="23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305.</w:t>
            </w:r>
          </w:p>
        </w:tc>
        <w:tc>
          <w:tcPr>
            <w:tcW w:w="8120" w:type="dxa"/>
            <w:vAlign w:val="bottom"/>
          </w:tcPr>
          <w:p>
            <w:pPr>
              <w:ind w:left="340"/>
              <w:spacing w:after="0"/>
              <w:rPr>
                <w:sz w:val="20"/>
                <w:szCs w:val="20"/>
                <w:color w:val="auto"/>
              </w:rPr>
            </w:pPr>
            <w:r>
              <w:rPr>
                <w:rFonts w:ascii="Arial" w:cs="Arial" w:eastAsia="Arial" w:hAnsi="Arial"/>
                <w:sz w:val="14"/>
                <w:szCs w:val="14"/>
                <w:color w:val="auto"/>
              </w:rPr>
              <w:t>Registrar, Global Notes and Definitive Notes</w:t>
            </w:r>
          </w:p>
        </w:tc>
        <w:tc>
          <w:tcPr>
            <w:tcW w:w="23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306.</w:t>
            </w:r>
          </w:p>
        </w:tc>
        <w:tc>
          <w:tcPr>
            <w:tcW w:w="8120" w:type="dxa"/>
            <w:vAlign w:val="bottom"/>
          </w:tcPr>
          <w:p>
            <w:pPr>
              <w:ind w:left="340"/>
              <w:spacing w:after="0"/>
              <w:rPr>
                <w:sz w:val="20"/>
                <w:szCs w:val="20"/>
                <w:color w:val="auto"/>
              </w:rPr>
            </w:pPr>
            <w:r>
              <w:rPr>
                <w:rFonts w:ascii="Arial" w:cs="Arial" w:eastAsia="Arial" w:hAnsi="Arial"/>
                <w:sz w:val="14"/>
                <w:szCs w:val="14"/>
                <w:color w:val="auto"/>
              </w:rPr>
              <w:t>Mutilated, Destroyed, Lost and Stolen Notes</w:t>
            </w:r>
          </w:p>
        </w:tc>
        <w:tc>
          <w:tcPr>
            <w:tcW w:w="23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307.</w:t>
            </w:r>
          </w:p>
        </w:tc>
        <w:tc>
          <w:tcPr>
            <w:tcW w:w="8120" w:type="dxa"/>
            <w:vAlign w:val="bottom"/>
          </w:tcPr>
          <w:p>
            <w:pPr>
              <w:ind w:left="340"/>
              <w:spacing w:after="0"/>
              <w:rPr>
                <w:sz w:val="20"/>
                <w:szCs w:val="20"/>
                <w:color w:val="auto"/>
              </w:rPr>
            </w:pPr>
            <w:r>
              <w:rPr>
                <w:rFonts w:ascii="Arial" w:cs="Arial" w:eastAsia="Arial" w:hAnsi="Arial"/>
                <w:sz w:val="14"/>
                <w:szCs w:val="14"/>
                <w:color w:val="auto"/>
              </w:rPr>
              <w:t>Payment of Interest; Interest Rights Preserved</w:t>
            </w:r>
          </w:p>
        </w:tc>
        <w:tc>
          <w:tcPr>
            <w:tcW w:w="23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308.</w:t>
            </w:r>
          </w:p>
        </w:tc>
        <w:tc>
          <w:tcPr>
            <w:tcW w:w="8120" w:type="dxa"/>
            <w:vAlign w:val="bottom"/>
          </w:tcPr>
          <w:p>
            <w:pPr>
              <w:ind w:left="340"/>
              <w:spacing w:after="0"/>
              <w:rPr>
                <w:sz w:val="20"/>
                <w:szCs w:val="20"/>
                <w:color w:val="auto"/>
              </w:rPr>
            </w:pPr>
            <w:r>
              <w:rPr>
                <w:rFonts w:ascii="Arial" w:cs="Arial" w:eastAsia="Arial" w:hAnsi="Arial"/>
                <w:sz w:val="14"/>
                <w:szCs w:val="14"/>
                <w:color w:val="auto"/>
              </w:rPr>
              <w:t>Persons Deemed Owners</w:t>
            </w:r>
          </w:p>
        </w:tc>
        <w:tc>
          <w:tcPr>
            <w:tcW w:w="23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309.</w:t>
            </w:r>
          </w:p>
        </w:tc>
        <w:tc>
          <w:tcPr>
            <w:tcW w:w="8120" w:type="dxa"/>
            <w:vAlign w:val="bottom"/>
          </w:tcPr>
          <w:p>
            <w:pPr>
              <w:ind w:left="340"/>
              <w:spacing w:after="0"/>
              <w:rPr>
                <w:sz w:val="20"/>
                <w:szCs w:val="20"/>
                <w:color w:val="auto"/>
              </w:rPr>
            </w:pPr>
            <w:r>
              <w:rPr>
                <w:rFonts w:ascii="Arial" w:cs="Arial" w:eastAsia="Arial" w:hAnsi="Arial"/>
                <w:sz w:val="14"/>
                <w:szCs w:val="14"/>
                <w:color w:val="auto"/>
              </w:rPr>
              <w:t>Cancellation</w:t>
            </w:r>
          </w:p>
        </w:tc>
        <w:tc>
          <w:tcPr>
            <w:tcW w:w="23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310.</w:t>
            </w:r>
          </w:p>
        </w:tc>
        <w:tc>
          <w:tcPr>
            <w:tcW w:w="8120" w:type="dxa"/>
            <w:vAlign w:val="bottom"/>
          </w:tcPr>
          <w:p>
            <w:pPr>
              <w:ind w:left="340"/>
              <w:spacing w:after="0"/>
              <w:rPr>
                <w:sz w:val="20"/>
                <w:szCs w:val="20"/>
                <w:color w:val="auto"/>
              </w:rPr>
            </w:pPr>
            <w:r>
              <w:rPr>
                <w:rFonts w:ascii="Arial" w:cs="Arial" w:eastAsia="Arial" w:hAnsi="Arial"/>
                <w:sz w:val="14"/>
                <w:szCs w:val="14"/>
                <w:color w:val="auto"/>
              </w:rPr>
              <w:t>Computation of Interest</w:t>
            </w:r>
          </w:p>
        </w:tc>
        <w:tc>
          <w:tcPr>
            <w:tcW w:w="23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311.</w:t>
            </w:r>
          </w:p>
        </w:tc>
        <w:tc>
          <w:tcPr>
            <w:tcW w:w="8120" w:type="dxa"/>
            <w:vAlign w:val="bottom"/>
          </w:tcPr>
          <w:p>
            <w:pPr>
              <w:ind w:left="340"/>
              <w:spacing w:after="0"/>
              <w:rPr>
                <w:sz w:val="20"/>
                <w:szCs w:val="20"/>
                <w:color w:val="auto"/>
              </w:rPr>
            </w:pPr>
            <w:r>
              <w:rPr>
                <w:rFonts w:ascii="Arial" w:cs="Arial" w:eastAsia="Arial" w:hAnsi="Arial"/>
                <w:sz w:val="14"/>
                <w:szCs w:val="14"/>
                <w:color w:val="auto"/>
              </w:rPr>
              <w:t>Transfer and Exchange</w:t>
            </w:r>
          </w:p>
        </w:tc>
        <w:tc>
          <w:tcPr>
            <w:tcW w:w="23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312.</w:t>
            </w:r>
          </w:p>
        </w:tc>
        <w:tc>
          <w:tcPr>
            <w:tcW w:w="8120" w:type="dxa"/>
            <w:vAlign w:val="bottom"/>
          </w:tcPr>
          <w:p>
            <w:pPr>
              <w:ind w:left="340"/>
              <w:spacing w:after="0"/>
              <w:rPr>
                <w:sz w:val="20"/>
                <w:szCs w:val="20"/>
                <w:color w:val="auto"/>
              </w:rPr>
            </w:pPr>
            <w:r>
              <w:rPr>
                <w:rFonts w:ascii="Arial" w:cs="Arial" w:eastAsia="Arial" w:hAnsi="Arial"/>
                <w:sz w:val="14"/>
                <w:szCs w:val="14"/>
                <w:color w:val="auto"/>
              </w:rPr>
              <w:t>When Securities Disregarded</w:t>
            </w:r>
          </w:p>
        </w:tc>
        <w:tc>
          <w:tcPr>
            <w:tcW w:w="23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66"/>
        </w:trPr>
        <w:tc>
          <w:tcPr>
            <w:tcW w:w="1040" w:type="dxa"/>
            <w:vAlign w:val="bottom"/>
            <w:tcBorders>
              <w:bottom w:val="single" w:sz="8" w:color="808080"/>
            </w:tcBorders>
          </w:tcPr>
          <w:p>
            <w:pPr>
              <w:spacing w:after="0"/>
              <w:rPr>
                <w:sz w:val="23"/>
                <w:szCs w:val="23"/>
                <w:color w:val="auto"/>
              </w:rPr>
            </w:pPr>
          </w:p>
        </w:tc>
        <w:tc>
          <w:tcPr>
            <w:tcW w:w="8120" w:type="dxa"/>
            <w:vAlign w:val="bottom"/>
            <w:tcBorders>
              <w:bottom w:val="single" w:sz="8" w:color="808080"/>
            </w:tcBorders>
          </w:tcPr>
          <w:p>
            <w:pPr>
              <w:spacing w:after="0"/>
              <w:rPr>
                <w:sz w:val="23"/>
                <w:szCs w:val="23"/>
                <w:color w:val="auto"/>
              </w:rPr>
            </w:pPr>
          </w:p>
        </w:tc>
        <w:tc>
          <w:tcPr>
            <w:tcW w:w="23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313.</w:t>
            </w:r>
          </w:p>
        </w:tc>
        <w:tc>
          <w:tcPr>
            <w:tcW w:w="8440" w:type="dxa"/>
            <w:vAlign w:val="bottom"/>
          </w:tcPr>
          <w:p>
            <w:pPr>
              <w:ind w:left="340"/>
              <w:spacing w:after="0"/>
              <w:rPr>
                <w:sz w:val="20"/>
                <w:szCs w:val="20"/>
                <w:color w:val="auto"/>
              </w:rPr>
            </w:pPr>
            <w:r>
              <w:rPr>
                <w:rFonts w:ascii="Arial" w:cs="Arial" w:eastAsia="Arial" w:hAnsi="Arial"/>
                <w:sz w:val="14"/>
                <w:szCs w:val="14"/>
                <w:color w:val="auto"/>
              </w:rPr>
              <w:t>Calculation of Specified Percentage of Notes</w:t>
            </w:r>
          </w:p>
        </w:tc>
        <w:tc>
          <w:tcPr>
            <w:tcW w:w="19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23"/>
        </w:trPr>
        <w:tc>
          <w:tcPr>
            <w:tcW w:w="1040" w:type="dxa"/>
            <w:vAlign w:val="bottom"/>
          </w:tcPr>
          <w:p>
            <w:pPr>
              <w:spacing w:after="0"/>
              <w:rPr>
                <w:sz w:val="24"/>
                <w:szCs w:val="24"/>
                <w:color w:val="auto"/>
              </w:rPr>
            </w:pPr>
          </w:p>
        </w:tc>
        <w:tc>
          <w:tcPr>
            <w:tcW w:w="8440" w:type="dxa"/>
            <w:vAlign w:val="bottom"/>
          </w:tcPr>
          <w:p>
            <w:pPr>
              <w:jc w:val="center"/>
              <w:ind w:left="871"/>
              <w:spacing w:after="0"/>
              <w:rPr>
                <w:sz w:val="20"/>
                <w:szCs w:val="20"/>
                <w:color w:val="auto"/>
              </w:rPr>
            </w:pPr>
            <w:r>
              <w:rPr>
                <w:rFonts w:ascii="Arial" w:cs="Arial" w:eastAsia="Arial" w:hAnsi="Arial"/>
                <w:sz w:val="14"/>
                <w:szCs w:val="14"/>
                <w:b w:val="1"/>
                <w:bCs w:val="1"/>
                <w:color w:val="auto"/>
              </w:rPr>
              <w:t>ARTICLE FOUR</w:t>
            </w:r>
          </w:p>
        </w:tc>
        <w:tc>
          <w:tcPr>
            <w:tcW w:w="198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8440" w:type="dxa"/>
            <w:vAlign w:val="bottom"/>
          </w:tcPr>
          <w:p>
            <w:pPr>
              <w:jc w:val="center"/>
              <w:ind w:left="891"/>
              <w:spacing w:after="0"/>
              <w:rPr>
                <w:sz w:val="20"/>
                <w:szCs w:val="20"/>
                <w:color w:val="auto"/>
              </w:rPr>
            </w:pPr>
            <w:r>
              <w:rPr>
                <w:rFonts w:ascii="Arial" w:cs="Arial" w:eastAsia="Arial" w:hAnsi="Arial"/>
                <w:sz w:val="14"/>
                <w:szCs w:val="14"/>
                <w:color w:val="auto"/>
                <w:w w:val="95"/>
              </w:rPr>
              <w:t>SATISFACTION AND DISCHARGE</w:t>
            </w:r>
          </w:p>
        </w:tc>
        <w:tc>
          <w:tcPr>
            <w:tcW w:w="198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401.</w:t>
            </w:r>
          </w:p>
        </w:tc>
        <w:tc>
          <w:tcPr>
            <w:tcW w:w="8440" w:type="dxa"/>
            <w:vAlign w:val="bottom"/>
          </w:tcPr>
          <w:p>
            <w:pPr>
              <w:ind w:left="340"/>
              <w:spacing w:after="0"/>
              <w:rPr>
                <w:sz w:val="20"/>
                <w:szCs w:val="20"/>
                <w:color w:val="auto"/>
              </w:rPr>
            </w:pPr>
            <w:r>
              <w:rPr>
                <w:rFonts w:ascii="Arial" w:cs="Arial" w:eastAsia="Arial" w:hAnsi="Arial"/>
                <w:sz w:val="14"/>
                <w:szCs w:val="14"/>
                <w:color w:val="auto"/>
              </w:rPr>
              <w:t>Satisfaction and Discharge of Indenture</w:t>
            </w:r>
          </w:p>
        </w:tc>
        <w:tc>
          <w:tcPr>
            <w:tcW w:w="19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402.</w:t>
            </w:r>
          </w:p>
        </w:tc>
        <w:tc>
          <w:tcPr>
            <w:tcW w:w="8440" w:type="dxa"/>
            <w:vAlign w:val="bottom"/>
          </w:tcPr>
          <w:p>
            <w:pPr>
              <w:ind w:left="340"/>
              <w:spacing w:after="0"/>
              <w:rPr>
                <w:sz w:val="20"/>
                <w:szCs w:val="20"/>
                <w:color w:val="auto"/>
              </w:rPr>
            </w:pPr>
            <w:r>
              <w:rPr>
                <w:rFonts w:ascii="Arial" w:cs="Arial" w:eastAsia="Arial" w:hAnsi="Arial"/>
                <w:sz w:val="14"/>
                <w:szCs w:val="14"/>
                <w:color w:val="auto"/>
              </w:rPr>
              <w:t>Application of Trust Money</w:t>
            </w:r>
          </w:p>
        </w:tc>
        <w:tc>
          <w:tcPr>
            <w:tcW w:w="19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23"/>
        </w:trPr>
        <w:tc>
          <w:tcPr>
            <w:tcW w:w="1040" w:type="dxa"/>
            <w:vAlign w:val="bottom"/>
          </w:tcPr>
          <w:p>
            <w:pPr>
              <w:spacing w:after="0"/>
              <w:rPr>
                <w:sz w:val="24"/>
                <w:szCs w:val="24"/>
                <w:color w:val="auto"/>
              </w:rPr>
            </w:pPr>
          </w:p>
        </w:tc>
        <w:tc>
          <w:tcPr>
            <w:tcW w:w="8440" w:type="dxa"/>
            <w:vAlign w:val="bottom"/>
          </w:tcPr>
          <w:p>
            <w:pPr>
              <w:jc w:val="center"/>
              <w:ind w:left="871"/>
              <w:spacing w:after="0"/>
              <w:rPr>
                <w:sz w:val="20"/>
                <w:szCs w:val="20"/>
                <w:color w:val="auto"/>
              </w:rPr>
            </w:pPr>
            <w:r>
              <w:rPr>
                <w:rFonts w:ascii="Arial" w:cs="Arial" w:eastAsia="Arial" w:hAnsi="Arial"/>
                <w:sz w:val="14"/>
                <w:szCs w:val="14"/>
                <w:b w:val="1"/>
                <w:bCs w:val="1"/>
                <w:color w:val="auto"/>
              </w:rPr>
              <w:t>ARTICLE FIVE</w:t>
            </w:r>
          </w:p>
        </w:tc>
        <w:tc>
          <w:tcPr>
            <w:tcW w:w="198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8440" w:type="dxa"/>
            <w:vAlign w:val="bottom"/>
          </w:tcPr>
          <w:p>
            <w:pPr>
              <w:jc w:val="center"/>
              <w:ind w:left="871"/>
              <w:spacing w:after="0"/>
              <w:rPr>
                <w:sz w:val="20"/>
                <w:szCs w:val="20"/>
                <w:color w:val="auto"/>
              </w:rPr>
            </w:pPr>
            <w:r>
              <w:rPr>
                <w:rFonts w:ascii="Arial" w:cs="Arial" w:eastAsia="Arial" w:hAnsi="Arial"/>
                <w:sz w:val="14"/>
                <w:szCs w:val="14"/>
                <w:color w:val="auto"/>
                <w:w w:val="95"/>
              </w:rPr>
              <w:t>REMEDIES</w:t>
            </w:r>
          </w:p>
        </w:tc>
        <w:tc>
          <w:tcPr>
            <w:tcW w:w="198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501.</w:t>
            </w:r>
          </w:p>
        </w:tc>
        <w:tc>
          <w:tcPr>
            <w:tcW w:w="8440" w:type="dxa"/>
            <w:vAlign w:val="bottom"/>
          </w:tcPr>
          <w:p>
            <w:pPr>
              <w:ind w:left="340"/>
              <w:spacing w:after="0"/>
              <w:rPr>
                <w:sz w:val="20"/>
                <w:szCs w:val="20"/>
                <w:color w:val="auto"/>
              </w:rPr>
            </w:pPr>
            <w:r>
              <w:rPr>
                <w:rFonts w:ascii="Arial" w:cs="Arial" w:eastAsia="Arial" w:hAnsi="Arial"/>
                <w:sz w:val="14"/>
                <w:szCs w:val="14"/>
                <w:color w:val="auto"/>
              </w:rPr>
              <w:t>Events of Default</w:t>
            </w:r>
          </w:p>
        </w:tc>
        <w:tc>
          <w:tcPr>
            <w:tcW w:w="19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502.</w:t>
            </w:r>
          </w:p>
        </w:tc>
        <w:tc>
          <w:tcPr>
            <w:tcW w:w="8440" w:type="dxa"/>
            <w:vAlign w:val="bottom"/>
          </w:tcPr>
          <w:p>
            <w:pPr>
              <w:ind w:left="340"/>
              <w:spacing w:after="0"/>
              <w:rPr>
                <w:sz w:val="20"/>
                <w:szCs w:val="20"/>
                <w:color w:val="auto"/>
              </w:rPr>
            </w:pPr>
            <w:r>
              <w:rPr>
                <w:rFonts w:ascii="Arial" w:cs="Arial" w:eastAsia="Arial" w:hAnsi="Arial"/>
                <w:sz w:val="14"/>
                <w:szCs w:val="14"/>
                <w:color w:val="auto"/>
              </w:rPr>
              <w:t>Acceleration of Maturity; Rescission and Annulment</w:t>
            </w:r>
          </w:p>
        </w:tc>
        <w:tc>
          <w:tcPr>
            <w:tcW w:w="19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503.</w:t>
            </w:r>
          </w:p>
        </w:tc>
        <w:tc>
          <w:tcPr>
            <w:tcW w:w="8440" w:type="dxa"/>
            <w:vAlign w:val="bottom"/>
          </w:tcPr>
          <w:p>
            <w:pPr>
              <w:ind w:left="340"/>
              <w:spacing w:after="0"/>
              <w:rPr>
                <w:sz w:val="20"/>
                <w:szCs w:val="20"/>
                <w:color w:val="auto"/>
              </w:rPr>
            </w:pPr>
            <w:r>
              <w:rPr>
                <w:rFonts w:ascii="Arial" w:cs="Arial" w:eastAsia="Arial" w:hAnsi="Arial"/>
                <w:sz w:val="14"/>
                <w:szCs w:val="14"/>
                <w:color w:val="auto"/>
              </w:rPr>
              <w:t>Collection of Indebtedness and Suits for Enforcement by Trustee</w:t>
            </w:r>
          </w:p>
        </w:tc>
        <w:tc>
          <w:tcPr>
            <w:tcW w:w="19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504.</w:t>
            </w:r>
          </w:p>
        </w:tc>
        <w:tc>
          <w:tcPr>
            <w:tcW w:w="8440" w:type="dxa"/>
            <w:vAlign w:val="bottom"/>
          </w:tcPr>
          <w:p>
            <w:pPr>
              <w:ind w:left="340"/>
              <w:spacing w:after="0"/>
              <w:rPr>
                <w:sz w:val="20"/>
                <w:szCs w:val="20"/>
                <w:color w:val="auto"/>
              </w:rPr>
            </w:pPr>
            <w:r>
              <w:rPr>
                <w:rFonts w:ascii="Arial" w:cs="Arial" w:eastAsia="Arial" w:hAnsi="Arial"/>
                <w:sz w:val="14"/>
                <w:szCs w:val="14"/>
                <w:color w:val="auto"/>
              </w:rPr>
              <w:t>Trustee May File Proofs of Claim</w:t>
            </w:r>
          </w:p>
        </w:tc>
        <w:tc>
          <w:tcPr>
            <w:tcW w:w="19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505.</w:t>
            </w:r>
          </w:p>
        </w:tc>
        <w:tc>
          <w:tcPr>
            <w:tcW w:w="8440" w:type="dxa"/>
            <w:vAlign w:val="bottom"/>
          </w:tcPr>
          <w:p>
            <w:pPr>
              <w:ind w:left="340"/>
              <w:spacing w:after="0"/>
              <w:rPr>
                <w:sz w:val="20"/>
                <w:szCs w:val="20"/>
                <w:color w:val="auto"/>
              </w:rPr>
            </w:pPr>
            <w:r>
              <w:rPr>
                <w:rFonts w:ascii="Arial" w:cs="Arial" w:eastAsia="Arial" w:hAnsi="Arial"/>
                <w:sz w:val="14"/>
                <w:szCs w:val="14"/>
                <w:color w:val="auto"/>
              </w:rPr>
              <w:t>Trustee May Enforce Claims Without Possession of Notes</w:t>
            </w:r>
          </w:p>
        </w:tc>
        <w:tc>
          <w:tcPr>
            <w:tcW w:w="19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506.</w:t>
            </w:r>
          </w:p>
        </w:tc>
        <w:tc>
          <w:tcPr>
            <w:tcW w:w="8440" w:type="dxa"/>
            <w:vAlign w:val="bottom"/>
          </w:tcPr>
          <w:p>
            <w:pPr>
              <w:ind w:left="340"/>
              <w:spacing w:after="0"/>
              <w:rPr>
                <w:sz w:val="20"/>
                <w:szCs w:val="20"/>
                <w:color w:val="auto"/>
              </w:rPr>
            </w:pPr>
            <w:r>
              <w:rPr>
                <w:rFonts w:ascii="Arial" w:cs="Arial" w:eastAsia="Arial" w:hAnsi="Arial"/>
                <w:sz w:val="14"/>
                <w:szCs w:val="14"/>
                <w:color w:val="auto"/>
              </w:rPr>
              <w:t>Application of Money Collected</w:t>
            </w:r>
          </w:p>
        </w:tc>
        <w:tc>
          <w:tcPr>
            <w:tcW w:w="19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507.</w:t>
            </w:r>
          </w:p>
        </w:tc>
        <w:tc>
          <w:tcPr>
            <w:tcW w:w="8440" w:type="dxa"/>
            <w:vAlign w:val="bottom"/>
          </w:tcPr>
          <w:p>
            <w:pPr>
              <w:ind w:left="340"/>
              <w:spacing w:after="0"/>
              <w:rPr>
                <w:sz w:val="20"/>
                <w:szCs w:val="20"/>
                <w:color w:val="auto"/>
              </w:rPr>
            </w:pPr>
            <w:r>
              <w:rPr>
                <w:rFonts w:ascii="Arial" w:cs="Arial" w:eastAsia="Arial" w:hAnsi="Arial"/>
                <w:sz w:val="14"/>
                <w:szCs w:val="14"/>
                <w:color w:val="auto"/>
              </w:rPr>
              <w:t>Limitation on Suits</w:t>
            </w:r>
          </w:p>
        </w:tc>
        <w:tc>
          <w:tcPr>
            <w:tcW w:w="19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508.</w:t>
            </w:r>
          </w:p>
        </w:tc>
        <w:tc>
          <w:tcPr>
            <w:tcW w:w="8440" w:type="dxa"/>
            <w:vAlign w:val="bottom"/>
          </w:tcPr>
          <w:p>
            <w:pPr>
              <w:ind w:left="340"/>
              <w:spacing w:after="0"/>
              <w:rPr>
                <w:sz w:val="20"/>
                <w:szCs w:val="20"/>
                <w:color w:val="auto"/>
              </w:rPr>
            </w:pPr>
            <w:r>
              <w:rPr>
                <w:rFonts w:ascii="Arial" w:cs="Arial" w:eastAsia="Arial" w:hAnsi="Arial"/>
                <w:sz w:val="14"/>
                <w:szCs w:val="14"/>
                <w:color w:val="auto"/>
              </w:rPr>
              <w:t>Unconditional Right of Holders to Receive Principal, Premium and Interest</w:t>
            </w:r>
          </w:p>
        </w:tc>
        <w:tc>
          <w:tcPr>
            <w:tcW w:w="19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509.</w:t>
            </w:r>
          </w:p>
        </w:tc>
        <w:tc>
          <w:tcPr>
            <w:tcW w:w="8440" w:type="dxa"/>
            <w:vAlign w:val="bottom"/>
          </w:tcPr>
          <w:p>
            <w:pPr>
              <w:ind w:left="340"/>
              <w:spacing w:after="0"/>
              <w:rPr>
                <w:sz w:val="20"/>
                <w:szCs w:val="20"/>
                <w:color w:val="auto"/>
              </w:rPr>
            </w:pPr>
            <w:r>
              <w:rPr>
                <w:rFonts w:ascii="Arial" w:cs="Arial" w:eastAsia="Arial" w:hAnsi="Arial"/>
                <w:sz w:val="14"/>
                <w:szCs w:val="14"/>
                <w:color w:val="auto"/>
              </w:rPr>
              <w:t>Restoration of Rights and Remedies</w:t>
            </w:r>
          </w:p>
        </w:tc>
        <w:tc>
          <w:tcPr>
            <w:tcW w:w="19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510.</w:t>
            </w:r>
          </w:p>
        </w:tc>
        <w:tc>
          <w:tcPr>
            <w:tcW w:w="8440" w:type="dxa"/>
            <w:vAlign w:val="bottom"/>
          </w:tcPr>
          <w:p>
            <w:pPr>
              <w:ind w:left="340"/>
              <w:spacing w:after="0"/>
              <w:rPr>
                <w:sz w:val="20"/>
                <w:szCs w:val="20"/>
                <w:color w:val="auto"/>
              </w:rPr>
            </w:pPr>
            <w:r>
              <w:rPr>
                <w:rFonts w:ascii="Arial" w:cs="Arial" w:eastAsia="Arial" w:hAnsi="Arial"/>
                <w:sz w:val="14"/>
                <w:szCs w:val="14"/>
                <w:color w:val="auto"/>
              </w:rPr>
              <w:t>Rights and Remedies Cumulative</w:t>
            </w:r>
          </w:p>
        </w:tc>
        <w:tc>
          <w:tcPr>
            <w:tcW w:w="19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511.</w:t>
            </w:r>
          </w:p>
        </w:tc>
        <w:tc>
          <w:tcPr>
            <w:tcW w:w="8440" w:type="dxa"/>
            <w:vAlign w:val="bottom"/>
          </w:tcPr>
          <w:p>
            <w:pPr>
              <w:ind w:left="340"/>
              <w:spacing w:after="0"/>
              <w:rPr>
                <w:sz w:val="20"/>
                <w:szCs w:val="20"/>
                <w:color w:val="auto"/>
              </w:rPr>
            </w:pPr>
            <w:r>
              <w:rPr>
                <w:rFonts w:ascii="Arial" w:cs="Arial" w:eastAsia="Arial" w:hAnsi="Arial"/>
                <w:sz w:val="14"/>
                <w:szCs w:val="14"/>
                <w:color w:val="auto"/>
              </w:rPr>
              <w:t>Delay or Omission Not Waiver</w:t>
            </w:r>
          </w:p>
        </w:tc>
        <w:tc>
          <w:tcPr>
            <w:tcW w:w="19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512.</w:t>
            </w:r>
          </w:p>
        </w:tc>
        <w:tc>
          <w:tcPr>
            <w:tcW w:w="8440" w:type="dxa"/>
            <w:vAlign w:val="bottom"/>
          </w:tcPr>
          <w:p>
            <w:pPr>
              <w:ind w:left="340"/>
              <w:spacing w:after="0"/>
              <w:rPr>
                <w:sz w:val="20"/>
                <w:szCs w:val="20"/>
                <w:color w:val="auto"/>
              </w:rPr>
            </w:pPr>
            <w:r>
              <w:rPr>
                <w:rFonts w:ascii="Arial" w:cs="Arial" w:eastAsia="Arial" w:hAnsi="Arial"/>
                <w:sz w:val="14"/>
                <w:szCs w:val="14"/>
                <w:color w:val="auto"/>
              </w:rPr>
              <w:t>Control by Holders</w:t>
            </w:r>
          </w:p>
        </w:tc>
        <w:tc>
          <w:tcPr>
            <w:tcW w:w="19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513.</w:t>
            </w:r>
          </w:p>
        </w:tc>
        <w:tc>
          <w:tcPr>
            <w:tcW w:w="8440" w:type="dxa"/>
            <w:vAlign w:val="bottom"/>
          </w:tcPr>
          <w:p>
            <w:pPr>
              <w:ind w:left="340"/>
              <w:spacing w:after="0"/>
              <w:rPr>
                <w:sz w:val="20"/>
                <w:szCs w:val="20"/>
                <w:color w:val="auto"/>
              </w:rPr>
            </w:pPr>
            <w:r>
              <w:rPr>
                <w:rFonts w:ascii="Arial" w:cs="Arial" w:eastAsia="Arial" w:hAnsi="Arial"/>
                <w:sz w:val="14"/>
                <w:szCs w:val="14"/>
                <w:color w:val="auto"/>
              </w:rPr>
              <w:t>Waiver of Existing Defaults</w:t>
            </w:r>
          </w:p>
        </w:tc>
        <w:tc>
          <w:tcPr>
            <w:tcW w:w="19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514.</w:t>
            </w:r>
          </w:p>
        </w:tc>
        <w:tc>
          <w:tcPr>
            <w:tcW w:w="8440" w:type="dxa"/>
            <w:vAlign w:val="bottom"/>
          </w:tcPr>
          <w:p>
            <w:pPr>
              <w:ind w:left="340"/>
              <w:spacing w:after="0"/>
              <w:rPr>
                <w:sz w:val="20"/>
                <w:szCs w:val="20"/>
                <w:color w:val="auto"/>
              </w:rPr>
            </w:pPr>
            <w:r>
              <w:rPr>
                <w:rFonts w:ascii="Arial" w:cs="Arial" w:eastAsia="Arial" w:hAnsi="Arial"/>
                <w:sz w:val="14"/>
                <w:szCs w:val="14"/>
                <w:color w:val="auto"/>
              </w:rPr>
              <w:t>Undertaking for Costs</w:t>
            </w:r>
          </w:p>
        </w:tc>
        <w:tc>
          <w:tcPr>
            <w:tcW w:w="19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515.</w:t>
            </w:r>
          </w:p>
        </w:tc>
        <w:tc>
          <w:tcPr>
            <w:tcW w:w="8440" w:type="dxa"/>
            <w:vAlign w:val="bottom"/>
          </w:tcPr>
          <w:p>
            <w:pPr>
              <w:ind w:left="340"/>
              <w:spacing w:after="0"/>
              <w:rPr>
                <w:sz w:val="20"/>
                <w:szCs w:val="20"/>
                <w:color w:val="auto"/>
              </w:rPr>
            </w:pPr>
            <w:r>
              <w:rPr>
                <w:rFonts w:ascii="Arial" w:cs="Arial" w:eastAsia="Arial" w:hAnsi="Arial"/>
                <w:sz w:val="14"/>
                <w:szCs w:val="14"/>
                <w:color w:val="auto"/>
              </w:rPr>
              <w:t>Waiver of Usury, Stay or Extension Laws</w:t>
            </w:r>
          </w:p>
        </w:tc>
        <w:tc>
          <w:tcPr>
            <w:tcW w:w="19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323"/>
        </w:trPr>
        <w:tc>
          <w:tcPr>
            <w:tcW w:w="1040" w:type="dxa"/>
            <w:vAlign w:val="bottom"/>
          </w:tcPr>
          <w:p>
            <w:pPr>
              <w:spacing w:after="0"/>
              <w:rPr>
                <w:sz w:val="24"/>
                <w:szCs w:val="24"/>
                <w:color w:val="auto"/>
              </w:rPr>
            </w:pPr>
          </w:p>
        </w:tc>
        <w:tc>
          <w:tcPr>
            <w:tcW w:w="8440" w:type="dxa"/>
            <w:vAlign w:val="bottom"/>
          </w:tcPr>
          <w:p>
            <w:pPr>
              <w:jc w:val="center"/>
              <w:ind w:left="871"/>
              <w:spacing w:after="0"/>
              <w:rPr>
                <w:sz w:val="20"/>
                <w:szCs w:val="20"/>
                <w:color w:val="auto"/>
              </w:rPr>
            </w:pPr>
            <w:r>
              <w:rPr>
                <w:rFonts w:ascii="Arial" w:cs="Arial" w:eastAsia="Arial" w:hAnsi="Arial"/>
                <w:sz w:val="14"/>
                <w:szCs w:val="14"/>
                <w:b w:val="1"/>
                <w:bCs w:val="1"/>
                <w:color w:val="auto"/>
              </w:rPr>
              <w:t>ARTICLE SIX</w:t>
            </w:r>
          </w:p>
        </w:tc>
        <w:tc>
          <w:tcPr>
            <w:tcW w:w="198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8440" w:type="dxa"/>
            <w:vAlign w:val="bottom"/>
          </w:tcPr>
          <w:p>
            <w:pPr>
              <w:jc w:val="center"/>
              <w:ind w:left="871"/>
              <w:spacing w:after="0"/>
              <w:rPr>
                <w:sz w:val="20"/>
                <w:szCs w:val="20"/>
                <w:color w:val="auto"/>
              </w:rPr>
            </w:pPr>
            <w:r>
              <w:rPr>
                <w:rFonts w:ascii="Arial" w:cs="Arial" w:eastAsia="Arial" w:hAnsi="Arial"/>
                <w:sz w:val="14"/>
                <w:szCs w:val="14"/>
                <w:color w:val="auto"/>
                <w:w w:val="92"/>
              </w:rPr>
              <w:t>THE TRUSTEE</w:t>
            </w:r>
          </w:p>
        </w:tc>
        <w:tc>
          <w:tcPr>
            <w:tcW w:w="198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601.</w:t>
            </w:r>
          </w:p>
        </w:tc>
        <w:tc>
          <w:tcPr>
            <w:tcW w:w="8440" w:type="dxa"/>
            <w:vAlign w:val="bottom"/>
          </w:tcPr>
          <w:p>
            <w:pPr>
              <w:ind w:left="340"/>
              <w:spacing w:after="0"/>
              <w:rPr>
                <w:sz w:val="20"/>
                <w:szCs w:val="20"/>
                <w:color w:val="auto"/>
              </w:rPr>
            </w:pPr>
            <w:r>
              <w:rPr>
                <w:rFonts w:ascii="Arial" w:cs="Arial" w:eastAsia="Arial" w:hAnsi="Arial"/>
                <w:sz w:val="14"/>
                <w:szCs w:val="14"/>
                <w:color w:val="auto"/>
              </w:rPr>
              <w:t>Certain Duties and Responsibilities</w:t>
            </w:r>
          </w:p>
        </w:tc>
        <w:tc>
          <w:tcPr>
            <w:tcW w:w="19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602.</w:t>
            </w:r>
          </w:p>
        </w:tc>
        <w:tc>
          <w:tcPr>
            <w:tcW w:w="8440" w:type="dxa"/>
            <w:vAlign w:val="bottom"/>
          </w:tcPr>
          <w:p>
            <w:pPr>
              <w:ind w:left="340"/>
              <w:spacing w:after="0"/>
              <w:rPr>
                <w:sz w:val="20"/>
                <w:szCs w:val="20"/>
                <w:color w:val="auto"/>
              </w:rPr>
            </w:pPr>
            <w:r>
              <w:rPr>
                <w:rFonts w:ascii="Arial" w:cs="Arial" w:eastAsia="Arial" w:hAnsi="Arial"/>
                <w:sz w:val="14"/>
                <w:szCs w:val="14"/>
                <w:color w:val="auto"/>
              </w:rPr>
              <w:t>Notice of Defaults</w:t>
            </w:r>
          </w:p>
        </w:tc>
        <w:tc>
          <w:tcPr>
            <w:tcW w:w="19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603.</w:t>
            </w:r>
          </w:p>
        </w:tc>
        <w:tc>
          <w:tcPr>
            <w:tcW w:w="8440" w:type="dxa"/>
            <w:vAlign w:val="bottom"/>
          </w:tcPr>
          <w:p>
            <w:pPr>
              <w:ind w:left="340"/>
              <w:spacing w:after="0"/>
              <w:rPr>
                <w:sz w:val="20"/>
                <w:szCs w:val="20"/>
                <w:color w:val="auto"/>
              </w:rPr>
            </w:pPr>
            <w:r>
              <w:rPr>
                <w:rFonts w:ascii="Arial" w:cs="Arial" w:eastAsia="Arial" w:hAnsi="Arial"/>
                <w:sz w:val="14"/>
                <w:szCs w:val="14"/>
                <w:color w:val="auto"/>
              </w:rPr>
              <w:t>Certain Rights of Trustee</w:t>
            </w:r>
          </w:p>
        </w:tc>
        <w:tc>
          <w:tcPr>
            <w:tcW w:w="19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604.</w:t>
            </w:r>
          </w:p>
        </w:tc>
        <w:tc>
          <w:tcPr>
            <w:tcW w:w="8440" w:type="dxa"/>
            <w:vAlign w:val="bottom"/>
          </w:tcPr>
          <w:p>
            <w:pPr>
              <w:ind w:left="340"/>
              <w:spacing w:after="0"/>
              <w:rPr>
                <w:sz w:val="20"/>
                <w:szCs w:val="20"/>
                <w:color w:val="auto"/>
              </w:rPr>
            </w:pPr>
            <w:r>
              <w:rPr>
                <w:rFonts w:ascii="Arial" w:cs="Arial" w:eastAsia="Arial" w:hAnsi="Arial"/>
                <w:sz w:val="14"/>
                <w:szCs w:val="14"/>
                <w:color w:val="auto"/>
              </w:rPr>
              <w:t>Not Responsible for Recitals or Issuance of Notes</w:t>
            </w:r>
          </w:p>
        </w:tc>
        <w:tc>
          <w:tcPr>
            <w:tcW w:w="19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605.</w:t>
            </w:r>
          </w:p>
        </w:tc>
        <w:tc>
          <w:tcPr>
            <w:tcW w:w="8440" w:type="dxa"/>
            <w:vAlign w:val="bottom"/>
          </w:tcPr>
          <w:p>
            <w:pPr>
              <w:ind w:left="340"/>
              <w:spacing w:after="0"/>
              <w:rPr>
                <w:sz w:val="20"/>
                <w:szCs w:val="20"/>
                <w:color w:val="auto"/>
              </w:rPr>
            </w:pPr>
            <w:r>
              <w:rPr>
                <w:rFonts w:ascii="Arial" w:cs="Arial" w:eastAsia="Arial" w:hAnsi="Arial"/>
                <w:sz w:val="14"/>
                <w:szCs w:val="14"/>
                <w:color w:val="auto"/>
              </w:rPr>
              <w:t>May Hold Notes</w:t>
            </w:r>
          </w:p>
        </w:tc>
        <w:tc>
          <w:tcPr>
            <w:tcW w:w="19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606.</w:t>
            </w:r>
          </w:p>
        </w:tc>
        <w:tc>
          <w:tcPr>
            <w:tcW w:w="8440" w:type="dxa"/>
            <w:vAlign w:val="bottom"/>
          </w:tcPr>
          <w:p>
            <w:pPr>
              <w:ind w:left="340"/>
              <w:spacing w:after="0"/>
              <w:rPr>
                <w:sz w:val="20"/>
                <w:szCs w:val="20"/>
                <w:color w:val="auto"/>
              </w:rPr>
            </w:pPr>
            <w:r>
              <w:rPr>
                <w:rFonts w:ascii="Arial" w:cs="Arial" w:eastAsia="Arial" w:hAnsi="Arial"/>
                <w:sz w:val="14"/>
                <w:szCs w:val="14"/>
                <w:color w:val="auto"/>
              </w:rPr>
              <w:t>Money Held in Trust</w:t>
            </w:r>
          </w:p>
        </w:tc>
        <w:tc>
          <w:tcPr>
            <w:tcW w:w="19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607.</w:t>
            </w:r>
          </w:p>
        </w:tc>
        <w:tc>
          <w:tcPr>
            <w:tcW w:w="8440" w:type="dxa"/>
            <w:vAlign w:val="bottom"/>
          </w:tcPr>
          <w:p>
            <w:pPr>
              <w:ind w:left="340"/>
              <w:spacing w:after="0"/>
              <w:rPr>
                <w:sz w:val="20"/>
                <w:szCs w:val="20"/>
                <w:color w:val="auto"/>
              </w:rPr>
            </w:pPr>
            <w:r>
              <w:rPr>
                <w:rFonts w:ascii="Arial" w:cs="Arial" w:eastAsia="Arial" w:hAnsi="Arial"/>
                <w:sz w:val="14"/>
                <w:szCs w:val="14"/>
                <w:color w:val="auto"/>
              </w:rPr>
              <w:t>Compensation and Reimbursement</w:t>
            </w:r>
          </w:p>
        </w:tc>
        <w:tc>
          <w:tcPr>
            <w:tcW w:w="19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608.</w:t>
            </w:r>
          </w:p>
        </w:tc>
        <w:tc>
          <w:tcPr>
            <w:tcW w:w="8440" w:type="dxa"/>
            <w:vAlign w:val="bottom"/>
          </w:tcPr>
          <w:p>
            <w:pPr>
              <w:ind w:left="340"/>
              <w:spacing w:after="0"/>
              <w:rPr>
                <w:sz w:val="20"/>
                <w:szCs w:val="20"/>
                <w:color w:val="auto"/>
              </w:rPr>
            </w:pPr>
            <w:r>
              <w:rPr>
                <w:rFonts w:ascii="Arial" w:cs="Arial" w:eastAsia="Arial" w:hAnsi="Arial"/>
                <w:sz w:val="14"/>
                <w:szCs w:val="14"/>
                <w:color w:val="auto"/>
              </w:rPr>
              <w:t>Conflicting Interests</w:t>
            </w:r>
          </w:p>
        </w:tc>
        <w:tc>
          <w:tcPr>
            <w:tcW w:w="19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609.</w:t>
            </w:r>
          </w:p>
        </w:tc>
        <w:tc>
          <w:tcPr>
            <w:tcW w:w="8440" w:type="dxa"/>
            <w:vAlign w:val="bottom"/>
          </w:tcPr>
          <w:p>
            <w:pPr>
              <w:ind w:left="340"/>
              <w:spacing w:after="0"/>
              <w:rPr>
                <w:sz w:val="20"/>
                <w:szCs w:val="20"/>
                <w:color w:val="auto"/>
              </w:rPr>
            </w:pPr>
            <w:r>
              <w:rPr>
                <w:rFonts w:ascii="Arial" w:cs="Arial" w:eastAsia="Arial" w:hAnsi="Arial"/>
                <w:sz w:val="14"/>
                <w:szCs w:val="14"/>
                <w:color w:val="auto"/>
              </w:rPr>
              <w:t>Corporate Trustee Required; Eligibility</w:t>
            </w:r>
          </w:p>
        </w:tc>
        <w:tc>
          <w:tcPr>
            <w:tcW w:w="19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610.</w:t>
            </w:r>
          </w:p>
        </w:tc>
        <w:tc>
          <w:tcPr>
            <w:tcW w:w="8440" w:type="dxa"/>
            <w:vAlign w:val="bottom"/>
          </w:tcPr>
          <w:p>
            <w:pPr>
              <w:ind w:left="340"/>
              <w:spacing w:after="0"/>
              <w:rPr>
                <w:sz w:val="20"/>
                <w:szCs w:val="20"/>
                <w:color w:val="auto"/>
              </w:rPr>
            </w:pPr>
            <w:r>
              <w:rPr>
                <w:rFonts w:ascii="Arial" w:cs="Arial" w:eastAsia="Arial" w:hAnsi="Arial"/>
                <w:sz w:val="14"/>
                <w:szCs w:val="14"/>
                <w:color w:val="auto"/>
              </w:rPr>
              <w:t>Resignation and Removal; Appointment of Successor</w:t>
            </w:r>
          </w:p>
        </w:tc>
        <w:tc>
          <w:tcPr>
            <w:tcW w:w="19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611.</w:t>
            </w:r>
          </w:p>
        </w:tc>
        <w:tc>
          <w:tcPr>
            <w:tcW w:w="8440" w:type="dxa"/>
            <w:vAlign w:val="bottom"/>
          </w:tcPr>
          <w:p>
            <w:pPr>
              <w:ind w:left="340"/>
              <w:spacing w:after="0"/>
              <w:rPr>
                <w:sz w:val="20"/>
                <w:szCs w:val="20"/>
                <w:color w:val="auto"/>
              </w:rPr>
            </w:pPr>
            <w:r>
              <w:rPr>
                <w:rFonts w:ascii="Arial" w:cs="Arial" w:eastAsia="Arial" w:hAnsi="Arial"/>
                <w:sz w:val="14"/>
                <w:szCs w:val="14"/>
                <w:color w:val="auto"/>
              </w:rPr>
              <w:t>Acceptance of Appointment by Successor</w:t>
            </w:r>
          </w:p>
        </w:tc>
        <w:tc>
          <w:tcPr>
            <w:tcW w:w="19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612.</w:t>
            </w:r>
          </w:p>
        </w:tc>
        <w:tc>
          <w:tcPr>
            <w:tcW w:w="8440" w:type="dxa"/>
            <w:vAlign w:val="bottom"/>
          </w:tcPr>
          <w:p>
            <w:pPr>
              <w:ind w:left="340"/>
              <w:spacing w:after="0"/>
              <w:rPr>
                <w:sz w:val="20"/>
                <w:szCs w:val="20"/>
                <w:color w:val="auto"/>
              </w:rPr>
            </w:pPr>
            <w:r>
              <w:rPr>
                <w:rFonts w:ascii="Arial" w:cs="Arial" w:eastAsia="Arial" w:hAnsi="Arial"/>
                <w:sz w:val="14"/>
                <w:szCs w:val="14"/>
                <w:color w:val="auto"/>
              </w:rPr>
              <w:t>Merger, Conversion, Consolidation or Succession to Business</w:t>
            </w:r>
          </w:p>
        </w:tc>
        <w:tc>
          <w:tcPr>
            <w:tcW w:w="19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6"/>
        </w:trPr>
        <w:tc>
          <w:tcPr>
            <w:tcW w:w="1040" w:type="dxa"/>
            <w:vAlign w:val="bottom"/>
          </w:tcPr>
          <w:p>
            <w:pPr>
              <w:spacing w:after="0"/>
              <w:rPr>
                <w:sz w:val="20"/>
                <w:szCs w:val="20"/>
                <w:color w:val="auto"/>
              </w:rPr>
            </w:pPr>
            <w:r>
              <w:rPr>
                <w:rFonts w:ascii="Arial" w:cs="Arial" w:eastAsia="Arial" w:hAnsi="Arial"/>
                <w:sz w:val="14"/>
                <w:szCs w:val="14"/>
                <w:color w:val="auto"/>
              </w:rPr>
              <w:t>Section 613.</w:t>
            </w:r>
          </w:p>
        </w:tc>
        <w:tc>
          <w:tcPr>
            <w:tcW w:w="8440" w:type="dxa"/>
            <w:vAlign w:val="bottom"/>
          </w:tcPr>
          <w:p>
            <w:pPr>
              <w:ind w:left="340"/>
              <w:spacing w:after="0"/>
              <w:rPr>
                <w:sz w:val="20"/>
                <w:szCs w:val="20"/>
                <w:color w:val="auto"/>
              </w:rPr>
            </w:pPr>
            <w:r>
              <w:rPr>
                <w:rFonts w:ascii="Arial" w:cs="Arial" w:eastAsia="Arial" w:hAnsi="Arial"/>
                <w:sz w:val="14"/>
                <w:szCs w:val="14"/>
                <w:color w:val="auto"/>
              </w:rPr>
              <w:t>Preferential Collection of Claims Against Issuer</w:t>
            </w:r>
          </w:p>
        </w:tc>
        <w:tc>
          <w:tcPr>
            <w:tcW w:w="19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614.</w:t>
            </w:r>
          </w:p>
        </w:tc>
        <w:tc>
          <w:tcPr>
            <w:tcW w:w="8440" w:type="dxa"/>
            <w:vAlign w:val="bottom"/>
          </w:tcPr>
          <w:p>
            <w:pPr>
              <w:ind w:left="340"/>
              <w:spacing w:after="0"/>
              <w:rPr>
                <w:sz w:val="20"/>
                <w:szCs w:val="20"/>
                <w:color w:val="auto"/>
              </w:rPr>
            </w:pPr>
            <w:r>
              <w:rPr>
                <w:rFonts w:ascii="Arial" w:cs="Arial" w:eastAsia="Arial" w:hAnsi="Arial"/>
                <w:sz w:val="14"/>
                <w:szCs w:val="14"/>
                <w:color w:val="auto"/>
              </w:rPr>
              <w:t>Appointment of Authenticating Agent</w:t>
            </w:r>
          </w:p>
        </w:tc>
        <w:tc>
          <w:tcPr>
            <w:tcW w:w="19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323"/>
        </w:trPr>
        <w:tc>
          <w:tcPr>
            <w:tcW w:w="1040" w:type="dxa"/>
            <w:vAlign w:val="bottom"/>
          </w:tcPr>
          <w:p>
            <w:pPr>
              <w:spacing w:after="0"/>
              <w:rPr>
                <w:sz w:val="24"/>
                <w:szCs w:val="24"/>
                <w:color w:val="auto"/>
              </w:rPr>
            </w:pPr>
          </w:p>
        </w:tc>
        <w:tc>
          <w:tcPr>
            <w:tcW w:w="8440" w:type="dxa"/>
            <w:vAlign w:val="bottom"/>
          </w:tcPr>
          <w:p>
            <w:pPr>
              <w:jc w:val="center"/>
              <w:ind w:left="891"/>
              <w:spacing w:after="0"/>
              <w:rPr>
                <w:sz w:val="20"/>
                <w:szCs w:val="20"/>
                <w:color w:val="auto"/>
              </w:rPr>
            </w:pPr>
            <w:r>
              <w:rPr>
                <w:rFonts w:ascii="Arial" w:cs="Arial" w:eastAsia="Arial" w:hAnsi="Arial"/>
                <w:sz w:val="14"/>
                <w:szCs w:val="14"/>
                <w:b w:val="1"/>
                <w:bCs w:val="1"/>
                <w:color w:val="auto"/>
                <w:w w:val="99"/>
              </w:rPr>
              <w:t>ARTICLE SEVEN</w:t>
            </w:r>
          </w:p>
        </w:tc>
        <w:tc>
          <w:tcPr>
            <w:tcW w:w="198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8440" w:type="dxa"/>
            <w:vAlign w:val="bottom"/>
          </w:tcPr>
          <w:p>
            <w:pPr>
              <w:jc w:val="center"/>
              <w:ind w:left="891"/>
              <w:spacing w:after="0"/>
              <w:rPr>
                <w:sz w:val="20"/>
                <w:szCs w:val="20"/>
                <w:color w:val="auto"/>
              </w:rPr>
            </w:pPr>
            <w:r>
              <w:rPr>
                <w:rFonts w:ascii="Arial" w:cs="Arial" w:eastAsia="Arial" w:hAnsi="Arial"/>
                <w:sz w:val="14"/>
                <w:szCs w:val="14"/>
                <w:color w:val="auto"/>
                <w:w w:val="94"/>
              </w:rPr>
              <w:t>HOLDERS’ LISTS AND REPORTS BY TRUSTEE AND ISSUER</w:t>
            </w:r>
          </w:p>
        </w:tc>
        <w:tc>
          <w:tcPr>
            <w:tcW w:w="1980" w:type="dxa"/>
            <w:vAlign w:val="bottom"/>
          </w:tcPr>
          <w:p>
            <w:pPr>
              <w:spacing w:after="0"/>
              <w:rPr>
                <w:sz w:val="15"/>
                <w:szCs w:val="15"/>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4"/>
                <w:szCs w:val="14"/>
                <w:color w:val="auto"/>
              </w:rPr>
              <w:t>Section 701.</w:t>
            </w:r>
          </w:p>
        </w:tc>
        <w:tc>
          <w:tcPr>
            <w:tcW w:w="8440" w:type="dxa"/>
            <w:vAlign w:val="bottom"/>
          </w:tcPr>
          <w:p>
            <w:pPr>
              <w:ind w:left="340"/>
              <w:spacing w:after="0"/>
              <w:rPr>
                <w:sz w:val="20"/>
                <w:szCs w:val="20"/>
                <w:color w:val="auto"/>
              </w:rPr>
            </w:pPr>
            <w:r>
              <w:rPr>
                <w:rFonts w:ascii="Arial" w:cs="Arial" w:eastAsia="Arial" w:hAnsi="Arial"/>
                <w:sz w:val="14"/>
                <w:szCs w:val="14"/>
                <w:color w:val="auto"/>
              </w:rPr>
              <w:t>Issuer to Furnish Trustee Names and Addresses of Holders</w:t>
            </w:r>
          </w:p>
        </w:tc>
        <w:tc>
          <w:tcPr>
            <w:tcW w:w="19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Section 702.</w:t>
            </w:r>
          </w:p>
        </w:tc>
        <w:tc>
          <w:tcPr>
            <w:tcW w:w="8440" w:type="dxa"/>
            <w:vAlign w:val="bottom"/>
          </w:tcPr>
          <w:p>
            <w:pPr>
              <w:ind w:left="340"/>
              <w:spacing w:after="0"/>
              <w:rPr>
                <w:sz w:val="20"/>
                <w:szCs w:val="20"/>
                <w:color w:val="auto"/>
              </w:rPr>
            </w:pPr>
            <w:r>
              <w:rPr>
                <w:rFonts w:ascii="Arial" w:cs="Arial" w:eastAsia="Arial" w:hAnsi="Arial"/>
                <w:sz w:val="14"/>
                <w:szCs w:val="14"/>
                <w:color w:val="auto"/>
              </w:rPr>
              <w:t>Preservation of Information; Communications to Holders</w:t>
            </w:r>
          </w:p>
        </w:tc>
        <w:tc>
          <w:tcPr>
            <w:tcW w:w="1980" w:type="dxa"/>
            <w:vAlign w:val="bottom"/>
          </w:tcPr>
          <w:p>
            <w:pPr>
              <w:jc w:val="right"/>
              <w:spacing w:after="0"/>
              <w:rPr>
                <w:sz w:val="20"/>
                <w:szCs w:val="20"/>
                <w:color w:val="auto"/>
              </w:rPr>
            </w:pPr>
            <w:r>
              <w:rPr>
                <w:rFonts w:ascii="Arial" w:cs="Arial" w:eastAsia="Arial" w:hAnsi="Arial"/>
                <w:sz w:val="14"/>
                <w:szCs w:val="14"/>
                <w:color w:val="auto"/>
              </w:rPr>
              <w:t>64</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703.</w:t>
            </w:r>
          </w:p>
        </w:tc>
        <w:tc>
          <w:tcPr>
            <w:tcW w:w="8500" w:type="dxa"/>
            <w:vAlign w:val="bottom"/>
          </w:tcPr>
          <w:p>
            <w:pPr>
              <w:ind w:left="300"/>
              <w:spacing w:after="0"/>
              <w:rPr>
                <w:sz w:val="20"/>
                <w:szCs w:val="20"/>
                <w:color w:val="auto"/>
              </w:rPr>
            </w:pPr>
            <w:r>
              <w:rPr>
                <w:rFonts w:ascii="Arial" w:cs="Arial" w:eastAsia="Arial" w:hAnsi="Arial"/>
                <w:sz w:val="14"/>
                <w:szCs w:val="14"/>
                <w:color w:val="auto"/>
              </w:rPr>
              <w:t>Reports by Trustee</w:t>
            </w:r>
          </w:p>
        </w:tc>
        <w:tc>
          <w:tcPr>
            <w:tcW w:w="18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75"/>
        </w:trPr>
        <w:tc>
          <w:tcPr>
            <w:tcW w:w="1080" w:type="dxa"/>
            <w:vAlign w:val="bottom"/>
          </w:tcPr>
          <w:p>
            <w:pPr>
              <w:spacing w:after="0"/>
              <w:rPr>
                <w:sz w:val="20"/>
                <w:szCs w:val="20"/>
                <w:color w:val="auto"/>
              </w:rPr>
            </w:pPr>
            <w:r>
              <w:rPr>
                <w:rFonts w:ascii="Arial" w:cs="Arial" w:eastAsia="Arial" w:hAnsi="Arial"/>
                <w:sz w:val="14"/>
                <w:szCs w:val="14"/>
                <w:color w:val="auto"/>
              </w:rPr>
              <w:t>Section 704.</w:t>
            </w:r>
          </w:p>
        </w:tc>
        <w:tc>
          <w:tcPr>
            <w:tcW w:w="8500" w:type="dxa"/>
            <w:vAlign w:val="bottom"/>
          </w:tcPr>
          <w:p>
            <w:pPr>
              <w:ind w:left="300"/>
              <w:spacing w:after="0"/>
              <w:rPr>
                <w:sz w:val="20"/>
                <w:szCs w:val="20"/>
                <w:color w:val="auto"/>
              </w:rPr>
            </w:pPr>
            <w:r>
              <w:rPr>
                <w:rFonts w:ascii="Arial" w:cs="Arial" w:eastAsia="Arial" w:hAnsi="Arial"/>
                <w:sz w:val="14"/>
                <w:szCs w:val="14"/>
                <w:color w:val="auto"/>
              </w:rPr>
              <w:t>Reports by Issuer</w:t>
            </w:r>
          </w:p>
        </w:tc>
        <w:tc>
          <w:tcPr>
            <w:tcW w:w="18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323"/>
        </w:trPr>
        <w:tc>
          <w:tcPr>
            <w:tcW w:w="1080" w:type="dxa"/>
            <w:vAlign w:val="bottom"/>
          </w:tcPr>
          <w:p>
            <w:pPr>
              <w:spacing w:after="0"/>
              <w:rPr>
                <w:sz w:val="24"/>
                <w:szCs w:val="24"/>
                <w:color w:val="auto"/>
              </w:rPr>
            </w:pPr>
          </w:p>
        </w:tc>
        <w:tc>
          <w:tcPr>
            <w:tcW w:w="8500" w:type="dxa"/>
            <w:vAlign w:val="bottom"/>
          </w:tcPr>
          <w:p>
            <w:pPr>
              <w:jc w:val="center"/>
              <w:ind w:left="751"/>
              <w:spacing w:after="0"/>
              <w:rPr>
                <w:sz w:val="20"/>
                <w:szCs w:val="20"/>
                <w:color w:val="auto"/>
              </w:rPr>
            </w:pPr>
            <w:r>
              <w:rPr>
                <w:rFonts w:ascii="Arial" w:cs="Arial" w:eastAsia="Arial" w:hAnsi="Arial"/>
                <w:sz w:val="14"/>
                <w:szCs w:val="14"/>
                <w:b w:val="1"/>
                <w:bCs w:val="1"/>
                <w:color w:val="auto"/>
              </w:rPr>
              <w:t>ARTICLE EIGHT</w:t>
            </w:r>
          </w:p>
        </w:tc>
        <w:tc>
          <w:tcPr>
            <w:tcW w:w="188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500" w:type="dxa"/>
            <w:vAlign w:val="bottom"/>
          </w:tcPr>
          <w:p>
            <w:pPr>
              <w:jc w:val="center"/>
              <w:ind w:left="751"/>
              <w:spacing w:after="0"/>
              <w:rPr>
                <w:sz w:val="20"/>
                <w:szCs w:val="20"/>
                <w:color w:val="auto"/>
              </w:rPr>
            </w:pPr>
            <w:r>
              <w:rPr>
                <w:rFonts w:ascii="Arial" w:cs="Arial" w:eastAsia="Arial" w:hAnsi="Arial"/>
                <w:sz w:val="14"/>
                <w:szCs w:val="14"/>
                <w:color w:val="auto"/>
                <w:w w:val="94"/>
              </w:rPr>
              <w:t>CONSOLIDATION, MERGER, CONVEYANCE, TRANSFER OR LEASE</w:t>
            </w:r>
          </w:p>
        </w:tc>
        <w:tc>
          <w:tcPr>
            <w:tcW w:w="1880" w:type="dxa"/>
            <w:vAlign w:val="bottom"/>
          </w:tcPr>
          <w:p>
            <w:pPr>
              <w:spacing w:after="0"/>
              <w:rPr>
                <w:sz w:val="15"/>
                <w:szCs w:val="15"/>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Section 801.</w:t>
            </w:r>
          </w:p>
        </w:tc>
        <w:tc>
          <w:tcPr>
            <w:tcW w:w="8500" w:type="dxa"/>
            <w:vAlign w:val="bottom"/>
          </w:tcPr>
          <w:p>
            <w:pPr>
              <w:ind w:left="300"/>
              <w:spacing w:after="0"/>
              <w:rPr>
                <w:sz w:val="20"/>
                <w:szCs w:val="20"/>
                <w:color w:val="auto"/>
              </w:rPr>
            </w:pPr>
            <w:r>
              <w:rPr>
                <w:rFonts w:ascii="Arial" w:cs="Arial" w:eastAsia="Arial" w:hAnsi="Arial"/>
                <w:sz w:val="14"/>
                <w:szCs w:val="14"/>
                <w:color w:val="auto"/>
              </w:rPr>
              <w:t>Issuer and Guarantors May Consolidate, Etc., Only on Certain Terms</w:t>
            </w:r>
          </w:p>
        </w:tc>
        <w:tc>
          <w:tcPr>
            <w:tcW w:w="18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75"/>
        </w:trPr>
        <w:tc>
          <w:tcPr>
            <w:tcW w:w="1080" w:type="dxa"/>
            <w:vAlign w:val="bottom"/>
          </w:tcPr>
          <w:p>
            <w:pPr>
              <w:spacing w:after="0"/>
              <w:rPr>
                <w:sz w:val="20"/>
                <w:szCs w:val="20"/>
                <w:color w:val="auto"/>
              </w:rPr>
            </w:pPr>
            <w:r>
              <w:rPr>
                <w:rFonts w:ascii="Arial" w:cs="Arial" w:eastAsia="Arial" w:hAnsi="Arial"/>
                <w:sz w:val="14"/>
                <w:szCs w:val="14"/>
                <w:color w:val="auto"/>
              </w:rPr>
              <w:t>Section 802.</w:t>
            </w:r>
          </w:p>
        </w:tc>
        <w:tc>
          <w:tcPr>
            <w:tcW w:w="8500" w:type="dxa"/>
            <w:vAlign w:val="bottom"/>
          </w:tcPr>
          <w:p>
            <w:pPr>
              <w:ind w:left="300"/>
              <w:spacing w:after="0"/>
              <w:rPr>
                <w:sz w:val="20"/>
                <w:szCs w:val="20"/>
                <w:color w:val="auto"/>
              </w:rPr>
            </w:pPr>
            <w:r>
              <w:rPr>
                <w:rFonts w:ascii="Arial" w:cs="Arial" w:eastAsia="Arial" w:hAnsi="Arial"/>
                <w:sz w:val="14"/>
                <w:szCs w:val="14"/>
                <w:color w:val="auto"/>
              </w:rPr>
              <w:t>Successor Substituted</w:t>
            </w:r>
          </w:p>
        </w:tc>
        <w:tc>
          <w:tcPr>
            <w:tcW w:w="18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23"/>
        </w:trPr>
        <w:tc>
          <w:tcPr>
            <w:tcW w:w="1080" w:type="dxa"/>
            <w:vAlign w:val="bottom"/>
          </w:tcPr>
          <w:p>
            <w:pPr>
              <w:spacing w:after="0"/>
              <w:rPr>
                <w:sz w:val="24"/>
                <w:szCs w:val="24"/>
                <w:color w:val="auto"/>
              </w:rPr>
            </w:pPr>
          </w:p>
        </w:tc>
        <w:tc>
          <w:tcPr>
            <w:tcW w:w="8500" w:type="dxa"/>
            <w:vAlign w:val="bottom"/>
          </w:tcPr>
          <w:p>
            <w:pPr>
              <w:jc w:val="center"/>
              <w:ind w:left="751"/>
              <w:spacing w:after="0"/>
              <w:rPr>
                <w:sz w:val="20"/>
                <w:szCs w:val="20"/>
                <w:color w:val="auto"/>
              </w:rPr>
            </w:pPr>
            <w:r>
              <w:rPr>
                <w:rFonts w:ascii="Arial" w:cs="Arial" w:eastAsia="Arial" w:hAnsi="Arial"/>
                <w:sz w:val="14"/>
                <w:szCs w:val="14"/>
                <w:b w:val="1"/>
                <w:bCs w:val="1"/>
                <w:color w:val="auto"/>
              </w:rPr>
              <w:t>ARTICLE NINE</w:t>
            </w:r>
          </w:p>
        </w:tc>
        <w:tc>
          <w:tcPr>
            <w:tcW w:w="188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500" w:type="dxa"/>
            <w:vAlign w:val="bottom"/>
          </w:tcPr>
          <w:p>
            <w:pPr>
              <w:jc w:val="center"/>
              <w:ind w:left="751"/>
              <w:spacing w:after="0"/>
              <w:rPr>
                <w:sz w:val="20"/>
                <w:szCs w:val="20"/>
                <w:color w:val="auto"/>
              </w:rPr>
            </w:pPr>
            <w:r>
              <w:rPr>
                <w:rFonts w:ascii="Arial" w:cs="Arial" w:eastAsia="Arial" w:hAnsi="Arial"/>
                <w:sz w:val="14"/>
                <w:szCs w:val="14"/>
                <w:color w:val="auto"/>
                <w:w w:val="94"/>
              </w:rPr>
              <w:t>SUPPLEMENTAL INDENTURES</w:t>
            </w:r>
          </w:p>
        </w:tc>
        <w:tc>
          <w:tcPr>
            <w:tcW w:w="1880" w:type="dxa"/>
            <w:vAlign w:val="bottom"/>
          </w:tcPr>
          <w:p>
            <w:pPr>
              <w:spacing w:after="0"/>
              <w:rPr>
                <w:sz w:val="15"/>
                <w:szCs w:val="15"/>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Section 901.</w:t>
            </w:r>
          </w:p>
        </w:tc>
        <w:tc>
          <w:tcPr>
            <w:tcW w:w="8500" w:type="dxa"/>
            <w:vAlign w:val="bottom"/>
          </w:tcPr>
          <w:p>
            <w:pPr>
              <w:ind w:left="300"/>
              <w:spacing w:after="0"/>
              <w:rPr>
                <w:sz w:val="20"/>
                <w:szCs w:val="20"/>
                <w:color w:val="auto"/>
              </w:rPr>
            </w:pPr>
            <w:r>
              <w:rPr>
                <w:rFonts w:ascii="Arial" w:cs="Arial" w:eastAsia="Arial" w:hAnsi="Arial"/>
                <w:sz w:val="14"/>
                <w:szCs w:val="14"/>
                <w:color w:val="auto"/>
              </w:rPr>
              <w:t>Supplemental Indentures Without Consent of Holders</w:t>
            </w:r>
          </w:p>
        </w:tc>
        <w:tc>
          <w:tcPr>
            <w:tcW w:w="18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902.</w:t>
            </w:r>
          </w:p>
        </w:tc>
        <w:tc>
          <w:tcPr>
            <w:tcW w:w="8500" w:type="dxa"/>
            <w:vAlign w:val="bottom"/>
          </w:tcPr>
          <w:p>
            <w:pPr>
              <w:ind w:left="300"/>
              <w:spacing w:after="0"/>
              <w:rPr>
                <w:sz w:val="20"/>
                <w:szCs w:val="20"/>
                <w:color w:val="auto"/>
              </w:rPr>
            </w:pPr>
            <w:r>
              <w:rPr>
                <w:rFonts w:ascii="Arial" w:cs="Arial" w:eastAsia="Arial" w:hAnsi="Arial"/>
                <w:sz w:val="14"/>
                <w:szCs w:val="14"/>
                <w:color w:val="auto"/>
              </w:rPr>
              <w:t>Supplemental Indentures With Consent of Holders</w:t>
            </w:r>
          </w:p>
        </w:tc>
        <w:tc>
          <w:tcPr>
            <w:tcW w:w="18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903.</w:t>
            </w:r>
          </w:p>
        </w:tc>
        <w:tc>
          <w:tcPr>
            <w:tcW w:w="8500" w:type="dxa"/>
            <w:vAlign w:val="bottom"/>
          </w:tcPr>
          <w:p>
            <w:pPr>
              <w:ind w:left="300"/>
              <w:spacing w:after="0"/>
              <w:rPr>
                <w:sz w:val="20"/>
                <w:szCs w:val="20"/>
                <w:color w:val="auto"/>
              </w:rPr>
            </w:pPr>
            <w:r>
              <w:rPr>
                <w:rFonts w:ascii="Arial" w:cs="Arial" w:eastAsia="Arial" w:hAnsi="Arial"/>
                <w:sz w:val="14"/>
                <w:szCs w:val="14"/>
                <w:color w:val="auto"/>
              </w:rPr>
              <w:t>Execution of Supplemental Indentures</w:t>
            </w:r>
          </w:p>
        </w:tc>
        <w:tc>
          <w:tcPr>
            <w:tcW w:w="18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904.</w:t>
            </w:r>
          </w:p>
        </w:tc>
        <w:tc>
          <w:tcPr>
            <w:tcW w:w="8500" w:type="dxa"/>
            <w:vAlign w:val="bottom"/>
          </w:tcPr>
          <w:p>
            <w:pPr>
              <w:ind w:left="300"/>
              <w:spacing w:after="0"/>
              <w:rPr>
                <w:sz w:val="20"/>
                <w:szCs w:val="20"/>
                <w:color w:val="auto"/>
              </w:rPr>
            </w:pPr>
            <w:r>
              <w:rPr>
                <w:rFonts w:ascii="Arial" w:cs="Arial" w:eastAsia="Arial" w:hAnsi="Arial"/>
                <w:sz w:val="14"/>
                <w:szCs w:val="14"/>
                <w:color w:val="auto"/>
              </w:rPr>
              <w:t>Effect of Supplemental Indentures</w:t>
            </w:r>
          </w:p>
        </w:tc>
        <w:tc>
          <w:tcPr>
            <w:tcW w:w="18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905.</w:t>
            </w:r>
          </w:p>
        </w:tc>
        <w:tc>
          <w:tcPr>
            <w:tcW w:w="8500" w:type="dxa"/>
            <w:vAlign w:val="bottom"/>
          </w:tcPr>
          <w:p>
            <w:pPr>
              <w:ind w:left="300"/>
              <w:spacing w:after="0"/>
              <w:rPr>
                <w:sz w:val="20"/>
                <w:szCs w:val="20"/>
                <w:color w:val="auto"/>
              </w:rPr>
            </w:pPr>
            <w:r>
              <w:rPr>
                <w:rFonts w:ascii="Arial" w:cs="Arial" w:eastAsia="Arial" w:hAnsi="Arial"/>
                <w:sz w:val="14"/>
                <w:szCs w:val="14"/>
                <w:color w:val="auto"/>
              </w:rPr>
              <w:t>Conformity with Trust Indenture Act</w:t>
            </w:r>
          </w:p>
        </w:tc>
        <w:tc>
          <w:tcPr>
            <w:tcW w:w="18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75"/>
        </w:trPr>
        <w:tc>
          <w:tcPr>
            <w:tcW w:w="1080" w:type="dxa"/>
            <w:vAlign w:val="bottom"/>
          </w:tcPr>
          <w:p>
            <w:pPr>
              <w:spacing w:after="0"/>
              <w:rPr>
                <w:sz w:val="20"/>
                <w:szCs w:val="20"/>
                <w:color w:val="auto"/>
              </w:rPr>
            </w:pPr>
            <w:r>
              <w:rPr>
                <w:rFonts w:ascii="Arial" w:cs="Arial" w:eastAsia="Arial" w:hAnsi="Arial"/>
                <w:sz w:val="14"/>
                <w:szCs w:val="14"/>
                <w:color w:val="auto"/>
              </w:rPr>
              <w:t>Section 906.</w:t>
            </w:r>
          </w:p>
        </w:tc>
        <w:tc>
          <w:tcPr>
            <w:tcW w:w="8500" w:type="dxa"/>
            <w:vAlign w:val="bottom"/>
          </w:tcPr>
          <w:p>
            <w:pPr>
              <w:ind w:left="300"/>
              <w:spacing w:after="0"/>
              <w:rPr>
                <w:sz w:val="20"/>
                <w:szCs w:val="20"/>
                <w:color w:val="auto"/>
              </w:rPr>
            </w:pPr>
            <w:r>
              <w:rPr>
                <w:rFonts w:ascii="Arial" w:cs="Arial" w:eastAsia="Arial" w:hAnsi="Arial"/>
                <w:sz w:val="14"/>
                <w:szCs w:val="14"/>
                <w:color w:val="auto"/>
              </w:rPr>
              <w:t>Reference in Notes to Supplemental Indentures</w:t>
            </w:r>
          </w:p>
        </w:tc>
        <w:tc>
          <w:tcPr>
            <w:tcW w:w="1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323"/>
        </w:trPr>
        <w:tc>
          <w:tcPr>
            <w:tcW w:w="1080" w:type="dxa"/>
            <w:vAlign w:val="bottom"/>
          </w:tcPr>
          <w:p>
            <w:pPr>
              <w:spacing w:after="0"/>
              <w:rPr>
                <w:sz w:val="24"/>
                <w:szCs w:val="24"/>
                <w:color w:val="auto"/>
              </w:rPr>
            </w:pPr>
          </w:p>
        </w:tc>
        <w:tc>
          <w:tcPr>
            <w:tcW w:w="8500" w:type="dxa"/>
            <w:vAlign w:val="bottom"/>
          </w:tcPr>
          <w:p>
            <w:pPr>
              <w:jc w:val="center"/>
              <w:ind w:left="731"/>
              <w:spacing w:after="0"/>
              <w:rPr>
                <w:sz w:val="20"/>
                <w:szCs w:val="20"/>
                <w:color w:val="auto"/>
              </w:rPr>
            </w:pPr>
            <w:r>
              <w:rPr>
                <w:rFonts w:ascii="Arial" w:cs="Arial" w:eastAsia="Arial" w:hAnsi="Arial"/>
                <w:sz w:val="14"/>
                <w:szCs w:val="14"/>
                <w:b w:val="1"/>
                <w:bCs w:val="1"/>
                <w:color w:val="auto"/>
              </w:rPr>
              <w:t>ARTICLE TEN</w:t>
            </w:r>
          </w:p>
        </w:tc>
        <w:tc>
          <w:tcPr>
            <w:tcW w:w="188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500" w:type="dxa"/>
            <w:vAlign w:val="bottom"/>
          </w:tcPr>
          <w:p>
            <w:pPr>
              <w:jc w:val="center"/>
              <w:ind w:left="751"/>
              <w:spacing w:after="0"/>
              <w:rPr>
                <w:sz w:val="20"/>
                <w:szCs w:val="20"/>
                <w:color w:val="auto"/>
              </w:rPr>
            </w:pPr>
            <w:r>
              <w:rPr>
                <w:rFonts w:ascii="Arial" w:cs="Arial" w:eastAsia="Arial" w:hAnsi="Arial"/>
                <w:sz w:val="14"/>
                <w:szCs w:val="14"/>
                <w:color w:val="auto"/>
                <w:w w:val="96"/>
              </w:rPr>
              <w:t>COVENANTS</w:t>
            </w:r>
          </w:p>
        </w:tc>
        <w:tc>
          <w:tcPr>
            <w:tcW w:w="1880" w:type="dxa"/>
            <w:vAlign w:val="bottom"/>
          </w:tcPr>
          <w:p>
            <w:pPr>
              <w:spacing w:after="0"/>
              <w:rPr>
                <w:sz w:val="15"/>
                <w:szCs w:val="15"/>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Section 1001.</w:t>
            </w:r>
          </w:p>
        </w:tc>
        <w:tc>
          <w:tcPr>
            <w:tcW w:w="8500" w:type="dxa"/>
            <w:vAlign w:val="bottom"/>
          </w:tcPr>
          <w:p>
            <w:pPr>
              <w:ind w:left="300"/>
              <w:spacing w:after="0"/>
              <w:rPr>
                <w:sz w:val="20"/>
                <w:szCs w:val="20"/>
                <w:color w:val="auto"/>
              </w:rPr>
            </w:pPr>
            <w:r>
              <w:rPr>
                <w:rFonts w:ascii="Arial" w:cs="Arial" w:eastAsia="Arial" w:hAnsi="Arial"/>
                <w:sz w:val="14"/>
                <w:szCs w:val="14"/>
                <w:color w:val="auto"/>
              </w:rPr>
              <w:t>Payment of Principal, Premium, Interest and Additional Amounts</w:t>
            </w:r>
          </w:p>
        </w:tc>
        <w:tc>
          <w:tcPr>
            <w:tcW w:w="1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1002.</w:t>
            </w:r>
          </w:p>
        </w:tc>
        <w:tc>
          <w:tcPr>
            <w:tcW w:w="8500" w:type="dxa"/>
            <w:vAlign w:val="bottom"/>
          </w:tcPr>
          <w:p>
            <w:pPr>
              <w:ind w:left="300"/>
              <w:spacing w:after="0"/>
              <w:rPr>
                <w:sz w:val="20"/>
                <w:szCs w:val="20"/>
                <w:color w:val="auto"/>
              </w:rPr>
            </w:pPr>
            <w:r>
              <w:rPr>
                <w:rFonts w:ascii="Arial" w:cs="Arial" w:eastAsia="Arial" w:hAnsi="Arial"/>
                <w:sz w:val="14"/>
                <w:szCs w:val="14"/>
                <w:color w:val="auto"/>
              </w:rPr>
              <w:t>Maintenance of Office or Agency</w:t>
            </w:r>
          </w:p>
        </w:tc>
        <w:tc>
          <w:tcPr>
            <w:tcW w:w="1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1003.</w:t>
            </w:r>
          </w:p>
        </w:tc>
        <w:tc>
          <w:tcPr>
            <w:tcW w:w="8500" w:type="dxa"/>
            <w:vAlign w:val="bottom"/>
          </w:tcPr>
          <w:p>
            <w:pPr>
              <w:ind w:left="300"/>
              <w:spacing w:after="0"/>
              <w:rPr>
                <w:sz w:val="20"/>
                <w:szCs w:val="20"/>
                <w:color w:val="auto"/>
              </w:rPr>
            </w:pPr>
            <w:r>
              <w:rPr>
                <w:rFonts w:ascii="Arial" w:cs="Arial" w:eastAsia="Arial" w:hAnsi="Arial"/>
                <w:sz w:val="14"/>
                <w:szCs w:val="14"/>
                <w:color w:val="auto"/>
              </w:rPr>
              <w:t>Money for Notes Payments to Be Held in Trust</w:t>
            </w:r>
          </w:p>
        </w:tc>
        <w:tc>
          <w:tcPr>
            <w:tcW w:w="18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1004.</w:t>
            </w:r>
          </w:p>
        </w:tc>
        <w:tc>
          <w:tcPr>
            <w:tcW w:w="8500" w:type="dxa"/>
            <w:vAlign w:val="bottom"/>
          </w:tcPr>
          <w:p>
            <w:pPr>
              <w:ind w:left="300"/>
              <w:spacing w:after="0"/>
              <w:rPr>
                <w:sz w:val="20"/>
                <w:szCs w:val="20"/>
                <w:color w:val="auto"/>
              </w:rPr>
            </w:pPr>
            <w:r>
              <w:rPr>
                <w:rFonts w:ascii="Arial" w:cs="Arial" w:eastAsia="Arial" w:hAnsi="Arial"/>
                <w:sz w:val="14"/>
                <w:szCs w:val="14"/>
                <w:color w:val="auto"/>
              </w:rPr>
              <w:t>Annual Compliance Certificate; Statement by Officers as to Default</w:t>
            </w:r>
          </w:p>
        </w:tc>
        <w:tc>
          <w:tcPr>
            <w:tcW w:w="18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1005.</w:t>
            </w:r>
          </w:p>
        </w:tc>
        <w:tc>
          <w:tcPr>
            <w:tcW w:w="8500" w:type="dxa"/>
            <w:vAlign w:val="bottom"/>
          </w:tcPr>
          <w:p>
            <w:pPr>
              <w:ind w:left="300"/>
              <w:spacing w:after="0"/>
              <w:rPr>
                <w:sz w:val="20"/>
                <w:szCs w:val="20"/>
                <w:color w:val="auto"/>
              </w:rPr>
            </w:pPr>
            <w:r>
              <w:rPr>
                <w:rFonts w:ascii="Arial" w:cs="Arial" w:eastAsia="Arial" w:hAnsi="Arial"/>
                <w:sz w:val="14"/>
                <w:szCs w:val="14"/>
                <w:color w:val="auto"/>
              </w:rPr>
              <w:t>Existence</w:t>
            </w:r>
          </w:p>
        </w:tc>
        <w:tc>
          <w:tcPr>
            <w:tcW w:w="18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1006.</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Designation of Unrestricted Subsidiaries</w:t>
            </w:r>
          </w:p>
        </w:tc>
        <w:tc>
          <w:tcPr>
            <w:tcW w:w="18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1007.</w:t>
            </w:r>
          </w:p>
        </w:tc>
        <w:tc>
          <w:tcPr>
            <w:tcW w:w="8500" w:type="dxa"/>
            <w:vAlign w:val="bottom"/>
          </w:tcPr>
          <w:p>
            <w:pPr>
              <w:ind w:left="300"/>
              <w:spacing w:after="0"/>
              <w:rPr>
                <w:sz w:val="20"/>
                <w:szCs w:val="20"/>
                <w:color w:val="auto"/>
              </w:rPr>
            </w:pPr>
            <w:r>
              <w:rPr>
                <w:rFonts w:ascii="Arial" w:cs="Arial" w:eastAsia="Arial" w:hAnsi="Arial"/>
                <w:sz w:val="14"/>
                <w:szCs w:val="14"/>
                <w:color w:val="auto"/>
              </w:rPr>
              <w:t>Purchase of Notes Upon a Change of Control</w:t>
            </w:r>
          </w:p>
        </w:tc>
        <w:tc>
          <w:tcPr>
            <w:tcW w:w="18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1008.</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Additional Indebtedness</w:t>
            </w:r>
          </w:p>
        </w:tc>
        <w:tc>
          <w:tcPr>
            <w:tcW w:w="18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1009.</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Restricted Payments</w:t>
            </w:r>
          </w:p>
        </w:tc>
        <w:tc>
          <w:tcPr>
            <w:tcW w:w="18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1010.</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Liens</w:t>
            </w:r>
          </w:p>
        </w:tc>
        <w:tc>
          <w:tcPr>
            <w:tcW w:w="18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1011.</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Dividends and Other Restrictions Affecting Restricted Subsidiaries</w:t>
            </w:r>
          </w:p>
        </w:tc>
        <w:tc>
          <w:tcPr>
            <w:tcW w:w="18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1012.</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Asset Sales</w:t>
            </w:r>
          </w:p>
        </w:tc>
        <w:tc>
          <w:tcPr>
            <w:tcW w:w="18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1013.</w:t>
            </w:r>
          </w:p>
        </w:tc>
        <w:tc>
          <w:tcPr>
            <w:tcW w:w="8500" w:type="dxa"/>
            <w:vAlign w:val="bottom"/>
          </w:tcPr>
          <w:p>
            <w:pPr>
              <w:ind w:left="300"/>
              <w:spacing w:after="0"/>
              <w:rPr>
                <w:sz w:val="20"/>
                <w:szCs w:val="20"/>
                <w:color w:val="auto"/>
              </w:rPr>
            </w:pPr>
            <w:r>
              <w:rPr>
                <w:rFonts w:ascii="Arial" w:cs="Arial" w:eastAsia="Arial" w:hAnsi="Arial"/>
                <w:sz w:val="14"/>
                <w:szCs w:val="14"/>
                <w:color w:val="auto"/>
              </w:rPr>
              <w:t>Limitation on Affiliate Transactions</w:t>
            </w:r>
          </w:p>
        </w:tc>
        <w:tc>
          <w:tcPr>
            <w:tcW w:w="18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1014.</w:t>
            </w:r>
          </w:p>
        </w:tc>
        <w:tc>
          <w:tcPr>
            <w:tcW w:w="8500" w:type="dxa"/>
            <w:vAlign w:val="bottom"/>
          </w:tcPr>
          <w:p>
            <w:pPr>
              <w:ind w:left="300"/>
              <w:spacing w:after="0"/>
              <w:rPr>
                <w:sz w:val="20"/>
                <w:szCs w:val="20"/>
                <w:color w:val="auto"/>
              </w:rPr>
            </w:pPr>
            <w:r>
              <w:rPr>
                <w:rFonts w:ascii="Arial" w:cs="Arial" w:eastAsia="Arial" w:hAnsi="Arial"/>
                <w:sz w:val="14"/>
                <w:szCs w:val="14"/>
                <w:color w:val="auto"/>
              </w:rPr>
              <w:t>Additional Guarantees</w:t>
            </w:r>
          </w:p>
        </w:tc>
        <w:tc>
          <w:tcPr>
            <w:tcW w:w="18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75"/>
        </w:trPr>
        <w:tc>
          <w:tcPr>
            <w:tcW w:w="1080" w:type="dxa"/>
            <w:vAlign w:val="bottom"/>
          </w:tcPr>
          <w:p>
            <w:pPr>
              <w:spacing w:after="0"/>
              <w:rPr>
                <w:sz w:val="20"/>
                <w:szCs w:val="20"/>
                <w:color w:val="auto"/>
              </w:rPr>
            </w:pPr>
            <w:r>
              <w:rPr>
                <w:rFonts w:ascii="Arial" w:cs="Arial" w:eastAsia="Arial" w:hAnsi="Arial"/>
                <w:sz w:val="14"/>
                <w:szCs w:val="14"/>
                <w:color w:val="auto"/>
              </w:rPr>
              <w:t>Section 1015.</w:t>
            </w:r>
          </w:p>
        </w:tc>
        <w:tc>
          <w:tcPr>
            <w:tcW w:w="8500" w:type="dxa"/>
            <w:vAlign w:val="bottom"/>
          </w:tcPr>
          <w:p>
            <w:pPr>
              <w:ind w:left="300"/>
              <w:spacing w:after="0"/>
              <w:rPr>
                <w:sz w:val="20"/>
                <w:szCs w:val="20"/>
                <w:color w:val="auto"/>
              </w:rPr>
            </w:pPr>
            <w:r>
              <w:rPr>
                <w:rFonts w:ascii="Arial" w:cs="Arial" w:eastAsia="Arial" w:hAnsi="Arial"/>
                <w:sz w:val="14"/>
                <w:szCs w:val="14"/>
                <w:color w:val="auto"/>
              </w:rPr>
              <w:t>Covenant Suspension</w:t>
            </w:r>
          </w:p>
        </w:tc>
        <w:tc>
          <w:tcPr>
            <w:tcW w:w="18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323"/>
        </w:trPr>
        <w:tc>
          <w:tcPr>
            <w:tcW w:w="1080" w:type="dxa"/>
            <w:vAlign w:val="bottom"/>
          </w:tcPr>
          <w:p>
            <w:pPr>
              <w:spacing w:after="0"/>
              <w:rPr>
                <w:sz w:val="24"/>
                <w:szCs w:val="24"/>
                <w:color w:val="auto"/>
              </w:rPr>
            </w:pPr>
          </w:p>
        </w:tc>
        <w:tc>
          <w:tcPr>
            <w:tcW w:w="8500" w:type="dxa"/>
            <w:vAlign w:val="bottom"/>
          </w:tcPr>
          <w:p>
            <w:pPr>
              <w:jc w:val="center"/>
              <w:ind w:left="731"/>
              <w:spacing w:after="0"/>
              <w:rPr>
                <w:sz w:val="20"/>
                <w:szCs w:val="20"/>
                <w:color w:val="auto"/>
              </w:rPr>
            </w:pPr>
            <w:r>
              <w:rPr>
                <w:rFonts w:ascii="Arial" w:cs="Arial" w:eastAsia="Arial" w:hAnsi="Arial"/>
                <w:sz w:val="14"/>
                <w:szCs w:val="14"/>
                <w:b w:val="1"/>
                <w:bCs w:val="1"/>
                <w:color w:val="auto"/>
              </w:rPr>
              <w:t>ARTICLE ELEVEN</w:t>
            </w:r>
          </w:p>
        </w:tc>
        <w:tc>
          <w:tcPr>
            <w:tcW w:w="188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500" w:type="dxa"/>
            <w:vAlign w:val="bottom"/>
          </w:tcPr>
          <w:p>
            <w:pPr>
              <w:jc w:val="center"/>
              <w:ind w:left="731"/>
              <w:spacing w:after="0"/>
              <w:rPr>
                <w:sz w:val="20"/>
                <w:szCs w:val="20"/>
                <w:color w:val="auto"/>
              </w:rPr>
            </w:pPr>
            <w:r>
              <w:rPr>
                <w:rFonts w:ascii="Arial" w:cs="Arial" w:eastAsia="Arial" w:hAnsi="Arial"/>
                <w:sz w:val="14"/>
                <w:szCs w:val="14"/>
                <w:color w:val="auto"/>
                <w:w w:val="93"/>
              </w:rPr>
              <w:t>REDEMPTION OF NOTES</w:t>
            </w:r>
          </w:p>
        </w:tc>
        <w:tc>
          <w:tcPr>
            <w:tcW w:w="1880" w:type="dxa"/>
            <w:vAlign w:val="bottom"/>
          </w:tcPr>
          <w:p>
            <w:pPr>
              <w:spacing w:after="0"/>
              <w:rPr>
                <w:sz w:val="15"/>
                <w:szCs w:val="15"/>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Section 1101.</w:t>
            </w:r>
          </w:p>
        </w:tc>
        <w:tc>
          <w:tcPr>
            <w:tcW w:w="8500" w:type="dxa"/>
            <w:vAlign w:val="bottom"/>
          </w:tcPr>
          <w:p>
            <w:pPr>
              <w:ind w:left="300"/>
              <w:spacing w:after="0"/>
              <w:rPr>
                <w:sz w:val="20"/>
                <w:szCs w:val="20"/>
                <w:color w:val="auto"/>
              </w:rPr>
            </w:pPr>
            <w:r>
              <w:rPr>
                <w:rFonts w:ascii="Arial" w:cs="Arial" w:eastAsia="Arial" w:hAnsi="Arial"/>
                <w:sz w:val="14"/>
                <w:szCs w:val="14"/>
                <w:color w:val="auto"/>
              </w:rPr>
              <w:t>Applicability of Article</w:t>
            </w:r>
          </w:p>
        </w:tc>
        <w:tc>
          <w:tcPr>
            <w:tcW w:w="18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1102.</w:t>
            </w:r>
          </w:p>
        </w:tc>
        <w:tc>
          <w:tcPr>
            <w:tcW w:w="8500" w:type="dxa"/>
            <w:vAlign w:val="bottom"/>
          </w:tcPr>
          <w:p>
            <w:pPr>
              <w:ind w:left="300"/>
              <w:spacing w:after="0"/>
              <w:rPr>
                <w:sz w:val="20"/>
                <w:szCs w:val="20"/>
                <w:color w:val="auto"/>
              </w:rPr>
            </w:pPr>
            <w:r>
              <w:rPr>
                <w:rFonts w:ascii="Arial" w:cs="Arial" w:eastAsia="Arial" w:hAnsi="Arial"/>
                <w:sz w:val="14"/>
                <w:szCs w:val="14"/>
                <w:color w:val="auto"/>
              </w:rPr>
              <w:t>Election to Redeem; Notice to Trustee</w:t>
            </w:r>
          </w:p>
        </w:tc>
        <w:tc>
          <w:tcPr>
            <w:tcW w:w="18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1103.</w:t>
            </w:r>
          </w:p>
        </w:tc>
        <w:tc>
          <w:tcPr>
            <w:tcW w:w="8500" w:type="dxa"/>
            <w:vAlign w:val="bottom"/>
          </w:tcPr>
          <w:p>
            <w:pPr>
              <w:ind w:left="300"/>
              <w:spacing w:after="0"/>
              <w:rPr>
                <w:sz w:val="20"/>
                <w:szCs w:val="20"/>
                <w:color w:val="auto"/>
              </w:rPr>
            </w:pPr>
            <w:r>
              <w:rPr>
                <w:rFonts w:ascii="Arial" w:cs="Arial" w:eastAsia="Arial" w:hAnsi="Arial"/>
                <w:sz w:val="14"/>
                <w:szCs w:val="14"/>
                <w:color w:val="auto"/>
              </w:rPr>
              <w:t>Optional Redemption</w:t>
            </w:r>
          </w:p>
        </w:tc>
        <w:tc>
          <w:tcPr>
            <w:tcW w:w="18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1104.</w:t>
            </w:r>
          </w:p>
        </w:tc>
        <w:tc>
          <w:tcPr>
            <w:tcW w:w="8500" w:type="dxa"/>
            <w:vAlign w:val="bottom"/>
          </w:tcPr>
          <w:p>
            <w:pPr>
              <w:ind w:left="300"/>
              <w:spacing w:after="0"/>
              <w:rPr>
                <w:sz w:val="20"/>
                <w:szCs w:val="20"/>
                <w:color w:val="auto"/>
              </w:rPr>
            </w:pPr>
            <w:r>
              <w:rPr>
                <w:rFonts w:ascii="Arial" w:cs="Arial" w:eastAsia="Arial" w:hAnsi="Arial"/>
                <w:sz w:val="14"/>
                <w:szCs w:val="14"/>
                <w:color w:val="auto"/>
              </w:rPr>
              <w:t>Selection by Trustee of Notes to Be Redeemed</w:t>
            </w:r>
          </w:p>
        </w:tc>
        <w:tc>
          <w:tcPr>
            <w:tcW w:w="18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1105.</w:t>
            </w:r>
          </w:p>
        </w:tc>
        <w:tc>
          <w:tcPr>
            <w:tcW w:w="8500" w:type="dxa"/>
            <w:vAlign w:val="bottom"/>
          </w:tcPr>
          <w:p>
            <w:pPr>
              <w:ind w:left="300"/>
              <w:spacing w:after="0"/>
              <w:rPr>
                <w:sz w:val="20"/>
                <w:szCs w:val="20"/>
                <w:color w:val="auto"/>
              </w:rPr>
            </w:pPr>
            <w:r>
              <w:rPr>
                <w:rFonts w:ascii="Arial" w:cs="Arial" w:eastAsia="Arial" w:hAnsi="Arial"/>
                <w:sz w:val="14"/>
                <w:szCs w:val="14"/>
                <w:color w:val="auto"/>
              </w:rPr>
              <w:t>Notice of Redemption</w:t>
            </w:r>
          </w:p>
        </w:tc>
        <w:tc>
          <w:tcPr>
            <w:tcW w:w="18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1106.</w:t>
            </w:r>
          </w:p>
        </w:tc>
        <w:tc>
          <w:tcPr>
            <w:tcW w:w="8500" w:type="dxa"/>
            <w:vAlign w:val="bottom"/>
          </w:tcPr>
          <w:p>
            <w:pPr>
              <w:ind w:left="300"/>
              <w:spacing w:after="0"/>
              <w:rPr>
                <w:sz w:val="20"/>
                <w:szCs w:val="20"/>
                <w:color w:val="auto"/>
              </w:rPr>
            </w:pPr>
            <w:r>
              <w:rPr>
                <w:rFonts w:ascii="Arial" w:cs="Arial" w:eastAsia="Arial" w:hAnsi="Arial"/>
                <w:sz w:val="14"/>
                <w:szCs w:val="14"/>
                <w:color w:val="auto"/>
              </w:rPr>
              <w:t>Deposit of Redemption Price</w:t>
            </w:r>
          </w:p>
        </w:tc>
        <w:tc>
          <w:tcPr>
            <w:tcW w:w="18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6"/>
        </w:trPr>
        <w:tc>
          <w:tcPr>
            <w:tcW w:w="1080" w:type="dxa"/>
            <w:vAlign w:val="bottom"/>
          </w:tcPr>
          <w:p>
            <w:pPr>
              <w:spacing w:after="0"/>
              <w:rPr>
                <w:sz w:val="20"/>
                <w:szCs w:val="20"/>
                <w:color w:val="auto"/>
              </w:rPr>
            </w:pPr>
            <w:r>
              <w:rPr>
                <w:rFonts w:ascii="Arial" w:cs="Arial" w:eastAsia="Arial" w:hAnsi="Arial"/>
                <w:sz w:val="14"/>
                <w:szCs w:val="14"/>
                <w:color w:val="auto"/>
              </w:rPr>
              <w:t>Section 1107.</w:t>
            </w:r>
          </w:p>
        </w:tc>
        <w:tc>
          <w:tcPr>
            <w:tcW w:w="8500" w:type="dxa"/>
            <w:vAlign w:val="bottom"/>
          </w:tcPr>
          <w:p>
            <w:pPr>
              <w:ind w:left="300"/>
              <w:spacing w:after="0"/>
              <w:rPr>
                <w:sz w:val="20"/>
                <w:szCs w:val="20"/>
                <w:color w:val="auto"/>
              </w:rPr>
            </w:pPr>
            <w:r>
              <w:rPr>
                <w:rFonts w:ascii="Arial" w:cs="Arial" w:eastAsia="Arial" w:hAnsi="Arial"/>
                <w:sz w:val="14"/>
                <w:szCs w:val="14"/>
                <w:color w:val="auto"/>
              </w:rPr>
              <w:t>Notes Payable on Redemption Date</w:t>
            </w:r>
          </w:p>
        </w:tc>
        <w:tc>
          <w:tcPr>
            <w:tcW w:w="18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75"/>
        </w:trPr>
        <w:tc>
          <w:tcPr>
            <w:tcW w:w="1080" w:type="dxa"/>
            <w:vAlign w:val="bottom"/>
          </w:tcPr>
          <w:p>
            <w:pPr>
              <w:spacing w:after="0"/>
              <w:rPr>
                <w:sz w:val="20"/>
                <w:szCs w:val="20"/>
                <w:color w:val="auto"/>
              </w:rPr>
            </w:pPr>
            <w:r>
              <w:rPr>
                <w:rFonts w:ascii="Arial" w:cs="Arial" w:eastAsia="Arial" w:hAnsi="Arial"/>
                <w:sz w:val="14"/>
                <w:szCs w:val="14"/>
                <w:color w:val="auto"/>
              </w:rPr>
              <w:t>Section 1108.</w:t>
            </w:r>
          </w:p>
        </w:tc>
        <w:tc>
          <w:tcPr>
            <w:tcW w:w="8500" w:type="dxa"/>
            <w:vAlign w:val="bottom"/>
          </w:tcPr>
          <w:p>
            <w:pPr>
              <w:ind w:left="300"/>
              <w:spacing w:after="0"/>
              <w:rPr>
                <w:sz w:val="20"/>
                <w:szCs w:val="20"/>
                <w:color w:val="auto"/>
              </w:rPr>
            </w:pPr>
            <w:r>
              <w:rPr>
                <w:rFonts w:ascii="Arial" w:cs="Arial" w:eastAsia="Arial" w:hAnsi="Arial"/>
                <w:sz w:val="14"/>
                <w:szCs w:val="14"/>
                <w:color w:val="auto"/>
              </w:rPr>
              <w:t>Notes Redeemed in Part</w:t>
            </w:r>
          </w:p>
        </w:tc>
        <w:tc>
          <w:tcPr>
            <w:tcW w:w="1880" w:type="dxa"/>
            <w:vAlign w:val="bottom"/>
          </w:tcPr>
          <w:p>
            <w:pPr>
              <w:jc w:val="right"/>
              <w:spacing w:after="0"/>
              <w:rPr>
                <w:sz w:val="20"/>
                <w:szCs w:val="20"/>
                <w:color w:val="auto"/>
              </w:rPr>
            </w:pPr>
            <w:r>
              <w:rPr>
                <w:rFonts w:ascii="Arial" w:cs="Arial" w:eastAsia="Arial" w:hAnsi="Arial"/>
                <w:sz w:val="14"/>
                <w:szCs w:val="14"/>
                <w:color w:val="auto"/>
              </w:rPr>
              <w:t>94</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ARTICLE TWELVE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SINKING FUND; OTHER ACQUISITIONS OF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20"/>
                <w:szCs w:val="20"/>
                <w:color w:val="auto"/>
              </w:rPr>
            </w:pPr>
            <w:r>
              <w:rPr>
                <w:rFonts w:ascii="Arial" w:cs="Arial" w:eastAsia="Arial" w:hAnsi="Arial"/>
                <w:sz w:val="14"/>
                <w:szCs w:val="14"/>
                <w:color w:val="auto"/>
              </w:rPr>
              <w:t>Section 1201.</w:t>
            </w:r>
          </w:p>
        </w:tc>
        <w:tc>
          <w:tcPr>
            <w:tcW w:w="8160" w:type="dxa"/>
            <w:vAlign w:val="bottom"/>
          </w:tcPr>
          <w:p>
            <w:pPr>
              <w:ind w:left="180"/>
              <w:spacing w:after="0"/>
              <w:rPr>
                <w:sz w:val="20"/>
                <w:szCs w:val="20"/>
                <w:color w:val="auto"/>
              </w:rPr>
            </w:pPr>
            <w:r>
              <w:rPr>
                <w:rFonts w:ascii="Arial" w:cs="Arial" w:eastAsia="Arial" w:hAnsi="Arial"/>
                <w:sz w:val="14"/>
                <w:szCs w:val="14"/>
                <w:color w:val="auto"/>
              </w:rPr>
              <w:t>Mandatory Redemption, Etc.</w:t>
            </w:r>
          </w:p>
        </w:tc>
        <w:tc>
          <w:tcPr>
            <w:tcW w:w="21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4"/>
                <w:szCs w:val="24"/>
                <w:color w:val="auto"/>
              </w:rPr>
            </w:pPr>
          </w:p>
        </w:tc>
        <w:tc>
          <w:tcPr>
            <w:tcW w:w="8160" w:type="dxa"/>
            <w:vAlign w:val="bottom"/>
          </w:tcPr>
          <w:p>
            <w:pPr>
              <w:jc w:val="center"/>
              <w:ind w:left="831"/>
              <w:spacing w:after="0"/>
              <w:rPr>
                <w:sz w:val="20"/>
                <w:szCs w:val="20"/>
                <w:color w:val="auto"/>
              </w:rPr>
            </w:pPr>
            <w:r>
              <w:rPr>
                <w:rFonts w:ascii="Arial" w:cs="Arial" w:eastAsia="Arial" w:hAnsi="Arial"/>
                <w:sz w:val="14"/>
                <w:szCs w:val="14"/>
                <w:b w:val="1"/>
                <w:bCs w:val="1"/>
                <w:color w:val="auto"/>
              </w:rPr>
              <w:t>ARTICLE THIRTEEN</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160" w:type="dxa"/>
            <w:vAlign w:val="bottom"/>
          </w:tcPr>
          <w:p>
            <w:pPr>
              <w:jc w:val="center"/>
              <w:ind w:left="831"/>
              <w:spacing w:after="0"/>
              <w:rPr>
                <w:sz w:val="20"/>
                <w:szCs w:val="20"/>
                <w:color w:val="auto"/>
              </w:rPr>
            </w:pPr>
            <w:r>
              <w:rPr>
                <w:rFonts w:ascii="Arial" w:cs="Arial" w:eastAsia="Arial" w:hAnsi="Arial"/>
                <w:sz w:val="14"/>
                <w:szCs w:val="14"/>
                <w:color w:val="auto"/>
                <w:w w:val="96"/>
              </w:rPr>
              <w:t>LEGAL DEFEASANCE AND COVENANT DEFEASANCE</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0"/>
                <w:szCs w:val="20"/>
                <w:color w:val="auto"/>
              </w:rPr>
            </w:pPr>
            <w:r>
              <w:rPr>
                <w:rFonts w:ascii="Arial" w:cs="Arial" w:eastAsia="Arial" w:hAnsi="Arial"/>
                <w:sz w:val="14"/>
                <w:szCs w:val="14"/>
                <w:color w:val="auto"/>
              </w:rPr>
              <w:t>Section 1301.</w:t>
            </w:r>
          </w:p>
        </w:tc>
        <w:tc>
          <w:tcPr>
            <w:tcW w:w="8160" w:type="dxa"/>
            <w:vAlign w:val="bottom"/>
          </w:tcPr>
          <w:p>
            <w:pPr>
              <w:ind w:left="180"/>
              <w:spacing w:after="0"/>
              <w:rPr>
                <w:sz w:val="20"/>
                <w:szCs w:val="20"/>
                <w:color w:val="auto"/>
              </w:rPr>
            </w:pPr>
            <w:r>
              <w:rPr>
                <w:rFonts w:ascii="Arial" w:cs="Arial" w:eastAsia="Arial" w:hAnsi="Arial"/>
                <w:sz w:val="14"/>
                <w:szCs w:val="14"/>
                <w:color w:val="auto"/>
              </w:rPr>
              <w:t>Issuer’s Option to Effect Legal Defeasance or Covenant Defeasance</w:t>
            </w:r>
          </w:p>
        </w:tc>
        <w:tc>
          <w:tcPr>
            <w:tcW w:w="21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1302.</w:t>
            </w:r>
          </w:p>
        </w:tc>
        <w:tc>
          <w:tcPr>
            <w:tcW w:w="8160" w:type="dxa"/>
            <w:vAlign w:val="bottom"/>
          </w:tcPr>
          <w:p>
            <w:pPr>
              <w:ind w:left="180"/>
              <w:spacing w:after="0"/>
              <w:rPr>
                <w:sz w:val="20"/>
                <w:szCs w:val="20"/>
                <w:color w:val="auto"/>
              </w:rPr>
            </w:pPr>
            <w:r>
              <w:rPr>
                <w:rFonts w:ascii="Arial" w:cs="Arial" w:eastAsia="Arial" w:hAnsi="Arial"/>
                <w:sz w:val="14"/>
                <w:szCs w:val="14"/>
                <w:color w:val="auto"/>
              </w:rPr>
              <w:t>Defeasance and Discharge</w:t>
            </w:r>
          </w:p>
        </w:tc>
        <w:tc>
          <w:tcPr>
            <w:tcW w:w="21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1303.</w:t>
            </w:r>
          </w:p>
        </w:tc>
        <w:tc>
          <w:tcPr>
            <w:tcW w:w="8160" w:type="dxa"/>
            <w:vAlign w:val="bottom"/>
          </w:tcPr>
          <w:p>
            <w:pPr>
              <w:ind w:left="180"/>
              <w:spacing w:after="0"/>
              <w:rPr>
                <w:sz w:val="20"/>
                <w:szCs w:val="20"/>
                <w:color w:val="auto"/>
              </w:rPr>
            </w:pPr>
            <w:r>
              <w:rPr>
                <w:rFonts w:ascii="Arial" w:cs="Arial" w:eastAsia="Arial" w:hAnsi="Arial"/>
                <w:sz w:val="14"/>
                <w:szCs w:val="14"/>
                <w:color w:val="auto"/>
              </w:rPr>
              <w:t>Covenant Defeasance</w:t>
            </w:r>
          </w:p>
        </w:tc>
        <w:tc>
          <w:tcPr>
            <w:tcW w:w="21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1304.</w:t>
            </w:r>
          </w:p>
        </w:tc>
        <w:tc>
          <w:tcPr>
            <w:tcW w:w="8160" w:type="dxa"/>
            <w:vAlign w:val="bottom"/>
          </w:tcPr>
          <w:p>
            <w:pPr>
              <w:ind w:left="180"/>
              <w:spacing w:after="0"/>
              <w:rPr>
                <w:sz w:val="20"/>
                <w:szCs w:val="20"/>
                <w:color w:val="auto"/>
              </w:rPr>
            </w:pPr>
            <w:r>
              <w:rPr>
                <w:rFonts w:ascii="Arial" w:cs="Arial" w:eastAsia="Arial" w:hAnsi="Arial"/>
                <w:sz w:val="14"/>
                <w:szCs w:val="14"/>
                <w:color w:val="auto"/>
              </w:rPr>
              <w:t>Conditions to Legal Defeasance or Covenant Defeasance</w:t>
            </w:r>
          </w:p>
        </w:tc>
        <w:tc>
          <w:tcPr>
            <w:tcW w:w="21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1305.</w:t>
            </w:r>
          </w:p>
        </w:tc>
        <w:tc>
          <w:tcPr>
            <w:tcW w:w="8160" w:type="dxa"/>
            <w:vAlign w:val="bottom"/>
          </w:tcPr>
          <w:p>
            <w:pPr>
              <w:ind w:left="180"/>
              <w:spacing w:after="0"/>
              <w:rPr>
                <w:sz w:val="20"/>
                <w:szCs w:val="20"/>
                <w:color w:val="auto"/>
              </w:rPr>
            </w:pPr>
            <w:r>
              <w:rPr>
                <w:rFonts w:ascii="Arial" w:cs="Arial" w:eastAsia="Arial" w:hAnsi="Arial"/>
                <w:sz w:val="14"/>
                <w:szCs w:val="14"/>
                <w:color w:val="auto"/>
              </w:rPr>
              <w:t>Deposited Money and U.S. Government Obligations to Be Held in Trust; Miscellaneous Provisions</w:t>
            </w:r>
          </w:p>
        </w:tc>
        <w:tc>
          <w:tcPr>
            <w:tcW w:w="21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20"/>
                <w:szCs w:val="20"/>
                <w:color w:val="auto"/>
              </w:rPr>
            </w:pPr>
            <w:r>
              <w:rPr>
                <w:rFonts w:ascii="Arial" w:cs="Arial" w:eastAsia="Arial" w:hAnsi="Arial"/>
                <w:sz w:val="14"/>
                <w:szCs w:val="14"/>
                <w:color w:val="auto"/>
              </w:rPr>
              <w:t>Section 1306.</w:t>
            </w:r>
          </w:p>
        </w:tc>
        <w:tc>
          <w:tcPr>
            <w:tcW w:w="8160" w:type="dxa"/>
            <w:vAlign w:val="bottom"/>
          </w:tcPr>
          <w:p>
            <w:pPr>
              <w:ind w:left="180"/>
              <w:spacing w:after="0"/>
              <w:rPr>
                <w:sz w:val="20"/>
                <w:szCs w:val="20"/>
                <w:color w:val="auto"/>
              </w:rPr>
            </w:pPr>
            <w:r>
              <w:rPr>
                <w:rFonts w:ascii="Arial" w:cs="Arial" w:eastAsia="Arial" w:hAnsi="Arial"/>
                <w:sz w:val="14"/>
                <w:szCs w:val="14"/>
                <w:color w:val="auto"/>
              </w:rPr>
              <w:t>Reinstatement</w:t>
            </w:r>
          </w:p>
        </w:tc>
        <w:tc>
          <w:tcPr>
            <w:tcW w:w="21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4"/>
                <w:szCs w:val="24"/>
                <w:color w:val="auto"/>
              </w:rPr>
            </w:pPr>
          </w:p>
        </w:tc>
        <w:tc>
          <w:tcPr>
            <w:tcW w:w="8160" w:type="dxa"/>
            <w:vAlign w:val="bottom"/>
          </w:tcPr>
          <w:p>
            <w:pPr>
              <w:jc w:val="center"/>
              <w:ind w:left="831"/>
              <w:spacing w:after="0"/>
              <w:rPr>
                <w:sz w:val="20"/>
                <w:szCs w:val="20"/>
                <w:color w:val="auto"/>
              </w:rPr>
            </w:pPr>
            <w:r>
              <w:rPr>
                <w:rFonts w:ascii="Arial" w:cs="Arial" w:eastAsia="Arial" w:hAnsi="Arial"/>
                <w:sz w:val="14"/>
                <w:szCs w:val="14"/>
                <w:b w:val="1"/>
                <w:bCs w:val="1"/>
                <w:color w:val="auto"/>
              </w:rPr>
              <w:t>ARTICLE FOURTEEN</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160" w:type="dxa"/>
            <w:vAlign w:val="bottom"/>
          </w:tcPr>
          <w:p>
            <w:pPr>
              <w:jc w:val="center"/>
              <w:ind w:left="851"/>
              <w:spacing w:after="0"/>
              <w:rPr>
                <w:sz w:val="20"/>
                <w:szCs w:val="20"/>
                <w:color w:val="auto"/>
              </w:rPr>
            </w:pPr>
            <w:r>
              <w:rPr>
                <w:rFonts w:ascii="Arial" w:cs="Arial" w:eastAsia="Arial" w:hAnsi="Arial"/>
                <w:sz w:val="14"/>
                <w:szCs w:val="14"/>
                <w:color w:val="auto"/>
                <w:w w:val="95"/>
              </w:rPr>
              <w:t>GUARANTEES</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0"/>
                <w:szCs w:val="20"/>
                <w:color w:val="auto"/>
              </w:rPr>
            </w:pPr>
            <w:r>
              <w:rPr>
                <w:rFonts w:ascii="Arial" w:cs="Arial" w:eastAsia="Arial" w:hAnsi="Arial"/>
                <w:sz w:val="14"/>
                <w:szCs w:val="14"/>
                <w:color w:val="auto"/>
              </w:rPr>
              <w:t>Section 1401.</w:t>
            </w:r>
          </w:p>
        </w:tc>
        <w:tc>
          <w:tcPr>
            <w:tcW w:w="8160" w:type="dxa"/>
            <w:vAlign w:val="bottom"/>
          </w:tcPr>
          <w:p>
            <w:pPr>
              <w:ind w:left="180"/>
              <w:spacing w:after="0"/>
              <w:rPr>
                <w:sz w:val="20"/>
                <w:szCs w:val="20"/>
                <w:color w:val="auto"/>
              </w:rPr>
            </w:pPr>
            <w:r>
              <w:rPr>
                <w:rFonts w:ascii="Arial" w:cs="Arial" w:eastAsia="Arial" w:hAnsi="Arial"/>
                <w:sz w:val="14"/>
                <w:szCs w:val="14"/>
                <w:color w:val="auto"/>
              </w:rPr>
              <w:t>Unconditional Guarantee</w:t>
            </w:r>
          </w:p>
        </w:tc>
        <w:tc>
          <w:tcPr>
            <w:tcW w:w="21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1402.</w:t>
            </w:r>
          </w:p>
        </w:tc>
        <w:tc>
          <w:tcPr>
            <w:tcW w:w="8160" w:type="dxa"/>
            <w:vAlign w:val="bottom"/>
          </w:tcPr>
          <w:p>
            <w:pPr>
              <w:ind w:left="180"/>
              <w:spacing w:after="0"/>
              <w:rPr>
                <w:sz w:val="20"/>
                <w:szCs w:val="20"/>
                <w:color w:val="auto"/>
              </w:rPr>
            </w:pPr>
            <w:r>
              <w:rPr>
                <w:rFonts w:ascii="Arial" w:cs="Arial" w:eastAsia="Arial" w:hAnsi="Arial"/>
                <w:sz w:val="14"/>
                <w:szCs w:val="14"/>
                <w:color w:val="auto"/>
              </w:rPr>
              <w:t>Subsidiary Guarantee Evidenced by Indenture</w:t>
            </w:r>
          </w:p>
        </w:tc>
        <w:tc>
          <w:tcPr>
            <w:tcW w:w="21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1403.</w:t>
            </w:r>
          </w:p>
        </w:tc>
        <w:tc>
          <w:tcPr>
            <w:tcW w:w="8160" w:type="dxa"/>
            <w:vAlign w:val="bottom"/>
          </w:tcPr>
          <w:p>
            <w:pPr>
              <w:ind w:left="180"/>
              <w:spacing w:after="0"/>
              <w:rPr>
                <w:sz w:val="20"/>
                <w:szCs w:val="20"/>
                <w:color w:val="auto"/>
              </w:rPr>
            </w:pPr>
            <w:r>
              <w:rPr>
                <w:rFonts w:ascii="Arial" w:cs="Arial" w:eastAsia="Arial" w:hAnsi="Arial"/>
                <w:sz w:val="14"/>
                <w:szCs w:val="14"/>
                <w:color w:val="auto"/>
              </w:rPr>
              <w:t>Limitation on Guarantors’ Liability</w:t>
            </w:r>
          </w:p>
        </w:tc>
        <w:tc>
          <w:tcPr>
            <w:tcW w:w="21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20"/>
                <w:szCs w:val="20"/>
                <w:color w:val="auto"/>
              </w:rPr>
            </w:pPr>
            <w:r>
              <w:rPr>
                <w:rFonts w:ascii="Arial" w:cs="Arial" w:eastAsia="Arial" w:hAnsi="Arial"/>
                <w:sz w:val="14"/>
                <w:szCs w:val="14"/>
                <w:color w:val="auto"/>
              </w:rPr>
              <w:t>Section 1404.</w:t>
            </w:r>
          </w:p>
        </w:tc>
        <w:tc>
          <w:tcPr>
            <w:tcW w:w="8160" w:type="dxa"/>
            <w:vAlign w:val="bottom"/>
          </w:tcPr>
          <w:p>
            <w:pPr>
              <w:ind w:left="180"/>
              <w:spacing w:after="0"/>
              <w:rPr>
                <w:sz w:val="20"/>
                <w:szCs w:val="20"/>
                <w:color w:val="auto"/>
              </w:rPr>
            </w:pPr>
            <w:r>
              <w:rPr>
                <w:rFonts w:ascii="Arial" w:cs="Arial" w:eastAsia="Arial" w:hAnsi="Arial"/>
                <w:sz w:val="14"/>
                <w:szCs w:val="14"/>
                <w:color w:val="auto"/>
              </w:rPr>
              <w:t>Release of Guarantors from Guarantees</w:t>
            </w:r>
          </w:p>
        </w:tc>
        <w:tc>
          <w:tcPr>
            <w:tcW w:w="21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20"/>
                <w:szCs w:val="20"/>
                <w:color w:val="auto"/>
              </w:rPr>
            </w:pPr>
            <w:r>
              <w:rPr>
                <w:rFonts w:ascii="Arial" w:cs="Arial" w:eastAsia="Arial" w:hAnsi="Arial"/>
                <w:sz w:val="14"/>
                <w:szCs w:val="14"/>
                <w:color w:val="auto"/>
              </w:rPr>
              <w:t>Section 1405.</w:t>
            </w:r>
          </w:p>
        </w:tc>
        <w:tc>
          <w:tcPr>
            <w:tcW w:w="8160" w:type="dxa"/>
            <w:vAlign w:val="bottom"/>
          </w:tcPr>
          <w:p>
            <w:pPr>
              <w:ind w:left="180"/>
              <w:spacing w:after="0"/>
              <w:rPr>
                <w:sz w:val="20"/>
                <w:szCs w:val="20"/>
                <w:color w:val="auto"/>
              </w:rPr>
            </w:pPr>
            <w:r>
              <w:rPr>
                <w:rFonts w:ascii="Arial" w:cs="Arial" w:eastAsia="Arial" w:hAnsi="Arial"/>
                <w:sz w:val="14"/>
                <w:szCs w:val="14"/>
                <w:color w:val="auto"/>
              </w:rPr>
              <w:t>Guarantor Contribution</w:t>
            </w:r>
          </w:p>
        </w:tc>
        <w:tc>
          <w:tcPr>
            <w:tcW w:w="21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332"/>
        </w:trPr>
        <w:tc>
          <w:tcPr>
            <w:tcW w:w="1200" w:type="dxa"/>
            <w:vAlign w:val="bottom"/>
            <w:vMerge w:val="restart"/>
          </w:tcPr>
          <w:p>
            <w:pPr>
              <w:spacing w:after="0"/>
              <w:rPr>
                <w:sz w:val="20"/>
                <w:szCs w:val="20"/>
                <w:color w:val="auto"/>
              </w:rPr>
            </w:pPr>
            <w:r>
              <w:rPr>
                <w:rFonts w:ascii="Arial" w:cs="Arial" w:eastAsia="Arial" w:hAnsi="Arial"/>
                <w:sz w:val="14"/>
                <w:szCs w:val="14"/>
                <w:color w:val="auto"/>
              </w:rPr>
              <w:t>FORM OF NOTE</w:t>
            </w:r>
          </w:p>
        </w:tc>
        <w:tc>
          <w:tcPr>
            <w:tcW w:w="8160" w:type="dxa"/>
            <w:vAlign w:val="bottom"/>
          </w:tcPr>
          <w:p>
            <w:pPr>
              <w:jc w:val="center"/>
              <w:ind w:left="831"/>
              <w:spacing w:after="0"/>
              <w:rPr>
                <w:sz w:val="20"/>
                <w:szCs w:val="20"/>
                <w:color w:val="auto"/>
              </w:rPr>
            </w:pPr>
            <w:r>
              <w:rPr>
                <w:rFonts w:ascii="Arial" w:cs="Arial" w:eastAsia="Arial" w:hAnsi="Arial"/>
                <w:sz w:val="14"/>
                <w:szCs w:val="14"/>
                <w:b w:val="1"/>
                <w:bCs w:val="1"/>
                <w:color w:val="auto"/>
                <w:w w:val="98"/>
              </w:rPr>
              <w:t>ANNEX A</w:t>
            </w:r>
          </w:p>
        </w:tc>
        <w:tc>
          <w:tcPr>
            <w:tcW w:w="2100" w:type="dxa"/>
            <w:vAlign w:val="bottom"/>
            <w:vMerge w:val="restart"/>
          </w:tcPr>
          <w:p>
            <w:pPr>
              <w:jc w:val="right"/>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166"/>
        </w:trPr>
        <w:tc>
          <w:tcPr>
            <w:tcW w:w="1200" w:type="dxa"/>
            <w:vAlign w:val="bottom"/>
            <w:vMerge w:val="continue"/>
          </w:tcPr>
          <w:p>
            <w:pPr>
              <w:spacing w:after="0"/>
              <w:rPr>
                <w:sz w:val="14"/>
                <w:szCs w:val="14"/>
                <w:color w:val="auto"/>
              </w:rPr>
            </w:pPr>
          </w:p>
        </w:tc>
        <w:tc>
          <w:tcPr>
            <w:tcW w:w="816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4"/>
                <w:szCs w:val="24"/>
                <w:color w:val="auto"/>
              </w:rPr>
            </w:pPr>
          </w:p>
        </w:tc>
        <w:tc>
          <w:tcPr>
            <w:tcW w:w="8160" w:type="dxa"/>
            <w:vAlign w:val="bottom"/>
          </w:tcPr>
          <w:p>
            <w:pPr>
              <w:jc w:val="center"/>
              <w:ind w:left="831"/>
              <w:spacing w:after="0"/>
              <w:rPr>
                <w:sz w:val="20"/>
                <w:szCs w:val="20"/>
                <w:color w:val="auto"/>
              </w:rPr>
            </w:pPr>
            <w:r>
              <w:rPr>
                <w:rFonts w:ascii="Arial" w:cs="Arial" w:eastAsia="Arial" w:hAnsi="Arial"/>
                <w:sz w:val="14"/>
                <w:szCs w:val="14"/>
                <w:b w:val="1"/>
                <w:bCs w:val="1"/>
                <w:color w:val="auto"/>
                <w:w w:val="98"/>
              </w:rPr>
              <w:t>ANNEX B</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360" w:type="dxa"/>
            <w:vAlign w:val="bottom"/>
            <w:gridSpan w:val="2"/>
          </w:tcPr>
          <w:p>
            <w:pPr>
              <w:spacing w:after="0"/>
              <w:rPr>
                <w:sz w:val="20"/>
                <w:szCs w:val="20"/>
                <w:color w:val="auto"/>
              </w:rPr>
            </w:pPr>
            <w:r>
              <w:rPr>
                <w:rFonts w:ascii="Arial" w:cs="Arial" w:eastAsia="Arial" w:hAnsi="Arial"/>
                <w:sz w:val="14"/>
                <w:szCs w:val="14"/>
                <w:color w:val="auto"/>
              </w:rPr>
              <w:t>FORM OF SUPPLEMENTAL INDENTURE</w:t>
            </w:r>
          </w:p>
        </w:tc>
        <w:tc>
          <w:tcPr>
            <w:tcW w:w="2100" w:type="dxa"/>
            <w:vAlign w:val="bottom"/>
          </w:tcPr>
          <w:p>
            <w:pPr>
              <w:jc w:val="right"/>
              <w:spacing w:after="0"/>
              <w:rPr>
                <w:sz w:val="20"/>
                <w:szCs w:val="20"/>
                <w:color w:val="auto"/>
              </w:rPr>
            </w:pPr>
            <w:r>
              <w:rPr>
                <w:rFonts w:ascii="Arial" w:cs="Arial" w:eastAsia="Arial" w:hAnsi="Arial"/>
                <w:sz w:val="14"/>
                <w:szCs w:val="14"/>
                <w:color w:val="auto"/>
              </w:rPr>
              <w:t>B-1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57" w:name="page58"/>
    <w:bookmarkEnd w:id="57"/>
    <w:p>
      <w:pPr>
        <w:ind w:left="500"/>
        <w:spacing w:after="0"/>
        <w:rPr>
          <w:sz w:val="20"/>
          <w:szCs w:val="20"/>
          <w:color w:val="auto"/>
        </w:rPr>
      </w:pPr>
      <w:r>
        <w:rPr>
          <w:rFonts w:ascii="Arial" w:cs="Arial" w:eastAsia="Arial" w:hAnsi="Arial"/>
          <w:sz w:val="13"/>
          <w:szCs w:val="13"/>
          <w:b w:val="1"/>
          <w:bCs w:val="1"/>
          <w:color w:val="auto"/>
        </w:rPr>
        <w:t xml:space="preserve">THIS INDENTURE </w:t>
      </w:r>
      <w:r>
        <w:rPr>
          <w:rFonts w:ascii="Arial" w:cs="Arial" w:eastAsia="Arial" w:hAnsi="Arial"/>
          <w:sz w:val="13"/>
          <w:szCs w:val="13"/>
          <w:color w:val="auto"/>
        </w:rPr>
        <w:t>(herein called the “Indenture”), dated as of [·], 2019, is among [Weatherford International, LLC, a Delaware limited liability company (herein called the “Issuer”)],</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Weatherford International plc, an Irish public limited company (herein called the “Parent Guarantor”), [Weatherford International, Ltd., a Bermuda exempted company (herein called a “Subsidiary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Guarantor”)], the other Subsidiary Guarantors party hereto from time to time and Deutsche Bank Trust Company Americas, as Trustee (herein called the “Trustee”).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NOW, THEREFORE, THE INDENTURE WITNESSETH:</w:t>
      </w:r>
    </w:p>
    <w:p>
      <w:pPr>
        <w:spacing w:after="0" w:line="175"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For and in consideration of the premises and the purchase of the Notes by the Holders thereof, it is mutually agreed, for the equal and proportionate benefit of all Holders of the Notes of each series as follows: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ONE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DEFINITIONS AND OTHER PROVISIONS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 GENERAL APPLICATION</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all purposes of the Indenture, except as otherwise expressly provided or unless the context otherwise requires:</w:t>
      </w:r>
    </w:p>
    <w:p>
      <w:pPr>
        <w:spacing w:after="0" w:line="171" w:lineRule="exact"/>
        <w:rPr>
          <w:sz w:val="20"/>
          <w:szCs w:val="20"/>
          <w:color w:val="auto"/>
        </w:rPr>
      </w:pPr>
    </w:p>
    <w:p>
      <w:pPr>
        <w:ind w:left="1500" w:hanging="501"/>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defined in this Article have the meanings assigned to them in this Article and include the plural as well as the singular;</w:t>
      </w:r>
    </w:p>
    <w:p>
      <w:pPr>
        <w:spacing w:after="0" w:line="170" w:lineRule="exact"/>
        <w:rPr>
          <w:rFonts w:ascii="Arial" w:cs="Arial" w:eastAsia="Arial" w:hAnsi="Arial"/>
          <w:sz w:val="14"/>
          <w:szCs w:val="14"/>
          <w:color w:val="auto"/>
        </w:rPr>
      </w:pPr>
    </w:p>
    <w:p>
      <w:pPr>
        <w:ind w:left="500" w:right="240" w:firstLine="499"/>
        <w:spacing w:after="0" w:line="268" w:lineRule="auto"/>
        <w:tabs>
          <w:tab w:leader="none" w:pos="1501"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other terms used herein which are defined in the Trust Indenture Act, in the Exchange Act or in the Securities Act, either directly or by reference therein, have the meanings assigned to them therein;</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accounting terms not otherwise defined herein have the meanings assigned to them in accordance with GAAP;</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unless the context otherwise requires, any reference to an “Article” or a “Section” refers to an Article or a Section, as the case may be, of the Indenture;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unless the context otherwise requires, the word “will” shall be interpreted to express a command;</w:t>
      </w:r>
    </w:p>
    <w:p>
      <w:pPr>
        <w:spacing w:after="0" w:line="170" w:lineRule="exact"/>
        <w:rPr>
          <w:rFonts w:ascii="Arial" w:cs="Arial" w:eastAsia="Arial" w:hAnsi="Arial"/>
          <w:sz w:val="14"/>
          <w:szCs w:val="14"/>
          <w:color w:val="auto"/>
        </w:rPr>
      </w:pPr>
    </w:p>
    <w:p>
      <w:pPr>
        <w:ind w:left="500" w:firstLine="499"/>
        <w:spacing w:after="0" w:line="268" w:lineRule="auto"/>
        <w:tabs>
          <w:tab w:leader="none" w:pos="1501"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references to sections of or rules under the Securities Act, Trust Indenture Act or Exchange Act will be deemed to include substitute, replacement of successor sections or rules that come into force from time to time;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words “herein,” “hereof” and “hereunder” and other words of similar import refer to the Indenture as a whole and not to any particular Article, Section or other subdivision.</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acceleration declaration</w:t>
      </w:r>
      <w:r>
        <w:rPr>
          <w:rFonts w:ascii="Arial" w:cs="Arial" w:eastAsia="Arial" w:hAnsi="Arial"/>
          <w:sz w:val="14"/>
          <w:szCs w:val="14"/>
          <w:color w:val="auto"/>
        </w:rPr>
        <w:t>” has the meaning specified in Section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974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58" w:name="page59"/>
    <w:bookmarkEnd w:id="58"/>
    <w:p>
      <w:pPr>
        <w:ind w:firstLine="498"/>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Acquired Indebtedness</w:t>
      </w:r>
      <w:r>
        <w:rPr>
          <w:rFonts w:ascii="Arial" w:cs="Arial" w:eastAsia="Arial" w:hAnsi="Arial"/>
          <w:sz w:val="12"/>
          <w:szCs w:val="12"/>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Act,</w:t>
      </w:r>
      <w:r>
        <w:rPr>
          <w:rFonts w:ascii="Arial" w:cs="Arial" w:eastAsia="Arial" w:hAnsi="Arial"/>
          <w:sz w:val="14"/>
          <w:szCs w:val="14"/>
          <w:color w:val="auto"/>
        </w:rPr>
        <w:t>” when used with respect to any Holder, has the meaning specified in Section 104.</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Additional Assets</w:t>
      </w:r>
      <w:r>
        <w:rPr>
          <w:rFonts w:ascii="Arial" w:cs="Arial" w:eastAsia="Arial" w:hAnsi="Arial"/>
          <w:sz w:val="14"/>
          <w:szCs w:val="14"/>
          <w:color w:val="auto"/>
        </w:rPr>
        <w:t>” means:</w:t>
      </w:r>
    </w:p>
    <w:p>
      <w:pPr>
        <w:spacing w:after="0" w:line="171" w:lineRule="exact"/>
        <w:rPr>
          <w:sz w:val="20"/>
          <w:szCs w:val="20"/>
          <w:color w:val="auto"/>
        </w:rPr>
      </w:pPr>
    </w:p>
    <w:p>
      <w:pPr>
        <w:ind w:left="1000" w:hanging="499"/>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assets used or useful in a Permitted Business, other than cash, Cash Equivalents, Indebtedness or Capital Stock;</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Equity Interests of a Person that becomes a Restricted Subsidiary as a result of the acquisition of such Equity Interests by the Parent Guarantor or any of its Restricted Subsidiaries; or</w:t>
      </w:r>
    </w:p>
    <w:p>
      <w:pPr>
        <w:spacing w:after="0" w:line="193" w:lineRule="exact"/>
        <w:rPr>
          <w:rFonts w:ascii="Arial" w:cs="Arial" w:eastAsia="Arial" w:hAnsi="Arial"/>
          <w:sz w:val="12"/>
          <w:szCs w:val="12"/>
          <w:color w:val="auto"/>
        </w:rPr>
      </w:pPr>
    </w:p>
    <w:p>
      <w:pPr>
        <w:ind w:left="1000" w:hanging="499"/>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Equity Interests in any Person that at such time is a Restricted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 however</w:t>
      </w:r>
      <w:r>
        <w:rPr>
          <w:rFonts w:ascii="Arial" w:cs="Arial" w:eastAsia="Arial" w:hAnsi="Arial"/>
          <w:sz w:val="14"/>
          <w:szCs w:val="14"/>
          <w:color w:val="auto"/>
        </w:rPr>
        <w:t>, that any such Restricted Subsidiary described in clause (2) or (3) is primarily engaged in a Permitted Business.</w:t>
      </w:r>
    </w:p>
    <w:p>
      <w:pPr>
        <w:spacing w:after="0" w:line="171"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w:t>
      </w:r>
      <w:r>
        <w:rPr>
          <w:rFonts w:ascii="Arial" w:cs="Arial" w:eastAsia="Arial" w:hAnsi="Arial"/>
          <w:sz w:val="14"/>
          <w:szCs w:val="14"/>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4"/>
          <w:szCs w:val="14"/>
          <w:i w:val="1"/>
          <w:iCs w:val="1"/>
          <w:color w:val="auto"/>
        </w:rPr>
        <w:t>control</w:t>
      </w:r>
      <w:r>
        <w:rPr>
          <w:rFonts w:ascii="Arial" w:cs="Arial" w:eastAsia="Arial" w:hAnsi="Arial"/>
          <w:sz w:val="14"/>
          <w:szCs w:val="14"/>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4"/>
          <w:szCs w:val="14"/>
          <w:i w:val="1"/>
          <w:iCs w:val="1"/>
          <w:color w:val="auto"/>
        </w:rPr>
        <w:t>controlling</w:t>
      </w:r>
      <w:r>
        <w:rPr>
          <w:rFonts w:ascii="Arial" w:cs="Arial" w:eastAsia="Arial" w:hAnsi="Arial"/>
          <w:sz w:val="14"/>
          <w:szCs w:val="14"/>
          <w:color w:val="auto"/>
        </w:rPr>
        <w:t>” and “</w:t>
      </w:r>
      <w:r>
        <w:rPr>
          <w:rFonts w:ascii="Arial" w:cs="Arial" w:eastAsia="Arial" w:hAnsi="Arial"/>
          <w:sz w:val="14"/>
          <w:szCs w:val="14"/>
          <w:i w:val="1"/>
          <w:iCs w:val="1"/>
          <w:color w:val="auto"/>
        </w:rPr>
        <w:t>controlled</w:t>
      </w:r>
      <w:r>
        <w:rPr>
          <w:rFonts w:ascii="Arial" w:cs="Arial" w:eastAsia="Arial" w:hAnsi="Arial"/>
          <w:sz w:val="14"/>
          <w:szCs w:val="14"/>
          <w:color w:val="auto"/>
        </w:rPr>
        <w:t>” have meanings correlative to the foregoing.</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 Transaction</w:t>
      </w:r>
      <w:r>
        <w:rPr>
          <w:rFonts w:ascii="Arial" w:cs="Arial" w:eastAsia="Arial" w:hAnsi="Arial"/>
          <w:sz w:val="14"/>
          <w:szCs w:val="14"/>
          <w:color w:val="auto"/>
        </w:rPr>
        <w:t>” has the meaning specified in Section 1013.</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Agent Members</w:t>
      </w:r>
      <w:r>
        <w:rPr>
          <w:rFonts w:ascii="Arial" w:cs="Arial" w:eastAsia="Arial" w:hAnsi="Arial"/>
          <w:sz w:val="14"/>
          <w:szCs w:val="14"/>
          <w:color w:val="auto"/>
        </w:rPr>
        <w:t>” has the meaning specified in Section 305.</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amend</w:t>
      </w:r>
      <w:r>
        <w:rPr>
          <w:rFonts w:ascii="Arial" w:cs="Arial" w:eastAsia="Arial" w:hAnsi="Arial"/>
          <w:sz w:val="14"/>
          <w:szCs w:val="14"/>
          <w:color w:val="auto"/>
        </w:rPr>
        <w:t>” means to amend, supplement, restate, amend and restate or otherwise modify, including successively, and “amendment” shall have a correlative meaning.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Applicable Banking Laws</w:t>
      </w:r>
      <w:r>
        <w:rPr>
          <w:rFonts w:ascii="Arial" w:cs="Arial" w:eastAsia="Arial" w:hAnsi="Arial"/>
          <w:sz w:val="14"/>
          <w:szCs w:val="14"/>
          <w:color w:val="auto"/>
        </w:rPr>
        <w:t>” has the meaning specified in Section 116.(2)</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Asset Acquisition</w:t>
      </w:r>
      <w:r>
        <w:rPr>
          <w:rFonts w:ascii="Arial" w:cs="Arial" w:eastAsia="Arial" w:hAnsi="Arial"/>
          <w:sz w:val="14"/>
          <w:szCs w:val="14"/>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183134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(2) NTD: Indenture is subject to LW tax review.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59" w:name="page60"/>
    <w:bookmarkEnd w:id="59"/>
    <w:p>
      <w:pPr>
        <w:ind w:left="500" w:right="120" w:firstLine="499"/>
        <w:spacing w:after="0" w:line="268" w:lineRule="auto"/>
        <w:tabs>
          <w:tab w:leader="none" w:pos="1501"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38" w:lineRule="exact"/>
        <w:rPr>
          <w:rFonts w:ascii="Arial" w:cs="Arial" w:eastAsia="Arial" w:hAnsi="Arial"/>
          <w:sz w:val="14"/>
          <w:szCs w:val="14"/>
          <w:color w:val="auto"/>
        </w:rPr>
      </w:pPr>
    </w:p>
    <w:p>
      <w:pPr>
        <w:ind w:left="500" w:right="440" w:firstLine="499"/>
        <w:spacing w:after="0" w:line="268" w:lineRule="auto"/>
        <w:tabs>
          <w:tab w:leader="none" w:pos="150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Asset Sale</w:t>
      </w:r>
      <w:r>
        <w:rPr>
          <w:rFonts w:ascii="Arial" w:cs="Arial" w:eastAsia="Arial" w:hAnsi="Arial"/>
          <w:sz w:val="14"/>
          <w:szCs w:val="14"/>
          <w:color w:val="auto"/>
        </w:rPr>
        <w:t>” means:</w:t>
      </w:r>
    </w:p>
    <w:p>
      <w:pPr>
        <w:spacing w:after="0" w:line="171" w:lineRule="exact"/>
        <w:rPr>
          <w:sz w:val="20"/>
          <w:szCs w:val="20"/>
          <w:color w:val="auto"/>
        </w:rPr>
      </w:pPr>
    </w:p>
    <w:p>
      <w:pPr>
        <w:ind w:left="1000" w:hanging="499"/>
        <w:spacing w:after="0" w:line="268" w:lineRule="auto"/>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sale, lease (other than operating leases entered into in the ordinary course of business), conveyance or other disposition of any properties or assets (including by way of a Sale-Leaseback Transaction or mergers, amalgamations, consolidations or otherwise); and</w:t>
      </w:r>
    </w:p>
    <w:p>
      <w:pPr>
        <w:spacing w:after="0" w:line="138" w:lineRule="exact"/>
        <w:rPr>
          <w:rFonts w:ascii="Arial" w:cs="Arial" w:eastAsia="Arial" w:hAnsi="Arial"/>
          <w:sz w:val="14"/>
          <w:szCs w:val="14"/>
          <w:color w:val="auto"/>
        </w:rPr>
      </w:pPr>
    </w:p>
    <w:p>
      <w:pPr>
        <w:ind w:left="1000" w:right="40" w:hanging="499"/>
        <w:spacing w:after="0" w:line="258" w:lineRule="auto"/>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issuance of Equity Interests in any of the Parent Guarantor’s Restricted Subsidiaries or the sale by the Parent Guarantor or any Restricted Subsidiary of Equity Interests in any of the Parent Guarantor’s Restricted Subsidiaries (in either case other than Preferred Stock of any Restricted Subsidiary issued in compliance with the Indenture and directors’ qualifying shares or shares required by applicable law to be held by a Person other than the Parent Guarantor or a Restricted Subsidiary);</w:t>
      </w:r>
    </w:p>
    <w:p>
      <w:pPr>
        <w:spacing w:after="0" w:line="145" w:lineRule="exact"/>
        <w:rPr>
          <w:sz w:val="20"/>
          <w:szCs w:val="20"/>
          <w:color w:val="auto"/>
        </w:rPr>
      </w:pPr>
    </w:p>
    <w:p>
      <w:pPr>
        <w:ind w:right="380"/>
        <w:spacing w:after="0" w:line="307" w:lineRule="auto"/>
        <w:rPr>
          <w:sz w:val="20"/>
          <w:szCs w:val="20"/>
          <w:color w:val="auto"/>
        </w:rPr>
      </w:pP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in the case of (1) or (2), the sale, assignment, transfer, lease, conveyance or other disposition of all or substantially all of the properties or assets of the Parent Guarantor and its Restricted</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(including by way of a merger, amalgamation or consolidation) will be governed by Section 801 and not by the provisions of Section 1012.</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Notwithstanding the preceding, the following items will not be deemed to be Asset Sales:</w:t>
      </w:r>
    </w:p>
    <w:p>
      <w:pPr>
        <w:spacing w:after="0" w:line="171" w:lineRule="exact"/>
        <w:rPr>
          <w:sz w:val="20"/>
          <w:szCs w:val="20"/>
          <w:color w:val="auto"/>
        </w:rPr>
      </w:pPr>
    </w:p>
    <w:p>
      <w:pPr>
        <w:ind w:left="1000" w:hanging="499"/>
        <w:spacing w:after="0"/>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any single transaction or series of related transactions that involves properties, assets or Equity Interests having a Fair Market Value of less than $10.0 million;</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transfer or other disposition of assets between or among any of the Parent Guarantor and its Restricted Subsidiaries;</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 issuance or sale or other disposition of Equity Interests by a Restricted Subsidiary to the Parent Guarantor or to another Restricted Subsidiary;</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sale or other disposition of Receivables in connection with any Permitted Factoring Transaction;</w:t>
      </w:r>
    </w:p>
    <w:p>
      <w:pPr>
        <w:spacing w:after="0" w:line="170" w:lineRule="exact"/>
        <w:rPr>
          <w:rFonts w:ascii="Arial" w:cs="Arial" w:eastAsia="Arial" w:hAnsi="Arial"/>
          <w:sz w:val="14"/>
          <w:szCs w:val="14"/>
          <w:color w:val="auto"/>
        </w:rPr>
      </w:pPr>
    </w:p>
    <w:p>
      <w:pPr>
        <w:ind w:left="1000" w:right="360" w:hanging="499"/>
        <w:spacing w:after="0" w:line="268" w:lineRule="auto"/>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sale, lease or other disposition of equipment, inventory, products, services, accounts receivable or other properties or assets in the ordinary course of business and any sale or other disposition of surplus, damaged, worn-out or obsolete assets;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0" w:name="page61"/>
    <w:bookmarkEnd w:id="60"/>
    <w:p>
      <w:pPr>
        <w:ind w:left="1000" w:hanging="499"/>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sale or other disposition of (a) financial instruments in the ordinary course of business or (b) cash or Cash Equivalents;</w:t>
      </w:r>
    </w:p>
    <w:p>
      <w:pPr>
        <w:spacing w:after="0" w:line="170" w:lineRule="exact"/>
        <w:rPr>
          <w:rFonts w:ascii="Arial" w:cs="Arial" w:eastAsia="Arial" w:hAnsi="Arial"/>
          <w:sz w:val="14"/>
          <w:szCs w:val="14"/>
          <w:color w:val="auto"/>
        </w:rPr>
      </w:pPr>
    </w:p>
    <w:p>
      <w:pPr>
        <w:ind w:left="1000" w:right="20" w:hanging="499"/>
        <w:spacing w:after="0" w:line="268" w:lineRule="auto"/>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disposition of properties or assets that constitutes (or results in by virtue of the consideration received for such disposition) either a Restricted Payment that does not violate Section 1009 or a Permitted Investment;</w:t>
      </w:r>
    </w:p>
    <w:p>
      <w:pPr>
        <w:spacing w:after="0" w:line="138" w:lineRule="exact"/>
        <w:rPr>
          <w:rFonts w:ascii="Arial" w:cs="Arial" w:eastAsia="Arial" w:hAnsi="Arial"/>
          <w:sz w:val="14"/>
          <w:szCs w:val="14"/>
          <w:color w:val="auto"/>
        </w:rPr>
      </w:pPr>
    </w:p>
    <w:p>
      <w:pPr>
        <w:ind w:left="1000" w:right="140" w:hanging="499"/>
        <w:spacing w:after="0" w:line="268" w:lineRule="auto"/>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creation or perfection of a Permitted Lien and dispositions in connection with Permitted Liens and the exercise by any Person in whose favor a Permitted Lien is granted of any of its rights in respect of that Permitted Lien;</w:t>
      </w:r>
    </w:p>
    <w:p>
      <w:pPr>
        <w:spacing w:after="0" w:line="138" w:lineRule="exact"/>
        <w:rPr>
          <w:rFonts w:ascii="Arial" w:cs="Arial" w:eastAsia="Arial" w:hAnsi="Arial"/>
          <w:sz w:val="14"/>
          <w:szCs w:val="14"/>
          <w:color w:val="auto"/>
        </w:rPr>
      </w:pPr>
    </w:p>
    <w:p>
      <w:pPr>
        <w:ind w:left="1000" w:hanging="499"/>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surrender or waiver of contract rights or the settlement, release or surrender of contract, tort or other claims of any kind;</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grant in the ordinary course of business of any non-exclusive license or sublicense of patents, trademarks, registrations therefor and other similar intellectual property;</w:t>
      </w:r>
    </w:p>
    <w:p>
      <w:pPr>
        <w:spacing w:after="0" w:line="182" w:lineRule="exact"/>
        <w:rPr>
          <w:rFonts w:ascii="Arial" w:cs="Arial" w:eastAsia="Arial" w:hAnsi="Arial"/>
          <w:sz w:val="13"/>
          <w:szCs w:val="13"/>
          <w:color w:val="auto"/>
        </w:rPr>
      </w:pPr>
    </w:p>
    <w:p>
      <w:pPr>
        <w:ind w:left="1000" w:right="240" w:hanging="499"/>
        <w:spacing w:after="0" w:line="268" w:lineRule="auto"/>
        <w:tabs>
          <w:tab w:leader="none" w:pos="991"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disposition of assets or Equity Interests received in settlement of debts owing to a Person as a result of foreclosure, perfection or enforcement of any Lien or debt, which debts were owing to such Person;</w:t>
      </w:r>
    </w:p>
    <w:p>
      <w:pPr>
        <w:spacing w:after="0" w:line="138" w:lineRule="exact"/>
        <w:rPr>
          <w:rFonts w:ascii="Arial" w:cs="Arial" w:eastAsia="Arial" w:hAnsi="Arial"/>
          <w:sz w:val="14"/>
          <w:szCs w:val="14"/>
          <w:color w:val="auto"/>
        </w:rPr>
      </w:pPr>
    </w:p>
    <w:p>
      <w:pPr>
        <w:ind w:left="1000" w:hanging="499"/>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sale or other disposition of Equity Interests in, or Indebtedness or other securities of, an Unrestricted Subsidiary; and</w:t>
      </w:r>
    </w:p>
    <w:p>
      <w:pPr>
        <w:spacing w:after="0" w:line="170" w:lineRule="exact"/>
        <w:rPr>
          <w:rFonts w:ascii="Arial" w:cs="Arial" w:eastAsia="Arial" w:hAnsi="Arial"/>
          <w:sz w:val="14"/>
          <w:szCs w:val="14"/>
          <w:color w:val="auto"/>
        </w:rPr>
      </w:pPr>
    </w:p>
    <w:p>
      <w:pPr>
        <w:ind w:left="1000" w:right="140" w:hanging="499"/>
        <w:spacing w:after="0" w:line="268" w:lineRule="auto"/>
        <w:tabs>
          <w:tab w:leader="none" w:pos="9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expropriation, taking, sale or other disposition of assets (including any receipt of proceeds related thereto) by any foreign government or any of its political subdivisions, agencies or controlled entities.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Asset Sale Offer</w:t>
      </w:r>
      <w:r>
        <w:rPr>
          <w:rFonts w:ascii="Arial" w:cs="Arial" w:eastAsia="Arial" w:hAnsi="Arial"/>
          <w:sz w:val="14"/>
          <w:szCs w:val="14"/>
          <w:color w:val="auto"/>
        </w:rPr>
        <w:t>” has the meaning set forth in Section 1012.</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Attributable Indebtedness</w:t>
      </w:r>
      <w:r>
        <w:rPr>
          <w:rFonts w:ascii="Arial" w:cs="Arial" w:eastAsia="Arial" w:hAnsi="Arial"/>
          <w:sz w:val="13"/>
          <w:szCs w:val="13"/>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3"/>
          <w:szCs w:val="13"/>
          <w:i w:val="1"/>
          <w:iCs w:val="1"/>
          <w:color w:val="auto"/>
        </w:rPr>
        <w:t>net rental payments</w:t>
      </w:r>
      <w:r>
        <w:rPr>
          <w:rFonts w:ascii="Arial" w:cs="Arial" w:eastAsia="Arial" w:hAnsi="Arial"/>
          <w:sz w:val="13"/>
          <w:szCs w:val="13"/>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Authenticating Agent</w:t>
      </w:r>
      <w:r>
        <w:rPr>
          <w:rFonts w:ascii="Arial" w:cs="Arial" w:eastAsia="Arial" w:hAnsi="Arial"/>
          <w:sz w:val="14"/>
          <w:szCs w:val="14"/>
          <w:color w:val="auto"/>
        </w:rPr>
        <w:t>” means any Person authorized by the Trustee pursuant to Section 614 to act on behalf of the Trustee to authenticate Notes.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Bankruptcy Law</w:t>
      </w:r>
      <w:r>
        <w:rPr>
          <w:rFonts w:ascii="Arial" w:cs="Arial" w:eastAsia="Arial" w:hAnsi="Arial"/>
          <w:sz w:val="14"/>
          <w:szCs w:val="14"/>
          <w:color w:val="auto"/>
        </w:rPr>
        <w:t>” means Title 11, United States Code, or any similar U.S. federal or state of non-U.S. law for relief of creditors.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61" w:name="page62"/>
    <w:bookmarkEnd w:id="61"/>
    <w:p>
      <w:pPr>
        <w:ind w:right="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 of Directors</w:t>
      </w:r>
      <w:r>
        <w:rPr>
          <w:rFonts w:ascii="Arial" w:cs="Arial" w:eastAsia="Arial" w:hAnsi="Arial"/>
          <w:sz w:val="14"/>
          <w:szCs w:val="14"/>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38" w:lineRule="exact"/>
        <w:rPr>
          <w:sz w:val="20"/>
          <w:szCs w:val="20"/>
          <w:color w:val="auto"/>
        </w:rPr>
      </w:pPr>
    </w:p>
    <w:p>
      <w:pPr>
        <w:ind w:right="40" w:firstLine="49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 Resolution</w:t>
      </w:r>
      <w:r>
        <w:rPr>
          <w:rFonts w:ascii="Arial" w:cs="Arial" w:eastAsia="Arial" w:hAnsi="Arial"/>
          <w:sz w:val="14"/>
          <w:szCs w:val="14"/>
          <w:color w:val="auto"/>
        </w:rPr>
        <w:t>” means a copy of a resolution certified by the Secretary or an Assistant Secretary of the Parent Guarantor, the Issuer or a Guarantor, the principal financial officer of the Parent Guarantor,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Parent Guarantor, the Issuer or the Guarantor, as applicable, authorized to take such action by its Board of Directors as evidenced by a Board Resolution.</w:t>
      </w:r>
    </w:p>
    <w:p>
      <w:pPr>
        <w:spacing w:after="0" w:line="15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 Day</w:t>
      </w:r>
      <w:r>
        <w:rPr>
          <w:rFonts w:ascii="Arial" w:cs="Arial" w:eastAsia="Arial" w:hAnsi="Arial"/>
          <w:sz w:val="14"/>
          <w:szCs w:val="14"/>
          <w:color w:val="auto"/>
        </w:rPr>
        <w:t>” means each Monday, Tuesday, Wednesday, Thursday and Friday which is not a day on which banking institutions in the City and State of New York are authorized or obligated by law, executive order or regulation to close.</w:t>
      </w:r>
    </w:p>
    <w:p>
      <w:pPr>
        <w:spacing w:after="0" w:line="138"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Capitalized Lease</w:t>
      </w:r>
      <w:r>
        <w:rPr>
          <w:rFonts w:ascii="Arial" w:cs="Arial" w:eastAsia="Arial" w:hAnsi="Arial"/>
          <w:sz w:val="14"/>
          <w:szCs w:val="14"/>
          <w:color w:val="auto"/>
        </w:rPr>
        <w:t>” means a lease required to be capitalized for financial reporting purposes in accordance with GAAP. Notwithstanding the foregoing, any lease that would have been classified as an operating lease pursuant to GAAP as in effect on [December 31, 2018] shall be deemed not to be a Capitalized Lease.</w:t>
      </w:r>
    </w:p>
    <w:p>
      <w:pPr>
        <w:spacing w:after="0" w:line="138" w:lineRule="exact"/>
        <w:rPr>
          <w:sz w:val="20"/>
          <w:szCs w:val="20"/>
          <w:color w:val="auto"/>
        </w:rPr>
      </w:pPr>
    </w:p>
    <w:p>
      <w:pPr>
        <w:ind w:right="120" w:firstLine="49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Capitalized Lease Obligations</w:t>
      </w:r>
      <w:r>
        <w:rPr>
          <w:rFonts w:ascii="Arial" w:cs="Arial" w:eastAsia="Arial" w:hAnsi="Arial"/>
          <w:sz w:val="13"/>
          <w:szCs w:val="13"/>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Cash Equivalents</w:t>
      </w:r>
      <w:r>
        <w:rPr>
          <w:rFonts w:ascii="Arial" w:cs="Arial" w:eastAsia="Arial" w:hAnsi="Arial"/>
          <w:sz w:val="14"/>
          <w:szCs w:val="14"/>
          <w:color w:val="auto"/>
        </w:rPr>
        <w:t>” means:</w:t>
      </w:r>
    </w:p>
    <w:p>
      <w:pPr>
        <w:spacing w:after="0" w:line="171" w:lineRule="exact"/>
        <w:rPr>
          <w:sz w:val="20"/>
          <w:szCs w:val="20"/>
          <w:color w:val="auto"/>
        </w:rPr>
      </w:pPr>
    </w:p>
    <w:p>
      <w:pPr>
        <w:ind w:left="500" w:firstLine="499"/>
        <w:spacing w:after="0" w:line="268" w:lineRule="auto"/>
        <w:tabs>
          <w:tab w:leader="none" w:pos="1501"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investments in commercial paper maturing within 270 days from the date of acquisition thereof and having, at such date of acquisition, the highest credit rating obtained from S&amp;P</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or from Moody’s;</w:t>
      </w:r>
    </w:p>
    <w:p>
      <w:pPr>
        <w:spacing w:after="0" w:line="161" w:lineRule="exact"/>
        <w:rPr>
          <w:rFonts w:ascii="Arial" w:cs="Arial" w:eastAsia="Arial" w:hAnsi="Arial"/>
          <w:sz w:val="12"/>
          <w:szCs w:val="12"/>
          <w:color w:val="auto"/>
        </w:rPr>
      </w:pPr>
    </w:p>
    <w:p>
      <w:pPr>
        <w:ind w:left="500" w:firstLine="499"/>
        <w:spacing w:after="0" w:line="268" w:lineRule="auto"/>
        <w:tabs>
          <w:tab w:leader="none" w:pos="1501"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62" w:name="page63"/>
    <w:bookmarkEnd w:id="62"/>
    <w:p>
      <w:pPr>
        <w:ind w:left="500"/>
        <w:spacing w:after="0"/>
        <w:rPr>
          <w:sz w:val="20"/>
          <w:szCs w:val="20"/>
          <w:color w:val="auto"/>
        </w:rPr>
      </w:pPr>
      <w:r>
        <w:rPr>
          <w:rFonts w:ascii="Arial" w:cs="Arial" w:eastAsia="Arial" w:hAnsi="Arial"/>
          <w:sz w:val="14"/>
          <w:szCs w:val="14"/>
          <w:color w:val="auto"/>
        </w:rPr>
        <w:t>United States or any State thereof which has a combined capital and surplus and undivided profits of not less than $500.0 million;</w:t>
      </w:r>
    </w:p>
    <w:p>
      <w:pPr>
        <w:spacing w:after="0" w:line="171" w:lineRule="exact"/>
        <w:rPr>
          <w:sz w:val="20"/>
          <w:szCs w:val="20"/>
          <w:color w:val="auto"/>
        </w:rPr>
      </w:pPr>
    </w:p>
    <w:p>
      <w:pPr>
        <w:ind w:left="500" w:right="140" w:firstLine="499"/>
        <w:spacing w:after="0" w:line="268" w:lineRule="auto"/>
        <w:tabs>
          <w:tab w:leader="none" w:pos="15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38" w:lineRule="exact"/>
        <w:rPr>
          <w:rFonts w:ascii="Arial" w:cs="Arial" w:eastAsia="Arial" w:hAnsi="Arial"/>
          <w:sz w:val="14"/>
          <w:szCs w:val="14"/>
          <w:color w:val="auto"/>
        </w:rPr>
      </w:pPr>
    </w:p>
    <w:p>
      <w:pPr>
        <w:ind w:left="500" w:right="20" w:firstLine="499"/>
        <w:spacing w:after="0" w:line="268" w:lineRule="auto"/>
        <w:tabs>
          <w:tab w:leader="none" w:pos="15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money market funds that (i) comply with the criteria set forth in SEC Rule 2a-7 under the Investment Company Act, (ii) are rated AAA by S&amp;P and Aaa by Moody’s and (iii) have portfolio assets of at least $5.0 billion; and</w:t>
      </w:r>
    </w:p>
    <w:p>
      <w:pPr>
        <w:spacing w:after="0" w:line="138" w:lineRule="exact"/>
        <w:rPr>
          <w:rFonts w:ascii="Arial" w:cs="Arial" w:eastAsia="Arial" w:hAnsi="Arial"/>
          <w:sz w:val="14"/>
          <w:szCs w:val="14"/>
          <w:color w:val="auto"/>
        </w:rPr>
      </w:pPr>
    </w:p>
    <w:p>
      <w:pPr>
        <w:ind w:left="500" w:right="120" w:firstLine="499"/>
        <w:spacing w:after="0" w:line="268" w:lineRule="auto"/>
        <w:tabs>
          <w:tab w:leader="none" w:pos="15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38" w:lineRule="exact"/>
        <w:rPr>
          <w:sz w:val="20"/>
          <w:szCs w:val="20"/>
          <w:color w:val="auto"/>
        </w:rPr>
      </w:pPr>
    </w:p>
    <w:p>
      <w:pPr>
        <w:ind w:firstLine="498"/>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w:t>
      </w:r>
      <w:r>
        <w:rPr>
          <w:rFonts w:ascii="Arial" w:cs="Arial" w:eastAsia="Arial" w:hAnsi="Arial"/>
          <w:sz w:val="14"/>
          <w:szCs w:val="14"/>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other than the Permitted Holders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 Board of Directors are not Continuing Directors.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 Offer</w:t>
      </w:r>
      <w:r>
        <w:rPr>
          <w:rFonts w:ascii="Arial" w:cs="Arial" w:eastAsia="Arial" w:hAnsi="Arial"/>
          <w:sz w:val="14"/>
          <w:szCs w:val="14"/>
          <w:color w:val="auto"/>
        </w:rPr>
        <w:t>” has the meaning specified in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 Payment</w:t>
      </w:r>
      <w:r>
        <w:rPr>
          <w:rFonts w:ascii="Arial" w:cs="Arial" w:eastAsia="Arial" w:hAnsi="Arial"/>
          <w:sz w:val="14"/>
          <w:szCs w:val="14"/>
          <w:color w:val="auto"/>
        </w:rPr>
        <w:t>” has the meaning specified in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 Payment Date</w:t>
      </w:r>
      <w:r>
        <w:rPr>
          <w:rFonts w:ascii="Arial" w:cs="Arial" w:eastAsia="Arial" w:hAnsi="Arial"/>
          <w:sz w:val="14"/>
          <w:szCs w:val="14"/>
          <w:color w:val="auto"/>
        </w:rPr>
        <w:t>” has the meaning specified in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Code</w:t>
      </w:r>
      <w:r>
        <w:rPr>
          <w:rFonts w:ascii="Arial" w:cs="Arial" w:eastAsia="Arial" w:hAnsi="Arial"/>
          <w:sz w:val="14"/>
          <w:szCs w:val="14"/>
          <w:color w:val="auto"/>
        </w:rPr>
        <w:t>” has the meaning specified in Section 1001.</w:t>
      </w:r>
    </w:p>
    <w:p>
      <w:pPr>
        <w:spacing w:after="0" w:line="171" w:lineRule="exact"/>
        <w:rPr>
          <w:sz w:val="20"/>
          <w:szCs w:val="20"/>
          <w:color w:val="auto"/>
        </w:rPr>
      </w:pPr>
    </w:p>
    <w:p>
      <w:pPr>
        <w:ind w:right="40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Common Stock</w:t>
      </w:r>
      <w:r>
        <w:rPr>
          <w:rFonts w:ascii="Arial" w:cs="Arial" w:eastAsia="Arial" w:hAnsi="Arial"/>
          <w:sz w:val="13"/>
          <w:szCs w:val="13"/>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63" w:name="page64"/>
    <w:bookmarkEnd w:id="63"/>
    <w:p>
      <w:pPr>
        <w:ind w:right="2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Amortization Expense</w:t>
      </w:r>
      <w:r>
        <w:rPr>
          <w:rFonts w:ascii="Arial" w:cs="Arial" w:eastAsia="Arial" w:hAnsi="Arial"/>
          <w:sz w:val="14"/>
          <w:szCs w:val="14"/>
          <w:color w:val="auto"/>
        </w:rPr>
        <w:t>” for any period means the amortization expense of the relevant Person and the Restricted Subsidiaries for such period, determined on a consolidated basis in accordance with GAAP.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Cash Flow</w:t>
      </w:r>
      <w:r>
        <w:rPr>
          <w:rFonts w:ascii="Arial" w:cs="Arial" w:eastAsia="Arial" w:hAnsi="Arial"/>
          <w:sz w:val="13"/>
          <w:szCs w:val="13"/>
          <w:color w:val="auto"/>
        </w:rPr>
        <w:t>” for any period means, with respect to any specified Person and its Restricted Subsidiaries, without duplication, the sum of the amounts for such period of:</w:t>
      </w:r>
    </w:p>
    <w:p>
      <w:pPr>
        <w:spacing w:after="0" w:line="182" w:lineRule="exact"/>
        <w:rPr>
          <w:sz w:val="20"/>
          <w:szCs w:val="20"/>
          <w:color w:val="auto"/>
        </w:rPr>
      </w:pPr>
    </w:p>
    <w:p>
      <w:pPr>
        <w:ind w:left="1500" w:hanging="501"/>
        <w:spacing w:after="0"/>
        <w:tabs>
          <w:tab w:leader="none" w:pos="1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Consolidated Net Income, plus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each case only to the extent deducted in determining Consolidated Net Income,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Consolidated Income Tax Expense,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Consolidated Amortization Expense,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Consolidated Depreciation Expense,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Consolidated Interest Expense, and</w:t>
      </w:r>
    </w:p>
    <w:p>
      <w:pPr>
        <w:spacing w:after="0" w:line="170" w:lineRule="exact"/>
        <w:rPr>
          <w:rFonts w:ascii="Arial" w:cs="Arial" w:eastAsia="Arial" w:hAnsi="Arial"/>
          <w:sz w:val="14"/>
          <w:szCs w:val="14"/>
          <w:color w:val="auto"/>
        </w:rPr>
      </w:pPr>
    </w:p>
    <w:p>
      <w:pPr>
        <w:ind w:left="1000" w:firstLine="497"/>
        <w:spacing w:after="0" w:line="268" w:lineRule="auto"/>
        <w:tabs>
          <w:tab w:leader="none" w:pos="2004" w:val="left"/>
        </w:tabs>
        <w:numPr>
          <w:ilvl w:val="1"/>
          <w:numId w:val="13"/>
        </w:numPr>
        <w:rPr>
          <w:rFonts w:ascii="Arial" w:cs="Arial" w:eastAsia="Arial" w:hAnsi="Arial"/>
          <w:sz w:val="14"/>
          <w:szCs w:val="14"/>
          <w:color w:val="auto"/>
        </w:rPr>
      </w:pPr>
      <w:r>
        <w:rPr>
          <w:rFonts w:ascii="Arial" w:cs="Arial" w:eastAsia="Arial" w:hAnsi="Arial"/>
          <w:sz w:val="14"/>
          <w:szCs w:val="14"/>
          <w:color w:val="auto"/>
        </w:rPr>
        <w:t>all other non-cash items reducing the Consolidated Net Income (excluding any non-cash charge that results in an accrual of a reserve for cash charges in any future period) for such period, minus</w:t>
      </w:r>
    </w:p>
    <w:p>
      <w:pPr>
        <w:spacing w:after="0" w:line="138" w:lineRule="exact"/>
        <w:rPr>
          <w:rFonts w:ascii="Arial" w:cs="Arial" w:eastAsia="Arial" w:hAnsi="Arial"/>
          <w:sz w:val="14"/>
          <w:szCs w:val="14"/>
          <w:color w:val="auto"/>
        </w:rPr>
      </w:pPr>
    </w:p>
    <w:p>
      <w:pPr>
        <w:ind w:left="500" w:right="180" w:firstLine="499"/>
        <w:spacing w:after="0" w:line="307" w:lineRule="auto"/>
        <w:tabs>
          <w:tab w:leader="none" w:pos="15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15" w:lineRule="exact"/>
        <w:rPr>
          <w:rFonts w:ascii="Arial" w:cs="Arial" w:eastAsia="Arial" w:hAnsi="Arial"/>
          <w:sz w:val="13"/>
          <w:szCs w:val="13"/>
          <w:color w:val="auto"/>
        </w:rPr>
      </w:pPr>
    </w:p>
    <w:p>
      <w:pPr>
        <w:ind w:left="500" w:firstLine="499"/>
        <w:spacing w:after="0" w:line="258" w:lineRule="auto"/>
        <w:tabs>
          <w:tab w:leader="none" w:pos="1501"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45" w:lineRule="exact"/>
        <w:rPr>
          <w:sz w:val="20"/>
          <w:szCs w:val="20"/>
          <w:color w:val="auto"/>
        </w:rPr>
      </w:pPr>
    </w:p>
    <w:p>
      <w:pPr>
        <w:ind w:right="2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Depreciation Expense</w:t>
      </w:r>
      <w:r>
        <w:rPr>
          <w:rFonts w:ascii="Arial" w:cs="Arial" w:eastAsia="Arial" w:hAnsi="Arial"/>
          <w:sz w:val="14"/>
          <w:szCs w:val="14"/>
          <w:color w:val="auto"/>
        </w:rPr>
        <w:t>” for any period means the depreciation expense of the relevant Person and its Restricted Subsidiaries for such period, determined on a consolidated basis in accordance with GAAP.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Income Tax Expense</w:t>
      </w:r>
      <w:r>
        <w:rPr>
          <w:rFonts w:ascii="Arial" w:cs="Arial" w:eastAsia="Arial" w:hAnsi="Arial"/>
          <w:sz w:val="12"/>
          <w:szCs w:val="12"/>
          <w:color w:val="auto"/>
        </w:rPr>
        <w:t>” for any period means the provision for taxes of the relevant Person and its Restricted Subsidiaries, determined on a consolidated basis in accordance with</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GAAP.</w:t>
      </w:r>
    </w:p>
    <w:p>
      <w:pPr>
        <w:spacing w:after="0" w:line="162" w:lineRule="exact"/>
        <w:rPr>
          <w:sz w:val="20"/>
          <w:szCs w:val="20"/>
          <w:color w:val="auto"/>
        </w:rPr>
      </w:pPr>
    </w:p>
    <w:p>
      <w:pPr>
        <w:ind w:right="52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Interest Coverage Ratio</w:t>
      </w:r>
      <w:r>
        <w:rPr>
          <w:rFonts w:ascii="Arial" w:cs="Arial" w:eastAsia="Arial" w:hAnsi="Arial"/>
          <w:sz w:val="13"/>
          <w:szCs w:val="13"/>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3"/>
          <w:szCs w:val="13"/>
          <w:i w:val="1"/>
          <w:iCs w:val="1"/>
          <w:color w:val="auto"/>
        </w:rPr>
        <w:t>Four-Quarter Period</w:t>
      </w:r>
      <w:r>
        <w:rPr>
          <w:rFonts w:ascii="Arial" w:cs="Arial" w:eastAsia="Arial" w:hAnsi="Arial"/>
          <w:sz w:val="13"/>
          <w:szCs w:val="13"/>
          <w:color w:val="auto"/>
        </w:rPr>
        <w:t>”) ending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4" w:name="page65"/>
    <w:bookmarkEnd w:id="64"/>
    <w:p>
      <w:pPr>
        <w:ind w:right="40"/>
        <w:spacing w:after="0" w:line="258" w:lineRule="auto"/>
        <w:rPr>
          <w:sz w:val="20"/>
          <w:szCs w:val="20"/>
          <w:color w:val="auto"/>
        </w:rPr>
      </w:pPr>
      <w:r>
        <w:rPr>
          <w:rFonts w:ascii="Arial" w:cs="Arial" w:eastAsia="Arial" w:hAnsi="Arial"/>
          <w:sz w:val="14"/>
          <w:szCs w:val="14"/>
          <w:color w:val="auto"/>
        </w:rPr>
        <w:t>on or prior to the date of the transaction giving rise to the need to calculate the Consolidated Interest Coverage Ratio (the “</w:t>
      </w:r>
      <w:r>
        <w:rPr>
          <w:rFonts w:ascii="Arial" w:cs="Arial" w:eastAsia="Arial" w:hAnsi="Arial"/>
          <w:sz w:val="14"/>
          <w:szCs w:val="14"/>
          <w:i w:val="1"/>
          <w:iCs w:val="1"/>
          <w:color w:val="auto"/>
        </w:rPr>
        <w:t>Transaction Date</w:t>
      </w:r>
      <w:r>
        <w:rPr>
          <w:rFonts w:ascii="Arial" w:cs="Arial" w:eastAsia="Arial" w:hAnsi="Arial"/>
          <w:sz w:val="14"/>
          <w:szCs w:val="14"/>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45" w:lineRule="exact"/>
        <w:rPr>
          <w:sz w:val="20"/>
          <w:szCs w:val="20"/>
          <w:color w:val="auto"/>
        </w:rPr>
      </w:pPr>
    </w:p>
    <w:p>
      <w:pPr>
        <w:ind w:left="500" w:firstLine="499"/>
        <w:spacing w:after="0" w:line="276" w:lineRule="auto"/>
        <w:tabs>
          <w:tab w:leader="none" w:pos="150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36" w:lineRule="exact"/>
        <w:rPr>
          <w:rFonts w:ascii="Arial" w:cs="Arial" w:eastAsia="Arial" w:hAnsi="Arial"/>
          <w:sz w:val="13"/>
          <w:szCs w:val="13"/>
          <w:color w:val="auto"/>
        </w:rPr>
      </w:pPr>
    </w:p>
    <w:p>
      <w:pPr>
        <w:ind w:left="500" w:right="40" w:firstLine="499"/>
        <w:spacing w:after="0" w:line="250" w:lineRule="auto"/>
        <w:tabs>
          <w:tab w:leader="none" w:pos="15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4"/>
          <w:szCs w:val="14"/>
          <w:i w:val="1"/>
          <w:iCs w:val="1"/>
          <w:color w:val="auto"/>
        </w:rPr>
        <w:t>provided</w:t>
      </w:r>
      <w:r>
        <w:rPr>
          <w:rFonts w:ascii="Arial" w:cs="Arial" w:eastAsia="Arial" w:hAnsi="Arial"/>
          <w:sz w:val="14"/>
          <w:szCs w:val="14"/>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calculating Consolidated Interest Expense for purposes of determining the denominator (but not the numerator) of this Consolidated Interest Coverage Ratio:</w:t>
      </w:r>
    </w:p>
    <w:p>
      <w:pPr>
        <w:spacing w:after="0" w:line="171" w:lineRule="exact"/>
        <w:rPr>
          <w:sz w:val="20"/>
          <w:szCs w:val="20"/>
          <w:color w:val="auto"/>
        </w:rPr>
      </w:pPr>
    </w:p>
    <w:p>
      <w:pPr>
        <w:ind w:left="500" w:right="140" w:firstLine="499"/>
        <w:spacing w:after="0" w:line="268" w:lineRule="auto"/>
        <w:tabs>
          <w:tab w:leader="none" w:pos="15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38" w:lineRule="exact"/>
        <w:rPr>
          <w:rFonts w:ascii="Arial" w:cs="Arial" w:eastAsia="Arial" w:hAnsi="Arial"/>
          <w:sz w:val="14"/>
          <w:szCs w:val="14"/>
          <w:color w:val="auto"/>
        </w:rPr>
      </w:pPr>
    </w:p>
    <w:p>
      <w:pPr>
        <w:ind w:left="500" w:right="580" w:firstLine="499"/>
        <w:spacing w:after="0" w:line="353" w:lineRule="auto"/>
        <w:tabs>
          <w:tab w:leader="none" w:pos="1501" w:val="left"/>
        </w:tabs>
        <w:numPr>
          <w:ilvl w:val="0"/>
          <w:numId w:val="15"/>
        </w:numPr>
        <w:rPr>
          <w:rFonts w:ascii="Arial" w:cs="Arial" w:eastAsia="Arial" w:hAnsi="Arial"/>
          <w:sz w:val="12"/>
          <w:szCs w:val="12"/>
          <w:color w:val="auto"/>
        </w:rPr>
      </w:pPr>
      <w:r>
        <w:rPr>
          <w:rFonts w:ascii="Arial" w:cs="Arial" w:eastAsia="Arial" w:hAnsi="Arial"/>
          <w:sz w:val="12"/>
          <w:szCs w:val="12"/>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 Quarter Period; and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65" w:name="page66"/>
    <w:bookmarkEnd w:id="65"/>
    <w:p>
      <w:pPr>
        <w:ind w:left="500" w:right="460" w:firstLine="499"/>
        <w:spacing w:after="0" w:line="268" w:lineRule="auto"/>
        <w:tabs>
          <w:tab w:leader="none" w:pos="1501"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38"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Interest Expense</w:t>
      </w:r>
      <w:r>
        <w:rPr>
          <w:rFonts w:ascii="Arial" w:cs="Arial" w:eastAsia="Arial" w:hAnsi="Arial"/>
          <w:sz w:val="14"/>
          <w:szCs w:val="14"/>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38" w:lineRule="exact"/>
        <w:rPr>
          <w:sz w:val="20"/>
          <w:szCs w:val="20"/>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imputed interest on Capitalized Lease Obligations and Attributable Indebtedness;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net costs associated with Hedging Obligations related to interest rates;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debt issuance costs, debt discount or premium and other financing fees and expenses;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interest portion of any deferred payment obligations;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other non-cash interest expense;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capitalized interest;</w:t>
      </w:r>
    </w:p>
    <w:p>
      <w:pPr>
        <w:spacing w:after="0" w:line="170" w:lineRule="exact"/>
        <w:rPr>
          <w:rFonts w:ascii="Arial" w:cs="Arial" w:eastAsia="Arial" w:hAnsi="Arial"/>
          <w:sz w:val="14"/>
          <w:szCs w:val="14"/>
          <w:color w:val="auto"/>
        </w:rPr>
      </w:pPr>
    </w:p>
    <w:p>
      <w:pPr>
        <w:ind w:left="500" w:right="180" w:firstLine="499"/>
        <w:spacing w:after="0" w:line="268" w:lineRule="auto"/>
        <w:tabs>
          <w:tab w:leader="none" w:pos="1501"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interest payable with respect to discontinued operations;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interest on any Indebtedness described in clause (6) or (7) of the definition of Indebtedness.</w:t>
      </w:r>
    </w:p>
    <w:p>
      <w:pPr>
        <w:spacing w:after="0" w:line="171" w:lineRule="exact"/>
        <w:rPr>
          <w:sz w:val="20"/>
          <w:szCs w:val="20"/>
          <w:color w:val="auto"/>
        </w:rPr>
      </w:pPr>
    </w:p>
    <w:p>
      <w:pPr>
        <w:ind w:right="26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Net Income</w:t>
      </w:r>
      <w:r>
        <w:rPr>
          <w:rFonts w:ascii="Arial" w:cs="Arial" w:eastAsia="Arial" w:hAnsi="Arial"/>
          <w:sz w:val="13"/>
          <w:szCs w:val="13"/>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there shall be excluded in calculating such net income (or loss), to the extent otherwise included therein, without duplication:</w:t>
      </w:r>
    </w:p>
    <w:p>
      <w:pPr>
        <w:spacing w:after="0" w:line="115" w:lineRule="exact"/>
        <w:rPr>
          <w:sz w:val="20"/>
          <w:szCs w:val="20"/>
          <w:color w:val="auto"/>
        </w:rPr>
      </w:pPr>
    </w:p>
    <w:p>
      <w:pPr>
        <w:ind w:left="500" w:right="340" w:firstLine="499"/>
        <w:spacing w:after="0" w:line="307" w:lineRule="auto"/>
        <w:tabs>
          <w:tab w:leader="none" w:pos="15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15" w:lineRule="exact"/>
        <w:rPr>
          <w:rFonts w:ascii="Arial" w:cs="Arial" w:eastAsia="Arial" w:hAnsi="Arial"/>
          <w:sz w:val="13"/>
          <w:szCs w:val="13"/>
          <w:color w:val="auto"/>
        </w:rPr>
      </w:pPr>
    </w:p>
    <w:p>
      <w:pPr>
        <w:ind w:left="500" w:firstLine="499"/>
        <w:spacing w:after="0" w:line="268" w:lineRule="auto"/>
        <w:tabs>
          <w:tab w:leader="none" w:pos="1501"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except to the extent includible in the net income (or loss) of the specified Person pursuant to the foregoing clause (1), the net income (or loss) of any other Person that accrued prior to the date that (a) such other Person becomes a Restricted Subsidiary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66" w:name="page67"/>
    <w:bookmarkEnd w:id="66"/>
    <w:p>
      <w:pPr>
        <w:ind w:left="500" w:right="60"/>
        <w:spacing w:after="0" w:line="268" w:lineRule="auto"/>
        <w:rPr>
          <w:sz w:val="20"/>
          <w:szCs w:val="20"/>
          <w:color w:val="auto"/>
        </w:rPr>
      </w:pPr>
      <w:r>
        <w:rPr>
          <w:rFonts w:ascii="Arial" w:cs="Arial" w:eastAsia="Arial" w:hAnsi="Arial"/>
          <w:sz w:val="14"/>
          <w:szCs w:val="14"/>
          <w:color w:val="auto"/>
        </w:rPr>
        <w:t>of the specified Person or is merged into or consolidated with the specified Person or any of its Restricted Subsidiaries or (b) the assets of such other Person are acquired by the specified Person or any of its Restricted Subsidiaries;</w:t>
      </w:r>
    </w:p>
    <w:p>
      <w:pPr>
        <w:spacing w:after="0" w:line="138" w:lineRule="exact"/>
        <w:rPr>
          <w:sz w:val="20"/>
          <w:szCs w:val="20"/>
          <w:color w:val="auto"/>
        </w:rPr>
      </w:pPr>
    </w:p>
    <w:p>
      <w:pPr>
        <w:ind w:left="500" w:right="100" w:firstLine="499"/>
        <w:spacing w:after="0" w:line="321" w:lineRule="auto"/>
        <w:tabs>
          <w:tab w:leader="none" w:pos="1501"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10" w:lineRule="exact"/>
        <w:rPr>
          <w:rFonts w:ascii="Arial" w:cs="Arial" w:eastAsia="Arial" w:hAnsi="Arial"/>
          <w:sz w:val="12"/>
          <w:szCs w:val="12"/>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gains or losses attributable to discontinued operations;</w:t>
      </w:r>
    </w:p>
    <w:p>
      <w:pPr>
        <w:spacing w:after="0" w:line="170" w:lineRule="exact"/>
        <w:rPr>
          <w:rFonts w:ascii="Arial" w:cs="Arial" w:eastAsia="Arial" w:hAnsi="Arial"/>
          <w:sz w:val="14"/>
          <w:szCs w:val="14"/>
          <w:color w:val="auto"/>
        </w:rPr>
      </w:pPr>
    </w:p>
    <w:p>
      <w:pPr>
        <w:ind w:left="500" w:right="140" w:firstLine="499"/>
        <w:spacing w:after="0" w:line="307" w:lineRule="auto"/>
        <w:tabs>
          <w:tab w:leader="none" w:pos="15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15" w:lineRule="exact"/>
        <w:rPr>
          <w:rFonts w:ascii="Arial" w:cs="Arial" w:eastAsia="Arial" w:hAnsi="Arial"/>
          <w:sz w:val="13"/>
          <w:szCs w:val="13"/>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gains and losses due solely to fluctuations in currency values and the related tax effects according to GAAP;</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unrealized gains and losses with respect to Hedging Obligations;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cumulative effect of any change in accounting principles or policies;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extraordinary gains and losses and the related tax effect;</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non-cash charges or expenses with respect to the grant of stock options, restricted stock or other equity compensation awards;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goodwill write-downs or other non-cash impairments of assets.</w:t>
      </w:r>
    </w:p>
    <w:p>
      <w:pPr>
        <w:spacing w:after="0" w:line="171" w:lineRule="exact"/>
        <w:rPr>
          <w:sz w:val="20"/>
          <w:szCs w:val="20"/>
          <w:color w:val="auto"/>
        </w:rPr>
      </w:pPr>
    </w:p>
    <w:p>
      <w:pPr>
        <w:ind w:right="18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Tangible Assets</w:t>
      </w:r>
      <w:r>
        <w:rPr>
          <w:rFonts w:ascii="Arial" w:cs="Arial" w:eastAsia="Arial" w:hAnsi="Arial"/>
          <w:sz w:val="14"/>
          <w:szCs w:val="14"/>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48"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Continuing Directors</w:t>
      </w:r>
      <w:r>
        <w:rPr>
          <w:rFonts w:ascii="Arial" w:cs="Arial" w:eastAsia="Arial" w:hAnsi="Arial"/>
          <w:sz w:val="14"/>
          <w:szCs w:val="14"/>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Parent Company’s proxy statement in which such member was named as a nominee for election as a director, without objection to such nomination).</w:t>
      </w:r>
    </w:p>
    <w:p>
      <w:pPr>
        <w:spacing w:after="0" w:line="171"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Corporate Trust Office</w:t>
      </w:r>
      <w:r>
        <w:rPr>
          <w:rFonts w:ascii="Arial" w:cs="Arial" w:eastAsia="Arial" w:hAnsi="Arial"/>
          <w:sz w:val="14"/>
          <w:szCs w:val="14"/>
          <w:color w:val="auto"/>
        </w:rPr>
        <w:t>” means the office of the Trustee at which at any particular time its corporate trust business in relation to the Notes shall be administered, which office on the date hereof is located at [·],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corporation</w:t>
      </w:r>
      <w:r>
        <w:rPr>
          <w:rFonts w:ascii="Arial" w:cs="Arial" w:eastAsia="Arial" w:hAnsi="Arial"/>
          <w:sz w:val="14"/>
          <w:szCs w:val="14"/>
          <w:color w:val="auto"/>
        </w:rPr>
        <w:t>” includes corporations, companies, associations, partnerships, limited partnerships, limited liability companies, joint-stock companies and trusts.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Covenant Defeasance</w:t>
      </w:r>
      <w:r>
        <w:rPr>
          <w:rFonts w:ascii="Arial" w:cs="Arial" w:eastAsia="Arial" w:hAnsi="Arial"/>
          <w:sz w:val="14"/>
          <w:szCs w:val="14"/>
          <w:color w:val="auto"/>
        </w:rPr>
        <w:t>” has the meaning specified in Section 1303.</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Coverage Ratio Exception</w:t>
      </w:r>
      <w:r>
        <w:rPr>
          <w:rFonts w:ascii="Arial" w:cs="Arial" w:eastAsia="Arial" w:hAnsi="Arial"/>
          <w:sz w:val="14"/>
          <w:szCs w:val="14"/>
          <w:color w:val="auto"/>
        </w:rPr>
        <w:t>” has the meaning set forth in the proviso in the first paragraph of Section 1008.</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Credit Agreement</w:t>
      </w:r>
      <w:r>
        <w:rPr>
          <w:rFonts w:ascii="Arial" w:cs="Arial" w:eastAsia="Arial" w:hAnsi="Arial"/>
          <w:sz w:val="13"/>
          <w:szCs w:val="13"/>
          <w:color w:val="auto"/>
        </w:rPr>
        <w:t>” means the [Credit Agreement dated as of [·], 2019], among the Issuer, the Parent Guarantor, the other Subsidiaries of the Parent Guarantor from time to time party thereto, [·],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facility.(3)</w:t>
      </w:r>
    </w:p>
    <w:p>
      <w:pPr>
        <w:spacing w:after="0" w:line="138"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Credit Facilities</w:t>
      </w:r>
      <w:r>
        <w:rPr>
          <w:rFonts w:ascii="Arial" w:cs="Arial" w:eastAsia="Arial" w:hAnsi="Arial"/>
          <w:sz w:val="14"/>
          <w:szCs w:val="14"/>
          <w:color w:val="auto"/>
        </w:rPr>
        <w:t>” means one or more debt facilities or indentures (which may be outstanding at the same time and including, without limitation, the Credit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Customary Recourse Exceptions</w:t>
      </w:r>
      <w:r>
        <w:rPr>
          <w:rFonts w:ascii="Arial" w:cs="Arial" w:eastAsia="Arial" w:hAnsi="Arial"/>
          <w:sz w:val="13"/>
          <w:szCs w:val="13"/>
          <w:color w:val="auto"/>
        </w:rPr>
        <w:t>” means, with respect to any Non-Recourse Debt of an Unrestricted Subsidiary, exclusions from the exculpation provisions with respect to such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183134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(3) NTD: To be updated.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68" w:name="page69"/>
    <w:bookmarkEnd w:id="68"/>
    <w:p>
      <w:pPr>
        <w:ind w:right="80"/>
        <w:spacing w:after="0" w:line="268" w:lineRule="auto"/>
        <w:rPr>
          <w:sz w:val="20"/>
          <w:szCs w:val="20"/>
          <w:color w:val="auto"/>
        </w:rPr>
      </w:pPr>
      <w:r>
        <w:rPr>
          <w:rFonts w:ascii="Arial" w:cs="Arial" w:eastAsia="Arial" w:hAnsi="Arial"/>
          <w:sz w:val="14"/>
          <w:szCs w:val="14"/>
          <w:color w:val="auto"/>
        </w:rPr>
        <w:t>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8"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Debt</w:t>
      </w:r>
      <w:r>
        <w:rPr>
          <w:rFonts w:ascii="Arial" w:cs="Arial" w:eastAsia="Arial" w:hAnsi="Arial"/>
          <w:sz w:val="14"/>
          <w:szCs w:val="14"/>
          <w:color w:val="auto"/>
        </w:rPr>
        <w:t>” means any obligation created or assumed by any Person for the repayment of money borrowed and any Purchase Money Indebtedness created or assumed by such Person and any guarantee of the foregoing.</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Default</w:t>
      </w:r>
      <w:r>
        <w:rPr>
          <w:rFonts w:ascii="Arial" w:cs="Arial" w:eastAsia="Arial" w:hAnsi="Arial"/>
          <w:sz w:val="14"/>
          <w:szCs w:val="14"/>
          <w:color w:val="auto"/>
        </w:rPr>
        <w:t>” means any event, act or condition that, after notice or the passage of time or both, would be an Event of Default.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Defaulted Interest</w:t>
      </w:r>
      <w:r>
        <w:rPr>
          <w:rFonts w:ascii="Arial" w:cs="Arial" w:eastAsia="Arial" w:hAnsi="Arial"/>
          <w:sz w:val="14"/>
          <w:szCs w:val="14"/>
          <w:color w:val="auto"/>
        </w:rPr>
        <w:t>” has the meaning specified in Section 307.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Definitive Notes</w:t>
      </w:r>
      <w:r>
        <w:rPr>
          <w:rFonts w:ascii="Arial" w:cs="Arial" w:eastAsia="Arial" w:hAnsi="Arial"/>
          <w:sz w:val="14"/>
          <w:szCs w:val="14"/>
          <w:color w:val="auto"/>
        </w:rPr>
        <w:t>” means certificated Notes that are not required to bear the legend set forth in the first paragraph of Section 202.</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Depositary</w:t>
      </w:r>
      <w:r>
        <w:rPr>
          <w:rFonts w:ascii="Arial" w:cs="Arial" w:eastAsia="Arial" w:hAnsi="Arial"/>
          <w:sz w:val="14"/>
          <w:szCs w:val="14"/>
          <w:color w:val="auto"/>
        </w:rPr>
        <w:t>” means, with respect to Notes issued in whole or in part in the form of one or more Global Notes, The Depository Trust Company (“</w:t>
      </w:r>
      <w:r>
        <w:rPr>
          <w:rFonts w:ascii="Arial" w:cs="Arial" w:eastAsia="Arial" w:hAnsi="Arial"/>
          <w:sz w:val="14"/>
          <w:szCs w:val="14"/>
          <w:i w:val="1"/>
          <w:iCs w:val="1"/>
          <w:color w:val="auto"/>
        </w:rPr>
        <w:t>DTC</w:t>
      </w:r>
      <w:r>
        <w:rPr>
          <w:rFonts w:ascii="Arial" w:cs="Arial" w:eastAsia="Arial" w:hAnsi="Arial"/>
          <w:sz w:val="14"/>
          <w:szCs w:val="14"/>
          <w:color w:val="auto"/>
        </w:rPr>
        <w:t>”) or any other clearing agency registered under the Exchange Act that is designated to act as successor Depositary for such Notes.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Designation</w:t>
      </w:r>
      <w:r>
        <w:rPr>
          <w:rFonts w:ascii="Arial" w:cs="Arial" w:eastAsia="Arial" w:hAnsi="Arial"/>
          <w:sz w:val="14"/>
          <w:szCs w:val="14"/>
          <w:color w:val="auto"/>
        </w:rPr>
        <w:t>” has the meaning given to this term in Section 1006.</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Designation Amount</w:t>
      </w:r>
      <w:r>
        <w:rPr>
          <w:rFonts w:ascii="Arial" w:cs="Arial" w:eastAsia="Arial" w:hAnsi="Arial"/>
          <w:sz w:val="14"/>
          <w:szCs w:val="14"/>
          <w:color w:val="auto"/>
        </w:rPr>
        <w:t>” has the meaning given to this term in Section 1006.</w:t>
      </w:r>
    </w:p>
    <w:p>
      <w:pPr>
        <w:spacing w:after="0" w:line="171" w:lineRule="exact"/>
        <w:rPr>
          <w:sz w:val="20"/>
          <w:szCs w:val="20"/>
          <w:color w:val="auto"/>
        </w:rPr>
      </w:pPr>
    </w:p>
    <w:p>
      <w:pPr>
        <w:ind w:right="20" w:firstLine="498"/>
        <w:spacing w:after="0" w:line="27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Disqualified Equity Interests</w:t>
      </w:r>
      <w:r>
        <w:rPr>
          <w:rFonts w:ascii="Arial" w:cs="Arial" w:eastAsia="Arial" w:hAnsi="Arial"/>
          <w:sz w:val="13"/>
          <w:szCs w:val="13"/>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1007, and such Equity Interests specifically provide that the Issuer will not repurchase or redeem any such Equity Interests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pursuant to such provisions prior to the Issuer’s purchase of the Notes as required pursuant to the provisions of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w:t>
      </w:r>
      <w:r>
        <w:rPr>
          <w:rFonts w:ascii="Arial" w:cs="Arial" w:eastAsia="Arial" w:hAnsi="Arial"/>
          <w:sz w:val="13"/>
          <w:szCs w:val="13"/>
          <w:color w:val="auto"/>
        </w:rPr>
        <w:t>,” “</w:t>
      </w:r>
      <w:r>
        <w:rPr>
          <w:rFonts w:ascii="Arial" w:cs="Arial" w:eastAsia="Arial" w:hAnsi="Arial"/>
          <w:sz w:val="13"/>
          <w:szCs w:val="13"/>
          <w:i w:val="1"/>
          <w:iCs w:val="1"/>
          <w:color w:val="auto"/>
        </w:rPr>
        <w:t>U.S. dollars</w:t>
      </w:r>
      <w:r>
        <w:rPr>
          <w:rFonts w:ascii="Arial" w:cs="Arial" w:eastAsia="Arial" w:hAnsi="Arial"/>
          <w:sz w:val="13"/>
          <w:szCs w:val="13"/>
          <w:color w:val="auto"/>
        </w:rPr>
        <w:t>” or “</w:t>
      </w:r>
      <w:r>
        <w:rPr>
          <w:rFonts w:ascii="Arial" w:cs="Arial" w:eastAsia="Arial" w:hAnsi="Arial"/>
          <w:sz w:val="13"/>
          <w:szCs w:val="13"/>
          <w:i w:val="1"/>
          <w:iCs w:val="1"/>
          <w:color w:val="auto"/>
        </w:rPr>
        <w:t>$</w:t>
      </w:r>
      <w:r>
        <w:rPr>
          <w:rFonts w:ascii="Arial" w:cs="Arial" w:eastAsia="Arial" w:hAnsi="Arial"/>
          <w:sz w:val="13"/>
          <w:szCs w:val="13"/>
          <w:color w:val="auto"/>
        </w:rPr>
        <w:t>” shall mean the coin or currency of the United States of America, which at the time of payment is legal tender for the payment of public and private debts.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DTC</w:t>
      </w:r>
      <w:r>
        <w:rPr>
          <w:rFonts w:ascii="Arial" w:cs="Arial" w:eastAsia="Arial" w:hAnsi="Arial"/>
          <w:sz w:val="14"/>
          <w:szCs w:val="14"/>
          <w:color w:val="auto"/>
        </w:rPr>
        <w:t>” has the meaning specified in the definition of Depositary.</w:t>
      </w:r>
    </w:p>
    <w:p>
      <w:pPr>
        <w:spacing w:after="0" w:line="171" w:lineRule="exact"/>
        <w:rPr>
          <w:sz w:val="20"/>
          <w:szCs w:val="20"/>
          <w:color w:val="auto"/>
        </w:rPr>
      </w:pPr>
    </w:p>
    <w:p>
      <w:pPr>
        <w:jc w:val="both"/>
        <w:ind w:right="16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Equity Interests</w:t>
      </w:r>
      <w:r>
        <w:rPr>
          <w:rFonts w:ascii="Arial" w:cs="Arial" w:eastAsia="Arial" w:hAnsi="Arial"/>
          <w:sz w:val="14"/>
          <w:szCs w:val="14"/>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Event of Default</w:t>
      </w:r>
      <w:r>
        <w:rPr>
          <w:rFonts w:ascii="Arial" w:cs="Arial" w:eastAsia="Arial" w:hAnsi="Arial"/>
          <w:sz w:val="14"/>
          <w:szCs w:val="14"/>
          <w:color w:val="auto"/>
        </w:rPr>
        <w:t>” has the meaning specified in Section 501.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Excess Proceeds</w:t>
      </w:r>
      <w:r>
        <w:rPr>
          <w:rFonts w:ascii="Arial" w:cs="Arial" w:eastAsia="Arial" w:hAnsi="Arial"/>
          <w:sz w:val="14"/>
          <w:szCs w:val="14"/>
          <w:color w:val="auto"/>
        </w:rPr>
        <w:t>” has the meaning specified in Section 1012.</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Exchange Act</w:t>
      </w:r>
      <w:r>
        <w:rPr>
          <w:rFonts w:ascii="Arial" w:cs="Arial" w:eastAsia="Arial" w:hAnsi="Arial"/>
          <w:sz w:val="14"/>
          <w:szCs w:val="14"/>
          <w:color w:val="auto"/>
        </w:rPr>
        <w:t>” means the U.S. Securities Exchange Act of 1934, as amended.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Expiration Date</w:t>
      </w:r>
      <w:r>
        <w:rPr>
          <w:rFonts w:ascii="Arial" w:cs="Arial" w:eastAsia="Arial" w:hAnsi="Arial"/>
          <w:sz w:val="14"/>
          <w:szCs w:val="14"/>
          <w:color w:val="auto"/>
        </w:rPr>
        <w:t>” has the meaning specified in Section 104.</w:t>
      </w:r>
    </w:p>
    <w:p>
      <w:pPr>
        <w:spacing w:after="0" w:line="171" w:lineRule="exact"/>
        <w:rPr>
          <w:sz w:val="20"/>
          <w:szCs w:val="20"/>
          <w:color w:val="auto"/>
        </w:rPr>
      </w:pPr>
    </w:p>
    <w:p>
      <w:pPr>
        <w:ind w:right="4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Fair Market Value</w:t>
      </w:r>
      <w:r>
        <w:rPr>
          <w:rFonts w:ascii="Arial" w:cs="Arial" w:eastAsia="Arial" w:hAnsi="Arial"/>
          <w:sz w:val="12"/>
          <w:szCs w:val="12"/>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Foreign Restricted Subsidiary</w:t>
      </w:r>
      <w:r>
        <w:rPr>
          <w:rFonts w:ascii="Arial" w:cs="Arial" w:eastAsia="Arial" w:hAnsi="Arial"/>
          <w:sz w:val="12"/>
          <w:szCs w:val="12"/>
          <w:color w:val="auto"/>
        </w:rPr>
        <w:t>” means any Restricted Subsidiary not organized or existing under the laws of the United States, any State thereof or the District of Columbia, other than a Guarantor.</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Funding Guarantor</w:t>
      </w:r>
      <w:r>
        <w:rPr>
          <w:rFonts w:ascii="Arial" w:cs="Arial" w:eastAsia="Arial" w:hAnsi="Arial"/>
          <w:sz w:val="14"/>
          <w:szCs w:val="14"/>
          <w:color w:val="auto"/>
        </w:rPr>
        <w:t>” has the meaning specified in Section 1405.</w:t>
      </w:r>
    </w:p>
    <w:p>
      <w:pPr>
        <w:spacing w:after="0" w:line="171"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GAAP</w:t>
      </w:r>
      <w:r>
        <w:rPr>
          <w:rFonts w:ascii="Arial" w:cs="Arial" w:eastAsia="Arial" w:hAnsi="Arial"/>
          <w:sz w:val="14"/>
          <w:szCs w:val="14"/>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Global Notes</w:t>
      </w:r>
      <w:r>
        <w:rPr>
          <w:rFonts w:ascii="Arial" w:cs="Arial" w:eastAsia="Arial" w:hAnsi="Arial"/>
          <w:sz w:val="14"/>
          <w:szCs w:val="14"/>
          <w:color w:val="auto"/>
        </w:rPr>
        <w:t>” means a permanent global Note bearing the legend set forth in Section 201.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70" w:name="page71"/>
    <w:bookmarkEnd w:id="70"/>
    <w:p>
      <w:pPr>
        <w:ind w:right="2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guarantee</w:t>
      </w:r>
      <w:r>
        <w:rPr>
          <w:rFonts w:ascii="Arial" w:cs="Arial" w:eastAsia="Arial" w:hAnsi="Arial"/>
          <w:sz w:val="14"/>
          <w:szCs w:val="14"/>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45"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Guarantee</w:t>
      </w:r>
      <w:r>
        <w:rPr>
          <w:rFonts w:ascii="Arial" w:cs="Arial" w:eastAsia="Arial" w:hAnsi="Arial"/>
          <w:sz w:val="14"/>
          <w:szCs w:val="14"/>
          <w:color w:val="auto"/>
        </w:rPr>
        <w:t>” means, individually, any guarantee of payment of the Notes by a Guarantor pursuant to the terms of the Indenture and any supplemental indenture thereto, and, collectively, all such guarantees.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Guarantors</w:t>
      </w:r>
      <w:r>
        <w:rPr>
          <w:rFonts w:ascii="Arial" w:cs="Arial" w:eastAsia="Arial" w:hAnsi="Arial"/>
          <w:sz w:val="14"/>
          <w:szCs w:val="14"/>
          <w:color w:val="auto"/>
        </w:rPr>
        <w:t>” means the Parent Guarantor and each Subsidiary Guarantor, until such Person is released from its Guarantee in accordance with the terms of the Indenture.</w:t>
      </w:r>
    </w:p>
    <w:p>
      <w:pPr>
        <w:spacing w:after="0" w:line="171" w:lineRule="exact"/>
        <w:rPr>
          <w:sz w:val="20"/>
          <w:szCs w:val="20"/>
          <w:color w:val="auto"/>
        </w:rPr>
      </w:pPr>
    </w:p>
    <w:p>
      <w:pPr>
        <w:jc w:val="both"/>
        <w:ind w:right="6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Hedging Obligations</w:t>
      </w:r>
      <w:r>
        <w:rPr>
          <w:rFonts w:ascii="Arial" w:cs="Arial" w:eastAsia="Arial" w:hAnsi="Arial"/>
          <w:sz w:val="14"/>
          <w:szCs w:val="14"/>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Holder</w:t>
      </w:r>
      <w:r>
        <w:rPr>
          <w:rFonts w:ascii="Arial" w:cs="Arial" w:eastAsia="Arial" w:hAnsi="Arial"/>
          <w:sz w:val="14"/>
          <w:szCs w:val="14"/>
          <w:color w:val="auto"/>
        </w:rPr>
        <w:t>” means any registered holder, from time to time, of the Notes.</w:t>
      </w:r>
    </w:p>
    <w:p>
      <w:pPr>
        <w:spacing w:after="0" w:line="171" w:lineRule="exact"/>
        <w:rPr>
          <w:sz w:val="20"/>
          <w:szCs w:val="20"/>
          <w:color w:val="auto"/>
        </w:rPr>
      </w:pPr>
    </w:p>
    <w:p>
      <w:pPr>
        <w:ind w:right="26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incur</w:t>
      </w:r>
      <w:r>
        <w:rPr>
          <w:rFonts w:ascii="Arial" w:cs="Arial" w:eastAsia="Arial" w:hAnsi="Arial"/>
          <w:sz w:val="14"/>
          <w:szCs w:val="14"/>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Indebtedness</w:t>
      </w:r>
      <w:r>
        <w:rPr>
          <w:rFonts w:ascii="Arial" w:cs="Arial" w:eastAsia="Arial" w:hAnsi="Arial"/>
          <w:sz w:val="14"/>
          <w:szCs w:val="14"/>
          <w:color w:val="auto"/>
        </w:rPr>
        <w:t>” of any Person at any date means, without duplication:</w:t>
      </w:r>
    </w:p>
    <w:p>
      <w:pPr>
        <w:spacing w:after="0" w:line="171" w:lineRule="exact"/>
        <w:rPr>
          <w:sz w:val="20"/>
          <w:szCs w:val="20"/>
          <w:color w:val="auto"/>
        </w:rPr>
      </w:pPr>
    </w:p>
    <w:p>
      <w:pPr>
        <w:ind w:left="1500" w:hanging="501"/>
        <w:spacing w:after="0"/>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all liabilities, contingent or otherwise, of such Person for borrowed money (whether or not the recourse of the lender is to the whole of the assets of such Person or only to a portion</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thereof);</w:t>
      </w:r>
    </w:p>
    <w:p>
      <w:pPr>
        <w:spacing w:after="0" w:line="162" w:lineRule="exact"/>
        <w:rPr>
          <w:sz w:val="20"/>
          <w:szCs w:val="20"/>
          <w:color w:val="auto"/>
        </w:rPr>
      </w:pPr>
    </w:p>
    <w:p>
      <w:pPr>
        <w:ind w:left="1500" w:hanging="501"/>
        <w:spacing w:after="0"/>
        <w:tabs>
          <w:tab w:leader="none" w:pos="1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obligations of such Person evidenced by bonds, debentures, bankers’ acceptances, notes or other similar instruments;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non-contingent reimbursement obligations of such Person in respect of letters of credit, letters of guaranty and similar credit transactions;</w:t>
      </w:r>
    </w:p>
    <w:p>
      <w:pPr>
        <w:spacing w:after="0" w:line="170" w:lineRule="exact"/>
        <w:rPr>
          <w:rFonts w:ascii="Arial" w:cs="Arial" w:eastAsia="Arial" w:hAnsi="Arial"/>
          <w:sz w:val="14"/>
          <w:szCs w:val="14"/>
          <w:color w:val="auto"/>
        </w:rPr>
      </w:pPr>
    </w:p>
    <w:p>
      <w:pPr>
        <w:ind w:left="500" w:right="280" w:firstLine="499"/>
        <w:spacing w:after="0" w:line="258" w:lineRule="auto"/>
        <w:tabs>
          <w:tab w:leader="none" w:pos="1501"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71" w:name="page72"/>
    <w:bookmarkEnd w:id="71"/>
    <w:p>
      <w:pPr>
        <w:ind w:left="1500" w:hanging="501"/>
        <w:spacing w:after="0"/>
        <w:tabs>
          <w:tab w:leader="none" w:pos="1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maximum fixed redemption or repurchase price of all Disqualified Equity Interests of such Person or, with respect to any Subsidiary of such Person, any Preferred Stock;</w:t>
      </w:r>
    </w:p>
    <w:p>
      <w:pPr>
        <w:spacing w:after="0" w:line="182" w:lineRule="exact"/>
        <w:rPr>
          <w:rFonts w:ascii="Arial" w:cs="Arial" w:eastAsia="Arial" w:hAnsi="Arial"/>
          <w:sz w:val="13"/>
          <w:szCs w:val="13"/>
          <w:color w:val="auto"/>
        </w:rPr>
      </w:pPr>
    </w:p>
    <w:p>
      <w:pPr>
        <w:ind w:left="500" w:right="340" w:firstLine="499"/>
        <w:spacing w:after="0" w:line="268" w:lineRule="auto"/>
        <w:tabs>
          <w:tab w:leader="none" w:pos="1501"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Capitalized Lease Obligations of such Person to the extent such obligations would appear as a liability on a balance sheet (excluding the footnotes thereto) of such Person prepared in accordance with GAAP;</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Indebtedness of others secured by a Lien on any asset of such Person, whether or not such Indebtedness is assumed by such Person;</w:t>
      </w:r>
    </w:p>
    <w:p>
      <w:pPr>
        <w:spacing w:after="0" w:line="170" w:lineRule="exact"/>
        <w:rPr>
          <w:rFonts w:ascii="Arial" w:cs="Arial" w:eastAsia="Arial" w:hAnsi="Arial"/>
          <w:sz w:val="14"/>
          <w:szCs w:val="14"/>
          <w:color w:val="auto"/>
        </w:rPr>
      </w:pPr>
    </w:p>
    <w:p>
      <w:pPr>
        <w:ind w:left="500" w:right="360" w:firstLine="499"/>
        <w:spacing w:after="0" w:line="353" w:lineRule="auto"/>
        <w:tabs>
          <w:tab w:leader="none" w:pos="1501"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all Indebtedness of others guaranteed by such Person to the extent of such guarantee;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91" w:lineRule="exact"/>
        <w:rPr>
          <w:rFonts w:ascii="Arial" w:cs="Arial" w:eastAsia="Arial" w:hAnsi="Arial"/>
          <w:sz w:val="12"/>
          <w:szCs w:val="12"/>
          <w:color w:val="auto"/>
        </w:rPr>
      </w:pPr>
    </w:p>
    <w:p>
      <w:pPr>
        <w:ind w:left="500" w:right="520" w:firstLine="499"/>
        <w:spacing w:after="0" w:line="268" w:lineRule="auto"/>
        <w:tabs>
          <w:tab w:leader="none" w:pos="1501"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38" w:lineRule="exact"/>
        <w:rPr>
          <w:sz w:val="20"/>
          <w:szCs w:val="20"/>
          <w:color w:val="auto"/>
        </w:rPr>
      </w:pPr>
    </w:p>
    <w:p>
      <w:pPr>
        <w:ind w:right="40" w:firstLine="498"/>
        <w:spacing w:after="0" w:line="301" w:lineRule="auto"/>
        <w:rPr>
          <w:sz w:val="20"/>
          <w:szCs w:val="20"/>
          <w:color w:val="auto"/>
        </w:rPr>
      </w:pPr>
      <w:r>
        <w:rPr>
          <w:rFonts w:ascii="Arial" w:cs="Arial" w:eastAsia="Arial" w:hAnsi="Arial"/>
          <w:sz w:val="12"/>
          <w:szCs w:val="12"/>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23" w:lineRule="exact"/>
        <w:rPr>
          <w:sz w:val="20"/>
          <w:szCs w:val="20"/>
          <w:color w:val="auto"/>
        </w:rPr>
      </w:pPr>
    </w:p>
    <w:p>
      <w:pPr>
        <w:jc w:val="both"/>
        <w:ind w:firstLine="498"/>
        <w:spacing w:after="0" w:line="287" w:lineRule="auto"/>
        <w:rPr>
          <w:sz w:val="20"/>
          <w:szCs w:val="20"/>
          <w:color w:val="auto"/>
        </w:rPr>
      </w:pPr>
      <w:r>
        <w:rPr>
          <w:rFonts w:ascii="Arial" w:cs="Arial" w:eastAsia="Arial" w:hAnsi="Arial"/>
          <w:sz w:val="13"/>
          <w:szCs w:val="13"/>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Indenture</w:t>
      </w:r>
      <w:r>
        <w:rPr>
          <w:rFonts w:ascii="Arial" w:cs="Arial" w:eastAsia="Arial" w:hAnsi="Arial"/>
          <w:sz w:val="14"/>
          <w:szCs w:val="14"/>
          <w:color w:val="auto"/>
        </w:rPr>
        <w:t>” has the meaning stated in the first paragraph of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Indenture Obligations</w:t>
      </w:r>
      <w:r>
        <w:rPr>
          <w:rFonts w:ascii="Arial" w:cs="Arial" w:eastAsia="Arial" w:hAnsi="Arial"/>
          <w:sz w:val="14"/>
          <w:szCs w:val="14"/>
          <w:color w:val="auto"/>
        </w:rPr>
        <w:t>” has the meaning specified in Section 1401.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72" w:name="page73"/>
    <w:bookmarkEnd w:id="72"/>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Independent Director</w:t>
      </w:r>
      <w:r>
        <w:rPr>
          <w:rFonts w:ascii="Arial" w:cs="Arial" w:eastAsia="Arial" w:hAnsi="Arial"/>
          <w:sz w:val="14"/>
          <w:szCs w:val="14"/>
          <w:color w:val="auto"/>
        </w:rPr>
        <w:t>” means a director of the Parent Guarantor who is independent with respect to the transaction at issue.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Insolvency or Liquidation Proceeding</w:t>
      </w:r>
      <w:r>
        <w:rPr>
          <w:rFonts w:ascii="Arial" w:cs="Arial" w:eastAsia="Arial" w:hAnsi="Arial"/>
          <w:sz w:val="14"/>
          <w:szCs w:val="14"/>
          <w:color w:val="auto"/>
        </w:rPr>
        <w:t>” has the meaning specified in Section 607.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Interest Payment Date,</w:t>
      </w:r>
      <w:r>
        <w:rPr>
          <w:rFonts w:ascii="Arial" w:cs="Arial" w:eastAsia="Arial" w:hAnsi="Arial"/>
          <w:sz w:val="14"/>
          <w:szCs w:val="14"/>
          <w:color w:val="auto"/>
        </w:rPr>
        <w:t>” when used with respect to any Note, means the Stated Maturity of an installment of interest on such Note.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 Company Act</w:t>
      </w:r>
      <w:r>
        <w:rPr>
          <w:rFonts w:ascii="Arial" w:cs="Arial" w:eastAsia="Arial" w:hAnsi="Arial"/>
          <w:sz w:val="14"/>
          <w:szCs w:val="14"/>
          <w:color w:val="auto"/>
        </w:rPr>
        <w:t>” means the Investment Company Act of 1940 and any statute successor thereto, in each case as amended from time to time.</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 Grade Rating</w:t>
      </w:r>
      <w:r>
        <w:rPr>
          <w:rFonts w:ascii="Arial" w:cs="Arial" w:eastAsia="Arial" w:hAnsi="Arial"/>
          <w:sz w:val="14"/>
          <w:szCs w:val="14"/>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Investments</w:t>
      </w:r>
      <w:r>
        <w:rPr>
          <w:rFonts w:ascii="Arial" w:cs="Arial" w:eastAsia="Arial" w:hAnsi="Arial"/>
          <w:sz w:val="14"/>
          <w:szCs w:val="14"/>
          <w:color w:val="auto"/>
        </w:rPr>
        <w:t>” of any Person means:</w:t>
      </w:r>
    </w:p>
    <w:p>
      <w:pPr>
        <w:spacing w:after="0" w:line="171" w:lineRule="exact"/>
        <w:rPr>
          <w:sz w:val="20"/>
          <w:szCs w:val="20"/>
          <w:color w:val="auto"/>
        </w:rPr>
      </w:pPr>
    </w:p>
    <w:p>
      <w:pPr>
        <w:ind w:left="500" w:right="540" w:firstLine="499"/>
        <w:spacing w:after="0" w:line="268" w:lineRule="auto"/>
        <w:tabs>
          <w:tab w:leader="none" w:pos="1501"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38" w:lineRule="exact"/>
        <w:rPr>
          <w:rFonts w:ascii="Arial" w:cs="Arial" w:eastAsia="Arial" w:hAnsi="Arial"/>
          <w:sz w:val="14"/>
          <w:szCs w:val="14"/>
          <w:color w:val="auto"/>
        </w:rPr>
      </w:pPr>
    </w:p>
    <w:p>
      <w:pPr>
        <w:ind w:left="500" w:right="220" w:firstLine="499"/>
        <w:spacing w:after="0" w:line="268" w:lineRule="auto"/>
        <w:tabs>
          <w:tab w:leader="none" w:pos="1501"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other items that would be classified as investments in another Person on a balance sheet of such Person prepared in accordance with GAAP;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Designation of any Subsidiary as an Unrestricted Subsidiary.</w:t>
      </w:r>
    </w:p>
    <w:p>
      <w:pPr>
        <w:spacing w:after="0" w:line="171"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1006.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 Date</w:t>
      </w:r>
      <w:r>
        <w:rPr>
          <w:rFonts w:ascii="Arial" w:cs="Arial" w:eastAsia="Arial" w:hAnsi="Arial"/>
          <w:sz w:val="14"/>
          <w:szCs w:val="14"/>
          <w:color w:val="auto"/>
        </w:rPr>
        <w:t>” means the first date on which the Notes are issued under the Indenture.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73" w:name="page74"/>
    <w:bookmarkEnd w:id="73"/>
    <w:p>
      <w:pPr>
        <w:ind w:right="1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Issuer</w:t>
      </w:r>
      <w:r>
        <w:rPr>
          <w:rFonts w:ascii="Arial" w:cs="Arial" w:eastAsia="Arial" w:hAnsi="Arial"/>
          <w:sz w:val="14"/>
          <w:szCs w:val="14"/>
          <w:color w:val="auto"/>
        </w:rPr>
        <w:t>” means the Person named as the “Issuer” in the first paragraph of the Indenture until a successor Person shall have become such pursuant to the applicable provisions of the Indenture, and thereafter “Issuer” shall mean such successor Person.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Issuer Request</w:t>
      </w:r>
      <w:r>
        <w:rPr>
          <w:rFonts w:ascii="Arial" w:cs="Arial" w:eastAsia="Arial" w:hAnsi="Arial"/>
          <w:sz w:val="14"/>
          <w:szCs w:val="14"/>
          <w:color w:val="auto"/>
        </w:rPr>
        <w:t>” or “</w:t>
      </w:r>
      <w:r>
        <w:rPr>
          <w:rFonts w:ascii="Arial" w:cs="Arial" w:eastAsia="Arial" w:hAnsi="Arial"/>
          <w:sz w:val="14"/>
          <w:szCs w:val="14"/>
          <w:i w:val="1"/>
          <w:iCs w:val="1"/>
          <w:color w:val="auto"/>
        </w:rPr>
        <w:t>Issuer Order</w:t>
      </w:r>
      <w:r>
        <w:rPr>
          <w:rFonts w:ascii="Arial" w:cs="Arial" w:eastAsia="Arial" w:hAnsi="Arial"/>
          <w:sz w:val="14"/>
          <w:szCs w:val="14"/>
          <w:color w:val="auto"/>
        </w:rPr>
        <w:t>” means a written request or order signed in the name of the Issuer by an Officer and delivered to the Trustee.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Judgment Currency</w:t>
      </w:r>
      <w:r>
        <w:rPr>
          <w:rFonts w:ascii="Arial" w:cs="Arial" w:eastAsia="Arial" w:hAnsi="Arial"/>
          <w:sz w:val="14"/>
          <w:szCs w:val="14"/>
          <w:color w:val="auto"/>
        </w:rPr>
        <w:t>” has the meaning specified in Section 117.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Legal Defeasance</w:t>
      </w:r>
      <w:r>
        <w:rPr>
          <w:rFonts w:ascii="Arial" w:cs="Arial" w:eastAsia="Arial" w:hAnsi="Arial"/>
          <w:sz w:val="14"/>
          <w:szCs w:val="14"/>
          <w:color w:val="auto"/>
        </w:rPr>
        <w:t>” has the meaning specified in Section 1302.</w:t>
      </w:r>
    </w:p>
    <w:p>
      <w:pPr>
        <w:spacing w:after="0" w:line="171"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Lien</w:t>
      </w:r>
      <w:r>
        <w:rPr>
          <w:rFonts w:ascii="Arial" w:cs="Arial" w:eastAsia="Arial" w:hAnsi="Arial"/>
          <w:sz w:val="14"/>
          <w:szCs w:val="14"/>
          <w:color w:val="auto"/>
        </w:rPr>
        <w:t xml:space="preserve">” means any mortgage, pledge, security interest, charge, lien or other encumbrance of any kind, whether or not filed, recorded or perfected under applicable law;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51" w:lineRule="exact"/>
        <w:rPr>
          <w:sz w:val="20"/>
          <w:szCs w:val="20"/>
          <w:color w:val="auto"/>
        </w:rPr>
      </w:pPr>
    </w:p>
    <w:p>
      <w:pPr>
        <w:ind w:right="10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Make Whole Premium</w:t>
      </w:r>
      <w:r>
        <w:rPr>
          <w:rFonts w:ascii="Arial" w:cs="Arial" w:eastAsia="Arial" w:hAnsi="Arial"/>
          <w:sz w:val="14"/>
          <w:szCs w:val="14"/>
          <w:color w:val="auto"/>
        </w:rPr>
        <w:t>” means, with respect to a Note at any time as calculated by the Issuer, the excess, if any, of (a) the present value at such time of (i) the redemption price of such Note at [ ], 2021 pursuant to Section 1103(a) plus (ii) any required interest payments due on such Note through [ ], 2021 (except for currently accrued and unpaid interest), computed using a discount rate equal to the Treasury Rate at such time plus 50 basis points, discounted to the redemption date on a semi-annual basis (assuming a 360-day year consisting of twelve 30-day months), over (b) the principal amount of such Note.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Moody’s</w:t>
      </w:r>
      <w:r>
        <w:rPr>
          <w:rFonts w:ascii="Arial" w:cs="Arial" w:eastAsia="Arial" w:hAnsi="Arial"/>
          <w:sz w:val="14"/>
          <w:szCs w:val="14"/>
          <w:color w:val="auto"/>
        </w:rPr>
        <w:t>” means Moody’s Investors Service, Inc., and its successors.</w:t>
      </w:r>
    </w:p>
    <w:p>
      <w:pPr>
        <w:spacing w:after="0" w:line="171"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Net Proceeds</w:t>
      </w:r>
      <w:r>
        <w:rPr>
          <w:rFonts w:ascii="Arial" w:cs="Arial" w:eastAsia="Arial" w:hAnsi="Arial"/>
          <w:sz w:val="14"/>
          <w:szCs w:val="14"/>
          <w:color w:val="auto"/>
        </w:rPr>
        <w:t>” means the aggregate cash proceeds and Cash Equivalents received by the Parent Guarantor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pursuant to Section 1012), net of:</w:t>
      </w:r>
    </w:p>
    <w:p>
      <w:pPr>
        <w:spacing w:after="0" w:line="145" w:lineRule="exact"/>
        <w:rPr>
          <w:sz w:val="20"/>
          <w:szCs w:val="20"/>
          <w:color w:val="auto"/>
        </w:rPr>
      </w:pPr>
    </w:p>
    <w:p>
      <w:pPr>
        <w:ind w:left="500" w:right="160" w:firstLine="499"/>
        <w:spacing w:after="0" w:line="353" w:lineRule="auto"/>
        <w:tabs>
          <w:tab w:leader="none" w:pos="1501"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direct costs relating to such Asset Sale, including, without limitation, legal, accounting and investment banking fees, title and recording tax expenses and sales commissions, severance and associated costs, expenses and charges of personnel and any relocation expenses relating to the properties or assets subject to or incurred as a result of the Asset Sale;</w:t>
      </w:r>
    </w:p>
    <w:p>
      <w:pPr>
        <w:spacing w:after="0" w:line="91" w:lineRule="exact"/>
        <w:rPr>
          <w:rFonts w:ascii="Arial" w:cs="Arial" w:eastAsia="Arial" w:hAnsi="Arial"/>
          <w:sz w:val="12"/>
          <w:szCs w:val="12"/>
          <w:color w:val="auto"/>
        </w:rPr>
      </w:pPr>
    </w:p>
    <w:p>
      <w:pPr>
        <w:ind w:left="500" w:firstLine="499"/>
        <w:spacing w:after="0" w:line="268" w:lineRule="auto"/>
        <w:tabs>
          <w:tab w:leader="none" w:pos="1501"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taxes paid or payable or required to be accrued as a liability under GAAP as a result of the Asset Sale, in each case, after taking into account any available tax credits or deductions and any tax sharing arrangements;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74" w:name="page75"/>
    <w:bookmarkEnd w:id="74"/>
    <w:p>
      <w:pPr>
        <w:ind w:left="1500" w:hanging="501"/>
        <w:spacing w:after="0"/>
        <w:tabs>
          <w:tab w:leader="none" w:pos="1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required to be applied to the repayment of Indebtedness secured by a Lien on the properties or assets that were the subject of such Asset Sale;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distributions and other payments required to be made to minority interest holders in Restricted Subsidiaries or joint ventures as a result of such Asset Sale; and</w:t>
      </w:r>
    </w:p>
    <w:p>
      <w:pPr>
        <w:spacing w:after="0" w:line="182" w:lineRule="exact"/>
        <w:rPr>
          <w:rFonts w:ascii="Arial" w:cs="Arial" w:eastAsia="Arial" w:hAnsi="Arial"/>
          <w:sz w:val="13"/>
          <w:szCs w:val="13"/>
          <w:color w:val="auto"/>
        </w:rPr>
      </w:pPr>
    </w:p>
    <w:p>
      <w:pPr>
        <w:ind w:left="500" w:firstLine="499"/>
        <w:spacing w:after="0" w:line="252" w:lineRule="auto"/>
        <w:tabs>
          <w:tab w:leader="none" w:pos="1501"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Guarantor or any of its Restricted Subsidiaries (including, without limitation, pension and other post-employment benefit liabilities and liabilities related to environmental matters or against any indemnification obligations associated with such transaction) until such time as such reserve is reversed or such escrow arrangement is terminated, in which case Net Proceeds shall include only the amount of the reserve so reversed or the amount returned to the Parent Guarantor or its Restricted Subsidiaries from such escrow arrangement, as the case may be.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Non-Recourse Debt</w:t>
      </w:r>
      <w:r>
        <w:rPr>
          <w:rFonts w:ascii="Arial" w:cs="Arial" w:eastAsia="Arial" w:hAnsi="Arial"/>
          <w:sz w:val="14"/>
          <w:szCs w:val="14"/>
          <w:color w:val="auto"/>
        </w:rPr>
        <w:t>” means Indebtedness of an Unrestricted Subsidiary:</w:t>
      </w:r>
    </w:p>
    <w:p>
      <w:pPr>
        <w:spacing w:after="0" w:line="171" w:lineRule="exact"/>
        <w:rPr>
          <w:sz w:val="20"/>
          <w:szCs w:val="20"/>
          <w:color w:val="auto"/>
        </w:rPr>
      </w:pPr>
    </w:p>
    <w:p>
      <w:pPr>
        <w:ind w:left="500" w:right="220" w:firstLine="499"/>
        <w:spacing w:after="0" w:line="307" w:lineRule="auto"/>
        <w:tabs>
          <w:tab w:leader="none" w:pos="1501"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15" w:lineRule="exact"/>
        <w:rPr>
          <w:rFonts w:ascii="Arial" w:cs="Arial" w:eastAsia="Arial" w:hAnsi="Arial"/>
          <w:sz w:val="13"/>
          <w:szCs w:val="13"/>
          <w:color w:val="auto"/>
        </w:rPr>
      </w:pPr>
    </w:p>
    <w:p>
      <w:pPr>
        <w:ind w:left="500" w:right="40" w:firstLine="499"/>
        <w:spacing w:after="0" w:line="258" w:lineRule="auto"/>
        <w:tabs>
          <w:tab w:leader="none" w:pos="1501"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Non-U.S. Person</w:t>
      </w:r>
      <w:r>
        <w:rPr>
          <w:rFonts w:ascii="Arial" w:cs="Arial" w:eastAsia="Arial" w:hAnsi="Arial"/>
          <w:sz w:val="14"/>
          <w:szCs w:val="14"/>
          <w:color w:val="auto"/>
        </w:rPr>
        <w:t>” means a Person who is not a U.S. Person (as defined in Regulation 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Notes</w:t>
      </w:r>
      <w:r>
        <w:rPr>
          <w:rFonts w:ascii="Arial" w:cs="Arial" w:eastAsia="Arial" w:hAnsi="Arial"/>
          <w:sz w:val="14"/>
          <w:szCs w:val="14"/>
          <w:color w:val="auto"/>
        </w:rPr>
        <w:t>” means the 11.00% Senior Notes due 2024 issued by the Issuer under the Indenture.</w:t>
      </w:r>
    </w:p>
    <w:p>
      <w:pPr>
        <w:spacing w:after="0" w:line="171" w:lineRule="exact"/>
        <w:rPr>
          <w:sz w:val="20"/>
          <w:szCs w:val="20"/>
          <w:color w:val="auto"/>
        </w:rPr>
      </w:pPr>
    </w:p>
    <w:p>
      <w:pPr>
        <w:ind w:right="5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Obligation</w:t>
      </w:r>
      <w:r>
        <w:rPr>
          <w:rFonts w:ascii="Arial" w:cs="Arial" w:eastAsia="Arial" w:hAnsi="Arial"/>
          <w:sz w:val="14"/>
          <w:szCs w:val="14"/>
          <w:color w:val="auto"/>
        </w:rPr>
        <w:t>” means any principal, interest, penalties, fees, indemnification, reimbursements, costs, expenses, damages and other liabilities payable under the documentation governing any Indebtedness.</w:t>
      </w:r>
    </w:p>
    <w:p>
      <w:pPr>
        <w:spacing w:after="0" w:line="13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Officer</w:t>
      </w:r>
      <w:r>
        <w:rPr>
          <w:rFonts w:ascii="Arial" w:cs="Arial" w:eastAsia="Arial" w:hAnsi="Arial"/>
          <w:sz w:val="14"/>
          <w:szCs w:val="14"/>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Officers’ Certificate</w:t>
      </w:r>
      <w:r>
        <w:rPr>
          <w:rFonts w:ascii="Arial" w:cs="Arial" w:eastAsia="Arial" w:hAnsi="Arial"/>
          <w:sz w:val="14"/>
          <w:szCs w:val="14"/>
          <w:color w:val="auto"/>
        </w:rPr>
        <w:t>” means a certificate signed on behalf of the Issuer or a Guarantor, as appropriate, by two of its Officers, one of whom, in the case of any Officers’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75" w:name="page76"/>
    <w:bookmarkEnd w:id="75"/>
    <w:p>
      <w:pPr>
        <w:ind w:right="580"/>
        <w:spacing w:after="0" w:line="268" w:lineRule="auto"/>
        <w:rPr>
          <w:sz w:val="20"/>
          <w:szCs w:val="20"/>
          <w:color w:val="auto"/>
        </w:rPr>
      </w:pPr>
      <w:r>
        <w:rPr>
          <w:rFonts w:ascii="Arial" w:cs="Arial" w:eastAsia="Arial" w:hAnsi="Arial"/>
          <w:sz w:val="14"/>
          <w:szCs w:val="14"/>
          <w:color w:val="auto"/>
        </w:rPr>
        <w:t>Certificate delivered pursuant to Section 1004, must be the principal/chief executive officer, the principal/chief financial officer or the principal/chief accounting officer of the Issuer, that meets the requirements of Section 102 hereof.</w:t>
      </w:r>
    </w:p>
    <w:p>
      <w:pPr>
        <w:spacing w:after="0" w:line="13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Opinion of Counsel</w:t>
      </w:r>
      <w:r>
        <w:rPr>
          <w:rFonts w:ascii="Arial" w:cs="Arial" w:eastAsia="Arial" w:hAnsi="Arial"/>
          <w:sz w:val="14"/>
          <w:szCs w:val="14"/>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Outstanding,</w:t>
      </w:r>
      <w:r>
        <w:rPr>
          <w:rFonts w:ascii="Arial" w:cs="Arial" w:eastAsia="Arial" w:hAnsi="Arial"/>
          <w:sz w:val="14"/>
          <w:szCs w:val="14"/>
          <w:color w:val="auto"/>
        </w:rPr>
        <w:t>” when used with respect to the Notes, means, as of the date of determination, all Notes theretofore authenticated and delivered under the Indenture, except:</w:t>
      </w:r>
    </w:p>
    <w:p>
      <w:pPr>
        <w:spacing w:after="0" w:line="171" w:lineRule="exact"/>
        <w:rPr>
          <w:sz w:val="20"/>
          <w:szCs w:val="20"/>
          <w:color w:val="auto"/>
        </w:rPr>
      </w:pPr>
    </w:p>
    <w:p>
      <w:pPr>
        <w:ind w:left="1500" w:hanging="501"/>
        <w:spacing w:after="0"/>
        <w:tabs>
          <w:tab w:leader="none" w:pos="15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Notes theretofore cancelled by the Trustee or delivered to the Trustee for cancellation;</w:t>
      </w:r>
    </w:p>
    <w:p>
      <w:pPr>
        <w:spacing w:after="0" w:line="170" w:lineRule="exact"/>
        <w:rPr>
          <w:rFonts w:ascii="Arial" w:cs="Arial" w:eastAsia="Arial" w:hAnsi="Arial"/>
          <w:sz w:val="14"/>
          <w:szCs w:val="14"/>
          <w:color w:val="auto"/>
        </w:rPr>
      </w:pPr>
    </w:p>
    <w:p>
      <w:pPr>
        <w:ind w:left="500" w:firstLine="499"/>
        <w:spacing w:after="0" w:line="287" w:lineRule="auto"/>
        <w:tabs>
          <w:tab w:leader="none" w:pos="1501" w:val="left"/>
        </w:tabs>
        <w:numPr>
          <w:ilvl w:val="1"/>
          <w:numId w:val="27"/>
        </w:numPr>
        <w:rPr>
          <w:rFonts w:ascii="Arial" w:cs="Arial" w:eastAsia="Arial" w:hAnsi="Arial"/>
          <w:sz w:val="13"/>
          <w:szCs w:val="13"/>
          <w:color w:val="auto"/>
        </w:rPr>
      </w:pPr>
      <w:r>
        <w:rPr>
          <w:rFonts w:ascii="Arial" w:cs="Arial" w:eastAsia="Arial" w:hAnsi="Arial"/>
          <w:sz w:val="13"/>
          <w:szCs w:val="13"/>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Notes are to be redeemed, notice of such redemption has been duly given pursuant to the Indenture or provision therefor satisfactory to the Trustee has been made;</w:t>
      </w:r>
    </w:p>
    <w:p>
      <w:pPr>
        <w:spacing w:after="0" w:line="127" w:lineRule="exact"/>
        <w:rPr>
          <w:rFonts w:ascii="Arial" w:cs="Arial" w:eastAsia="Arial" w:hAnsi="Arial"/>
          <w:sz w:val="13"/>
          <w:szCs w:val="13"/>
          <w:color w:val="auto"/>
        </w:rPr>
      </w:pPr>
    </w:p>
    <w:p>
      <w:pPr>
        <w:ind w:left="1500" w:hanging="501"/>
        <w:spacing w:after="0"/>
        <w:tabs>
          <w:tab w:leader="none" w:pos="15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Notes as to which Legal Defeasance has been effected pursuant to Section 1302; and</w:t>
      </w:r>
    </w:p>
    <w:p>
      <w:pPr>
        <w:spacing w:after="0" w:line="170" w:lineRule="exact"/>
        <w:rPr>
          <w:rFonts w:ascii="Arial" w:cs="Arial" w:eastAsia="Arial" w:hAnsi="Arial"/>
          <w:sz w:val="14"/>
          <w:szCs w:val="14"/>
          <w:color w:val="auto"/>
        </w:rPr>
      </w:pPr>
    </w:p>
    <w:p>
      <w:pPr>
        <w:jc w:val="both"/>
        <w:ind w:firstLine="501"/>
        <w:spacing w:after="0" w:line="254" w:lineRule="auto"/>
        <w:tabs>
          <w:tab w:leader="none" w:pos="10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Notes which have been paid pursuant to Section 306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 “</w:t>
      </w:r>
      <w:r>
        <w:rPr>
          <w:rFonts w:ascii="Arial" w:cs="Arial" w:eastAsia="Arial" w:hAnsi="Arial"/>
          <w:sz w:val="14"/>
          <w:szCs w:val="14"/>
          <w:i w:val="1"/>
          <w:iCs w:val="1"/>
          <w:color w:val="auto"/>
        </w:rPr>
        <w:t>Parent Guarantor</w:t>
      </w:r>
      <w:r>
        <w:rPr>
          <w:rFonts w:ascii="Arial" w:cs="Arial" w:eastAsia="Arial" w:hAnsi="Arial"/>
          <w:sz w:val="14"/>
          <w:szCs w:val="14"/>
          <w:color w:val="auto"/>
        </w:rPr>
        <w:t>” means the Person named as the “Parent Guarantor” in the first paragraph of the Indenture until a successor Person shall have become such pursuant to the applicable provisions of the Indenture, and thereafter “Parent Guarantor” shall mean such successor Person.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Pari Passu Indebtedness</w:t>
      </w:r>
      <w:r>
        <w:rPr>
          <w:rFonts w:ascii="Arial" w:cs="Arial" w:eastAsia="Arial" w:hAnsi="Arial"/>
          <w:sz w:val="14"/>
          <w:szCs w:val="14"/>
          <w:color w:val="auto"/>
        </w:rPr>
        <w:t>” means any Indebtedness of the Parent Guarantor that is not Subordinated Indebtedness.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Paying Agent</w:t>
      </w:r>
      <w:r>
        <w:rPr>
          <w:rFonts w:ascii="Arial" w:cs="Arial" w:eastAsia="Arial" w:hAnsi="Arial"/>
          <w:sz w:val="14"/>
          <w:szCs w:val="14"/>
          <w:color w:val="auto"/>
        </w:rPr>
        <w:t>” means any Person authorized by the Issuer to pay the principal of or any premium or interest on any Notes on behalf of the Issuer.</w:t>
      </w:r>
    </w:p>
    <w:p>
      <w:pPr>
        <w:spacing w:after="0" w:line="171" w:lineRule="exact"/>
        <w:rPr>
          <w:sz w:val="20"/>
          <w:szCs w:val="20"/>
          <w:color w:val="auto"/>
        </w:rPr>
      </w:pPr>
    </w:p>
    <w:p>
      <w:pPr>
        <w:ind w:right="2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Business</w:t>
      </w:r>
      <w:r>
        <w:rPr>
          <w:rFonts w:ascii="Arial" w:cs="Arial" w:eastAsia="Arial" w:hAnsi="Arial"/>
          <w:sz w:val="14"/>
          <w:szCs w:val="14"/>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Business Investment</w:t>
      </w:r>
      <w:r>
        <w:rPr>
          <w:rFonts w:ascii="Arial" w:cs="Arial" w:eastAsia="Arial" w:hAnsi="Arial"/>
          <w:sz w:val="14"/>
          <w:szCs w:val="14"/>
          <w:color w:val="auto"/>
        </w:rPr>
        <w:t>” means Investments in any Person (other than an Unrestricted Subsidiary) made in the course of conducting a Permitted Business, whether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76" w:name="page77"/>
    <w:bookmarkEnd w:id="76"/>
    <w:p>
      <w:pPr>
        <w:ind w:right="500"/>
        <w:spacing w:after="0" w:line="307" w:lineRule="auto"/>
        <w:rPr>
          <w:sz w:val="20"/>
          <w:szCs w:val="20"/>
          <w:color w:val="auto"/>
        </w:rPr>
      </w:pPr>
      <w:r>
        <w:rPr>
          <w:rFonts w:ascii="Arial" w:cs="Arial" w:eastAsia="Arial" w:hAnsi="Arial"/>
          <w:sz w:val="13"/>
          <w:szCs w:val="13"/>
          <w:color w:val="auto"/>
        </w:rPr>
        <w:t>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15" w:lineRule="exact"/>
        <w:rPr>
          <w:sz w:val="20"/>
          <w:szCs w:val="20"/>
          <w:color w:val="auto"/>
        </w:rPr>
      </w:pPr>
    </w:p>
    <w:p>
      <w:pPr>
        <w:ind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Factoring Transactions</w:t>
      </w:r>
      <w:r>
        <w:rPr>
          <w:rFonts w:ascii="Arial" w:cs="Arial" w:eastAsia="Arial" w:hAnsi="Arial"/>
          <w:sz w:val="13"/>
          <w:szCs w:val="13"/>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15"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Holders</w:t>
      </w:r>
      <w:r>
        <w:rPr>
          <w:rFonts w:ascii="Arial" w:cs="Arial" w:eastAsia="Arial" w:hAnsi="Arial"/>
          <w:sz w:val="14"/>
          <w:szCs w:val="14"/>
          <w:color w:val="auto"/>
        </w:rPr>
        <w:t>” means Capital Research and Management Company and its affiliates, on behalf of certain managed funds and accounts and Franklin Advisers, Inc., as investment manager on behalf of certain funds and accounts.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Indebtedness</w:t>
      </w:r>
      <w:r>
        <w:rPr>
          <w:rFonts w:ascii="Arial" w:cs="Arial" w:eastAsia="Arial" w:hAnsi="Arial"/>
          <w:sz w:val="14"/>
          <w:szCs w:val="14"/>
          <w:color w:val="auto"/>
        </w:rPr>
        <w:t>” has the meaning set forth in the second paragraph of Section 1008.</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Investment</w:t>
      </w:r>
      <w:r>
        <w:rPr>
          <w:rFonts w:ascii="Arial" w:cs="Arial" w:eastAsia="Arial" w:hAnsi="Arial"/>
          <w:sz w:val="14"/>
          <w:szCs w:val="14"/>
          <w:color w:val="auto"/>
        </w:rPr>
        <w:t>” means:</w:t>
      </w:r>
    </w:p>
    <w:p>
      <w:pPr>
        <w:spacing w:after="0" w:line="171" w:lineRule="exact"/>
        <w:rPr>
          <w:sz w:val="20"/>
          <w:szCs w:val="20"/>
          <w:color w:val="auto"/>
        </w:rPr>
      </w:pPr>
    </w:p>
    <w:p>
      <w:pPr>
        <w:ind w:left="500" w:right="240" w:firstLine="499"/>
        <w:spacing w:after="0" w:line="258" w:lineRule="auto"/>
        <w:tabs>
          <w:tab w:leader="none" w:pos="1501"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Investments in the Parent Guarantor by any Restricted Subsidiary;</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loans and advances to directors, employees and officers of the Parent Guarantor and its Restricted Subsidiaries in the ordinary course of business;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Hedging Obligations entered into in the ordinary course of business for bona fide hedging purposes of the Parent Guarantor or any Restricted Subsidiary not for the purpose of</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speculation;</w:t>
      </w:r>
    </w:p>
    <w:p>
      <w:pPr>
        <w:spacing w:after="0" w:line="161" w:lineRule="exact"/>
        <w:rPr>
          <w:rFonts w:ascii="Arial" w:cs="Arial" w:eastAsia="Arial" w:hAnsi="Arial"/>
          <w:sz w:val="12"/>
          <w:szCs w:val="12"/>
          <w:color w:val="auto"/>
        </w:rPr>
      </w:pPr>
    </w:p>
    <w:p>
      <w:pPr>
        <w:ind w:left="1500" w:hanging="501"/>
        <w:spacing w:after="0"/>
        <w:tabs>
          <w:tab w:leader="none" w:pos="1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Investments in cash and Cash Equivalents;</w:t>
      </w:r>
    </w:p>
    <w:p>
      <w:pPr>
        <w:spacing w:after="0" w:line="170" w:lineRule="exact"/>
        <w:rPr>
          <w:rFonts w:ascii="Arial" w:cs="Arial" w:eastAsia="Arial" w:hAnsi="Arial"/>
          <w:sz w:val="14"/>
          <w:szCs w:val="14"/>
          <w:color w:val="auto"/>
        </w:rPr>
      </w:pPr>
    </w:p>
    <w:p>
      <w:pPr>
        <w:ind w:left="500" w:right="200" w:firstLine="499"/>
        <w:spacing w:after="0" w:line="268" w:lineRule="auto"/>
        <w:tabs>
          <w:tab w:leader="none" w:pos="1501"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receivables owing to the Parent Guarantor or any Restricted Subsidiary if created or acquired in the ordinary course of business;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trade terms may include such concessionary trade terms as the Parent Guarantor or any such Restricted Subsidiary deems reasonable under the circumstances;</w:t>
      </w:r>
    </w:p>
    <w:p>
      <w:pPr>
        <w:spacing w:after="0" w:line="138" w:lineRule="exact"/>
        <w:rPr>
          <w:rFonts w:ascii="Arial" w:cs="Arial" w:eastAsia="Arial" w:hAnsi="Arial"/>
          <w:sz w:val="14"/>
          <w:szCs w:val="14"/>
          <w:color w:val="auto"/>
        </w:rPr>
      </w:pPr>
    </w:p>
    <w:p>
      <w:pPr>
        <w:ind w:left="500" w:right="100" w:firstLine="499"/>
        <w:spacing w:after="0" w:line="268" w:lineRule="auto"/>
        <w:tabs>
          <w:tab w:leader="none" w:pos="1501"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40"/>
          </w:cols>
          <w:pgMar w:left="220" w:top="295" w:right="339" w:bottom="1440" w:gutter="0" w:footer="0" w:header="0"/>
        </w:sectPr>
      </w:pPr>
    </w:p>
    <w:bookmarkStart w:id="77" w:name="page78"/>
    <w:bookmarkEnd w:id="77"/>
    <w:p>
      <w:pPr>
        <w:ind w:firstLine="499"/>
        <w:spacing w:after="0" w:line="268" w:lineRule="auto"/>
        <w:tabs>
          <w:tab w:leader="none" w:pos="1001"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Investments evidencing the right to receive a deferred purchase price or other consideration for the disposition of Receivables and Receivables Related Security in connection with any Permitted Factoring Transaction;</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guarantees of performance or similar obligations (other than Indebtedness) arising in the ordinary course of business;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lease, utility and other similar deposits in the ordinary course of business;</w:t>
      </w:r>
    </w:p>
    <w:p>
      <w:pPr>
        <w:spacing w:after="0" w:line="170" w:lineRule="exact"/>
        <w:rPr>
          <w:rFonts w:ascii="Arial" w:cs="Arial" w:eastAsia="Arial" w:hAnsi="Arial"/>
          <w:sz w:val="14"/>
          <w:szCs w:val="14"/>
          <w:color w:val="auto"/>
        </w:rPr>
      </w:pPr>
    </w:p>
    <w:p>
      <w:pPr>
        <w:ind w:right="340" w:firstLine="499"/>
        <w:spacing w:after="0" w:line="268" w:lineRule="auto"/>
        <w:tabs>
          <w:tab w:leader="none" w:pos="993"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stock, obligations or securities received in settlement of debts created in the ordinary course of business and owing to the Parent Guarantor or any Restricted Subsidiary or in satisfaction of judgments;</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Permitted Business Investments;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guarantees of Indebtedness of the Parent Guarantor or any of its Restricted Subsidiaries permitted in accordance with Section 1008;</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repurchases of, or other Investments in, the Notes, Secured Indebtedness, and Pari Passu Indebtedness;</w:t>
      </w:r>
    </w:p>
    <w:p>
      <w:pPr>
        <w:spacing w:after="0" w:line="170" w:lineRule="exact"/>
        <w:rPr>
          <w:rFonts w:ascii="Arial" w:cs="Arial" w:eastAsia="Arial" w:hAnsi="Arial"/>
          <w:sz w:val="14"/>
          <w:szCs w:val="14"/>
          <w:color w:val="auto"/>
        </w:rPr>
      </w:pPr>
    </w:p>
    <w:p>
      <w:pPr>
        <w:ind w:right="40" w:firstLine="499"/>
        <w:spacing w:after="0" w:line="258" w:lineRule="auto"/>
        <w:tabs>
          <w:tab w:leader="none" w:pos="998"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trade terms may include such concessionary trade terms as the Parent Guarantor or the applicable Restricted Subsidiary deems reasonable under the circumstances;</w:t>
      </w:r>
    </w:p>
    <w:p>
      <w:pPr>
        <w:spacing w:after="0" w:line="144"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Investments made pursuant to commitments in effect on the Issue Date;</w:t>
      </w:r>
    </w:p>
    <w:p>
      <w:pPr>
        <w:spacing w:after="0" w:line="170" w:lineRule="exact"/>
        <w:rPr>
          <w:rFonts w:ascii="Arial" w:cs="Arial" w:eastAsia="Arial" w:hAnsi="Arial"/>
          <w:sz w:val="14"/>
          <w:szCs w:val="14"/>
          <w:color w:val="auto"/>
        </w:rPr>
      </w:pPr>
    </w:p>
    <w:p>
      <w:pPr>
        <w:ind w:right="100" w:firstLine="499"/>
        <w:spacing w:after="0" w:line="268" w:lineRule="auto"/>
        <w:tabs>
          <w:tab w:leader="none" w:pos="998"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Investments the payment for which consists of Equity Interests (exclusive of Disqualified Equity Interests) of the Parent Guarantor;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Equity Interests will not increase the amount available for Restricted Payments under the Restricted Payments Basket;</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Investments consisting of the licensing or contribution of intellectual property pursuant to joint marketing arrangements with other Persons;</w:t>
      </w:r>
    </w:p>
    <w:p>
      <w:pPr>
        <w:spacing w:after="0" w:line="170" w:lineRule="exact"/>
        <w:rPr>
          <w:rFonts w:ascii="Arial" w:cs="Arial" w:eastAsia="Arial" w:hAnsi="Arial"/>
          <w:sz w:val="14"/>
          <w:szCs w:val="14"/>
          <w:color w:val="auto"/>
        </w:rPr>
      </w:pPr>
    </w:p>
    <w:p>
      <w:pPr>
        <w:ind w:right="40" w:firstLine="499"/>
        <w:spacing w:after="0" w:line="307" w:lineRule="auto"/>
        <w:tabs>
          <w:tab w:leader="none" w:pos="998"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00"/>
          </w:cols>
          <w:pgMar w:left="720" w:top="295" w:right="279" w:bottom="1440" w:gutter="0" w:footer="0" w:header="0"/>
        </w:sectPr>
      </w:pPr>
    </w:p>
    <w:bookmarkStart w:id="78" w:name="page79"/>
    <w:bookmarkEnd w:id="78"/>
    <w:p>
      <w:pPr>
        <w:ind w:left="500"/>
        <w:spacing w:after="0"/>
        <w:rPr>
          <w:sz w:val="20"/>
          <w:szCs w:val="20"/>
          <w:color w:val="auto"/>
        </w:rPr>
      </w:pPr>
      <w:r>
        <w:rPr>
          <w:rFonts w:ascii="Arial" w:cs="Arial" w:eastAsia="Arial" w:hAnsi="Arial"/>
          <w:sz w:val="14"/>
          <w:szCs w:val="14"/>
          <w:color w:val="auto"/>
        </w:rPr>
        <w:t>greater of (i) $100 million and (ii) [·]% of the Parent Guarantor’s Consolidated Tangible Assets;(4) and</w:t>
      </w:r>
    </w:p>
    <w:p>
      <w:pPr>
        <w:spacing w:after="0" w:line="171" w:lineRule="exact"/>
        <w:rPr>
          <w:sz w:val="20"/>
          <w:szCs w:val="20"/>
          <w:color w:val="auto"/>
        </w:rPr>
      </w:pPr>
    </w:p>
    <w:p>
      <w:pPr>
        <w:ind w:left="1500" w:hanging="501"/>
        <w:spacing w:after="0"/>
        <w:tabs>
          <w:tab w:leader="none" w:pos="1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performance guarantees of any trade or non-financial operating contract (other than such contract that itself constitutes Indebtedness) in the ordinary course of business.</w:t>
      </w:r>
    </w:p>
    <w:p>
      <w:pPr>
        <w:spacing w:after="0" w:line="182"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In determining whether any Investment is a Permitted Investment, the Parent Guarantor may allocate or reallocate all or any portion of an Investment among the clauses of this definition and any of the provisions of Section 1009.</w:t>
      </w:r>
    </w:p>
    <w:p>
      <w:pPr>
        <w:spacing w:after="0" w:line="138" w:lineRule="exact"/>
        <w:rPr>
          <w:sz w:val="20"/>
          <w:szCs w:val="20"/>
          <w:color w:val="auto"/>
        </w:rPr>
      </w:pPr>
    </w:p>
    <w:p>
      <w:pPr>
        <w:ind w:right="60" w:firstLine="498"/>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Permitted Liens</w:t>
      </w:r>
      <w:r>
        <w:rPr>
          <w:rFonts w:ascii="Arial" w:cs="Arial" w:eastAsia="Arial" w:hAnsi="Arial"/>
          <w:sz w:val="12"/>
          <w:szCs w:val="12"/>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(ix) any Lien upon any property or assets in accordance with customary banking practice to secure any Indebtedness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 or</w:t>
      </w:r>
    </w:p>
    <w:p>
      <w:pPr>
        <w:spacing w:after="0" w:line="7" w:lineRule="exact"/>
        <w:rPr>
          <w:sz w:val="20"/>
          <w:szCs w:val="20"/>
          <w:color w:val="auto"/>
        </w:rPr>
      </w:pPr>
    </w:p>
    <w:p>
      <w:pPr>
        <w:ind w:firstLine="3"/>
        <w:spacing w:after="0" w:line="251" w:lineRule="auto"/>
        <w:tabs>
          <w:tab w:leader="none" w:pos="273"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additional Liens securing obligations not to exceed the greater of (a) $125 million and (b) [·]% of the Parent Guarantor’s Consolidated Tangible Assets at any one time;(5) (xiii)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83134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06" w:lineRule="exact"/>
        <w:rPr>
          <w:sz w:val="20"/>
          <w:szCs w:val="20"/>
          <w:color w:val="auto"/>
        </w:rPr>
      </w:pPr>
    </w:p>
    <w:p>
      <w:pPr>
        <w:ind w:left="240" w:hanging="237"/>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NTD: CTA grower component of basket to be set to corresponding percentage after “fresh start accounting.”</w:t>
      </w:r>
    </w:p>
    <w:p>
      <w:pPr>
        <w:spacing w:after="0" w:line="14" w:lineRule="exact"/>
        <w:rPr>
          <w:rFonts w:ascii="Arial" w:cs="Arial" w:eastAsia="Arial" w:hAnsi="Arial"/>
          <w:sz w:val="14"/>
          <w:szCs w:val="14"/>
          <w:color w:val="auto"/>
        </w:rPr>
      </w:pPr>
    </w:p>
    <w:p>
      <w:pPr>
        <w:ind w:left="240" w:hanging="237"/>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NTD: CTA grower component of basket to be set to corresponding percentage after “fresh start accounting.”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79" w:name="page80"/>
    <w:bookmarkEnd w:id="79"/>
    <w:p>
      <w:pPr>
        <w:ind w:right="40"/>
        <w:spacing w:after="0" w:line="254" w:lineRule="auto"/>
        <w:rPr>
          <w:sz w:val="20"/>
          <w:szCs w:val="20"/>
          <w:color w:val="auto"/>
        </w:rPr>
      </w:pPr>
      <w:r>
        <w:rPr>
          <w:rFonts w:ascii="Arial" w:cs="Arial" w:eastAsia="Arial" w:hAnsi="Arial"/>
          <w:sz w:val="14"/>
          <w:szCs w:val="14"/>
          <w:color w:val="auto"/>
        </w:rPr>
        <w:t>business which, in the aggregate, are not substantial in amount and which do not in any case materially detract from the value of the property subject thereto or materially interfere with the ordinary conduct of the business of the Issuer, the Parent Guarantor or any other Guarantor hereto; and (xiv)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4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Person</w:t>
      </w:r>
      <w:r>
        <w:rPr>
          <w:rFonts w:ascii="Arial" w:cs="Arial" w:eastAsia="Arial" w:hAnsi="Arial"/>
          <w:sz w:val="14"/>
          <w:szCs w:val="14"/>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Place of Payment</w:t>
      </w:r>
      <w:r>
        <w:rPr>
          <w:rFonts w:ascii="Arial" w:cs="Arial" w:eastAsia="Arial" w:hAnsi="Arial"/>
          <w:sz w:val="14"/>
          <w:szCs w:val="14"/>
          <w:color w:val="auto"/>
        </w:rPr>
        <w:t>” means the place or places where the principal of and any premium and interest on the Notes are payable as specified in Section 1002.</w:t>
      </w:r>
    </w:p>
    <w:p>
      <w:pPr>
        <w:spacing w:after="0" w:line="171" w:lineRule="exact"/>
        <w:rPr>
          <w:sz w:val="20"/>
          <w:szCs w:val="20"/>
          <w:color w:val="auto"/>
        </w:rPr>
      </w:pPr>
    </w:p>
    <w:p>
      <w:pPr>
        <w:jc w:val="both"/>
        <w:ind w:right="8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Predecessor Note</w:t>
      </w:r>
      <w:r>
        <w:rPr>
          <w:rFonts w:ascii="Arial" w:cs="Arial" w:eastAsia="Arial" w:hAnsi="Arial"/>
          <w:sz w:val="14"/>
          <w:szCs w:val="14"/>
          <w:color w:val="auto"/>
        </w:rPr>
        <w:t>” of any particular Note means every previous Note evidencing all or a portion of the same debt as that evidenced by such particular Note; and, for the purposes of this definition, any Note authenticated and delivered under Section 306 in exchange for or in lieu of a mutilated, destroyed, lost or stolen Note shall be deemed to evidence the same debt as the mutilated, destroyed, lost or stolen Note.</w:t>
      </w:r>
    </w:p>
    <w:p>
      <w:pPr>
        <w:spacing w:after="0" w:line="145"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Preferred Stock</w:t>
      </w:r>
      <w:r>
        <w:rPr>
          <w:rFonts w:ascii="Arial" w:cs="Arial" w:eastAsia="Arial" w:hAnsi="Arial"/>
          <w:sz w:val="14"/>
          <w:szCs w:val="14"/>
          <w:color w:val="auto"/>
        </w:rPr>
        <w:t>” means, with respect to any Person, any and all preferred or preference stock or shares or other Equity Interests (however designated) of such Person whether now outstanding or issued after the Issue Date that is preferred as to the payment of dividends upon liquidation, dissolution or winding up.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Process Agent</w:t>
      </w:r>
      <w:r>
        <w:rPr>
          <w:rFonts w:ascii="Arial" w:cs="Arial" w:eastAsia="Arial" w:hAnsi="Arial"/>
          <w:sz w:val="14"/>
          <w:szCs w:val="14"/>
          <w:color w:val="auto"/>
        </w:rPr>
        <w:t>” has the meaning specified in Section 112.</w:t>
      </w:r>
    </w:p>
    <w:p>
      <w:pPr>
        <w:spacing w:after="0" w:line="171" w:lineRule="exact"/>
        <w:rPr>
          <w:sz w:val="20"/>
          <w:szCs w:val="20"/>
          <w:color w:val="auto"/>
        </w:rPr>
      </w:pPr>
    </w:p>
    <w:p>
      <w:pPr>
        <w:ind w:right="140" w:firstLine="49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 Money Indebtedness</w:t>
      </w:r>
      <w:r>
        <w:rPr>
          <w:rFonts w:ascii="Arial" w:cs="Arial" w:eastAsia="Arial" w:hAnsi="Arial"/>
          <w:sz w:val="13"/>
          <w:szCs w:val="13"/>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amount of such Indebtedness shall not exceed such purchase price or cost.</w:t>
      </w:r>
    </w:p>
    <w:p>
      <w:pPr>
        <w:spacing w:after="0" w:line="128" w:lineRule="exact"/>
        <w:rPr>
          <w:sz w:val="20"/>
          <w:szCs w:val="20"/>
          <w:color w:val="auto"/>
        </w:rPr>
      </w:pPr>
    </w:p>
    <w:p>
      <w:pPr>
        <w:ind w:right="80" w:firstLine="49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Qualified Equity Interests</w:t>
      </w:r>
      <w:r>
        <w:rPr>
          <w:rFonts w:ascii="Arial" w:cs="Arial" w:eastAsia="Arial" w:hAnsi="Arial"/>
          <w:sz w:val="13"/>
          <w:szCs w:val="13"/>
          <w:color w:val="auto"/>
        </w:rPr>
        <w:t xml:space="preserve">” of any Person means Equity Interests of such Person other than Disqualified Equity Interests;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32"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Rating Agencies</w:t>
      </w:r>
      <w:r>
        <w:rPr>
          <w:rFonts w:ascii="Arial" w:cs="Arial" w:eastAsia="Arial" w:hAnsi="Arial"/>
          <w:sz w:val="14"/>
          <w:szCs w:val="14"/>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80" w:name="page81"/>
    <w:bookmarkEnd w:id="80"/>
    <w:p>
      <w:pPr>
        <w:ind w:right="60"/>
        <w:spacing w:after="0" w:line="268" w:lineRule="auto"/>
        <w:rPr>
          <w:sz w:val="20"/>
          <w:szCs w:val="20"/>
          <w:color w:val="auto"/>
        </w:rPr>
      </w:pPr>
      <w:r>
        <w:rPr>
          <w:rFonts w:ascii="Arial" w:cs="Arial" w:eastAsia="Arial" w:hAnsi="Arial"/>
          <w:sz w:val="14"/>
          <w:szCs w:val="14"/>
          <w:color w:val="auto"/>
        </w:rPr>
        <w:t>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38"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Receivables</w:t>
      </w:r>
      <w:r>
        <w:rPr>
          <w:rFonts w:ascii="Arial" w:cs="Arial" w:eastAsia="Arial" w:hAnsi="Arial"/>
          <w:sz w:val="14"/>
          <w:szCs w:val="14"/>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38" w:lineRule="exact"/>
        <w:rPr>
          <w:sz w:val="20"/>
          <w:szCs w:val="20"/>
          <w:color w:val="auto"/>
        </w:rPr>
      </w:pPr>
    </w:p>
    <w:p>
      <w:pPr>
        <w:ind w:right="36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Receivables Related Security</w:t>
      </w:r>
      <w:r>
        <w:rPr>
          <w:rFonts w:ascii="Arial" w:cs="Arial" w:eastAsia="Arial" w:hAnsi="Arial"/>
          <w:sz w:val="12"/>
          <w:szCs w:val="1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92"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Receivables Repurchase Obligation</w:t>
      </w:r>
      <w:r>
        <w:rPr>
          <w:rFonts w:ascii="Arial" w:cs="Arial" w:eastAsia="Arial" w:hAnsi="Arial"/>
          <w:sz w:val="14"/>
          <w:szCs w:val="14"/>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Redemption Date,</w:t>
      </w:r>
      <w:r>
        <w:rPr>
          <w:rFonts w:ascii="Arial" w:cs="Arial" w:eastAsia="Arial" w:hAnsi="Arial"/>
          <w:sz w:val="14"/>
          <w:szCs w:val="14"/>
          <w:color w:val="auto"/>
        </w:rPr>
        <w:t>” when used with respect to any Note to be redeemed, means the date fixed for such redemption by or pursuant to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Redemption Price,</w:t>
      </w:r>
      <w:r>
        <w:rPr>
          <w:rFonts w:ascii="Arial" w:cs="Arial" w:eastAsia="Arial" w:hAnsi="Arial"/>
          <w:sz w:val="14"/>
          <w:szCs w:val="14"/>
          <w:color w:val="auto"/>
        </w:rPr>
        <w:t>” when used with respect to any Note to be redeemed, means the price at which it is to be redeemed pursuant to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Redesignation</w:t>
      </w:r>
      <w:r>
        <w:rPr>
          <w:rFonts w:ascii="Arial" w:cs="Arial" w:eastAsia="Arial" w:hAnsi="Arial"/>
          <w:sz w:val="14"/>
          <w:szCs w:val="14"/>
          <w:color w:val="auto"/>
        </w:rPr>
        <w:t>” has the meaning given to such term in Section 1006.</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Redomestication</w:t>
      </w:r>
      <w:r>
        <w:rPr>
          <w:rFonts w:ascii="Arial" w:cs="Arial" w:eastAsia="Arial" w:hAnsi="Arial"/>
          <w:sz w:val="14"/>
          <w:szCs w:val="14"/>
          <w:color w:val="auto"/>
        </w:rPr>
        <w:t>” means:</w:t>
      </w:r>
    </w:p>
    <w:p>
      <w:pPr>
        <w:spacing w:after="0" w:line="171" w:lineRule="exact"/>
        <w:rPr>
          <w:sz w:val="20"/>
          <w:szCs w:val="20"/>
          <w:color w:val="auto"/>
        </w:rPr>
      </w:pPr>
    </w:p>
    <w:p>
      <w:pPr>
        <w:ind w:left="500" w:firstLine="499"/>
        <w:spacing w:after="0" w:line="280" w:lineRule="auto"/>
        <w:tabs>
          <w:tab w:leader="none" w:pos="14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32" w:lineRule="exact"/>
        <w:rPr>
          <w:rFonts w:ascii="Arial" w:cs="Arial" w:eastAsia="Arial" w:hAnsi="Arial"/>
          <w:sz w:val="13"/>
          <w:szCs w:val="13"/>
          <w:color w:val="auto"/>
        </w:rPr>
      </w:pPr>
    </w:p>
    <w:p>
      <w:pPr>
        <w:ind w:left="500" w:right="40" w:firstLine="499"/>
        <w:spacing w:after="0" w:line="353" w:lineRule="auto"/>
        <w:tabs>
          <w:tab w:leader="none" w:pos="1501"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81" w:name="page82"/>
    <w:bookmarkEnd w:id="81"/>
    <w:p>
      <w:pPr>
        <w:ind w:left="500" w:right="480" w:firstLine="499"/>
        <w:spacing w:after="0" w:line="268" w:lineRule="auto"/>
        <w:tabs>
          <w:tab w:leader="none" w:pos="150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4"/>
          <w:szCs w:val="14"/>
          <w:i w:val="1"/>
          <w:iCs w:val="1"/>
          <w:color w:val="auto"/>
        </w:rPr>
        <w:t>New Parent</w:t>
      </w:r>
      <w:r>
        <w:rPr>
          <w:rFonts w:ascii="Arial" w:cs="Arial" w:eastAsia="Arial" w:hAnsi="Arial"/>
          <w:sz w:val="14"/>
          <w:szCs w:val="14"/>
          <w:color w:val="auto"/>
        </w:rPr>
        <w: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as a result thereof</w:t>
      </w:r>
    </w:p>
    <w:p>
      <w:pPr>
        <w:spacing w:after="0" w:line="171" w:lineRule="exact"/>
        <w:rPr>
          <w:sz w:val="20"/>
          <w:szCs w:val="20"/>
          <w:color w:val="auto"/>
        </w:rPr>
      </w:pPr>
    </w:p>
    <w:p>
      <w:pPr>
        <w:ind w:left="500" w:right="380" w:firstLine="499"/>
        <w:spacing w:after="0" w:line="307" w:lineRule="auto"/>
        <w:tabs>
          <w:tab w:leader="none" w:pos="1501"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15" w:lineRule="exact"/>
        <w:rPr>
          <w:rFonts w:ascii="Arial" w:cs="Arial" w:eastAsia="Arial" w:hAnsi="Arial"/>
          <w:sz w:val="13"/>
          <w:szCs w:val="13"/>
          <w:color w:val="auto"/>
        </w:rPr>
      </w:pPr>
    </w:p>
    <w:p>
      <w:pPr>
        <w:ind w:left="500" w:firstLine="499"/>
        <w:spacing w:after="0" w:line="268" w:lineRule="auto"/>
        <w:tabs>
          <w:tab w:leader="none" w:pos="15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the case of any action specified in clause (c), the New Parent</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(in any such case, the “</w:t>
      </w:r>
      <w:r>
        <w:rPr>
          <w:rFonts w:ascii="Arial" w:cs="Arial" w:eastAsia="Arial" w:hAnsi="Arial"/>
          <w:sz w:val="14"/>
          <w:szCs w:val="14"/>
          <w:i w:val="1"/>
          <w:iCs w:val="1"/>
          <w:color w:val="auto"/>
        </w:rPr>
        <w:t>Surviving Person</w:t>
      </w:r>
      <w:r>
        <w:rPr>
          <w:rFonts w:ascii="Arial" w:cs="Arial" w:eastAsia="Arial" w:hAnsi="Arial"/>
          <w:sz w:val="14"/>
          <w:szCs w:val="14"/>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refinance</w:t>
      </w:r>
      <w:r>
        <w:rPr>
          <w:rFonts w:ascii="Arial" w:cs="Arial" w:eastAsia="Arial" w:hAnsi="Arial"/>
          <w:sz w:val="14"/>
          <w:szCs w:val="14"/>
          <w:color w:val="auto"/>
        </w:rPr>
        <w:t>” means to refinance, repay, prepay, replace, renew or refund.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Refinancing Indebtedness</w:t>
      </w:r>
      <w:r>
        <w:rPr>
          <w:rFonts w:ascii="Arial" w:cs="Arial" w:eastAsia="Arial" w:hAnsi="Arial"/>
          <w:sz w:val="12"/>
          <w:szCs w:val="12"/>
          <w:color w:val="auto"/>
        </w:rPr>
        <w:t>” means Indebtedness of the Parent Guarantor or a Restricted Subsidiary incurred in exchange for, or the proceeds of which are used to refinance, in whole or in part, any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Indebtedness of the Parent Guarantor or any Restricted Subsidiary (the “</w:t>
      </w:r>
      <w:r>
        <w:rPr>
          <w:rFonts w:ascii="Arial" w:cs="Arial" w:eastAsia="Arial" w:hAnsi="Arial"/>
          <w:sz w:val="14"/>
          <w:szCs w:val="14"/>
          <w:i w:val="1"/>
          <w:iCs w:val="1"/>
          <w:color w:val="auto"/>
        </w:rPr>
        <w:t>Refinancing Indebtedness</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62" w:lineRule="exact"/>
        <w:rPr>
          <w:sz w:val="20"/>
          <w:szCs w:val="20"/>
          <w:color w:val="auto"/>
        </w:rPr>
      </w:pPr>
    </w:p>
    <w:p>
      <w:pPr>
        <w:ind w:left="500" w:right="260" w:firstLine="499"/>
        <w:spacing w:after="0" w:line="321" w:lineRule="auto"/>
        <w:tabs>
          <w:tab w:leader="none" w:pos="150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10" w:lineRule="exact"/>
        <w:rPr>
          <w:rFonts w:ascii="Arial" w:cs="Arial" w:eastAsia="Arial" w:hAnsi="Arial"/>
          <w:sz w:val="12"/>
          <w:szCs w:val="12"/>
          <w:color w:val="auto"/>
        </w:rPr>
      </w:pPr>
    </w:p>
    <w:p>
      <w:pPr>
        <w:ind w:left="500" w:right="120" w:firstLine="499"/>
        <w:spacing w:after="0" w:line="268" w:lineRule="auto"/>
        <w:tabs>
          <w:tab w:leader="none" w:pos="1501"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1014;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82" w:name="page83"/>
    <w:bookmarkEnd w:id="82"/>
    <w:p>
      <w:pPr>
        <w:ind w:right="360" w:firstLine="499"/>
        <w:spacing w:after="0" w:line="307" w:lineRule="auto"/>
        <w:tabs>
          <w:tab w:leader="none" w:pos="10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15" w:lineRule="exact"/>
        <w:rPr>
          <w:rFonts w:ascii="Arial" w:cs="Arial" w:eastAsia="Arial" w:hAnsi="Arial"/>
          <w:sz w:val="13"/>
          <w:szCs w:val="13"/>
          <w:color w:val="auto"/>
        </w:rPr>
      </w:pPr>
    </w:p>
    <w:p>
      <w:pPr>
        <w:ind w:right="40" w:firstLine="499"/>
        <w:spacing w:after="0" w:line="268" w:lineRule="auto"/>
        <w:tabs>
          <w:tab w:leader="none" w:pos="10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Refinancing Indebtedness has a Stated Maturity either (a) no earlier than the Refinanced Indebtedness being repaid or amended or (b) no earlier than 91 days after the maturity date of the Notes; and</w:t>
      </w:r>
    </w:p>
    <w:p>
      <w:pPr>
        <w:spacing w:after="0" w:line="138" w:lineRule="exact"/>
        <w:rPr>
          <w:rFonts w:ascii="Arial" w:cs="Arial" w:eastAsia="Arial" w:hAnsi="Arial"/>
          <w:sz w:val="14"/>
          <w:szCs w:val="14"/>
          <w:color w:val="auto"/>
        </w:rPr>
      </w:pPr>
    </w:p>
    <w:p>
      <w:pPr>
        <w:ind w:right="200" w:firstLine="499"/>
        <w:spacing w:after="0" w:line="258" w:lineRule="auto"/>
        <w:tabs>
          <w:tab w:leader="none" w:pos="10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Regular Record Date</w:t>
      </w:r>
      <w:r>
        <w:rPr>
          <w:rFonts w:ascii="Arial" w:cs="Arial" w:eastAsia="Arial" w:hAnsi="Arial"/>
          <w:sz w:val="14"/>
          <w:szCs w:val="14"/>
          <w:color w:val="auto"/>
        </w:rPr>
        <w:t>” for the interest payable on any Interest Payment Date on the Notes means the date specified for that purpose as contemplated by Section 301.</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Related Taxes</w:t>
      </w:r>
      <w:r>
        <w:rPr>
          <w:rFonts w:ascii="Arial" w:cs="Arial" w:eastAsia="Arial" w:hAnsi="Arial"/>
          <w:sz w:val="14"/>
          <w:szCs w:val="14"/>
          <w:color w:val="auto"/>
        </w:rPr>
        <w:t>” means, without duplication:</w:t>
      </w:r>
    </w:p>
    <w:p>
      <w:pPr>
        <w:spacing w:after="0" w:line="171" w:lineRule="exact"/>
        <w:rPr>
          <w:sz w:val="20"/>
          <w:szCs w:val="20"/>
          <w:color w:val="auto"/>
        </w:rPr>
      </w:pPr>
    </w:p>
    <w:p>
      <w:pPr>
        <w:ind w:right="60" w:firstLine="499"/>
        <w:spacing w:after="0" w:line="258" w:lineRule="auto"/>
        <w:tabs>
          <w:tab w:leader="none" w:pos="1001"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taxes are in fact paid) by any Successor Parent by virtue of its:</w:t>
      </w:r>
    </w:p>
    <w:p>
      <w:pPr>
        <w:spacing w:after="0" w:line="144" w:lineRule="exact"/>
        <w:rPr>
          <w:rFonts w:ascii="Arial" w:cs="Arial" w:eastAsia="Arial" w:hAnsi="Arial"/>
          <w:sz w:val="14"/>
          <w:szCs w:val="14"/>
          <w:color w:val="auto"/>
        </w:rPr>
      </w:pPr>
    </w:p>
    <w:p>
      <w:pPr>
        <w:ind w:left="500" w:firstLine="497"/>
        <w:spacing w:after="0" w:line="268" w:lineRule="auto"/>
        <w:tabs>
          <w:tab w:leader="none" w:pos="1494" w:val="left"/>
        </w:tabs>
        <w:numPr>
          <w:ilvl w:val="1"/>
          <w:numId w:val="39"/>
        </w:numPr>
        <w:rPr>
          <w:rFonts w:ascii="Arial" w:cs="Arial" w:eastAsia="Arial" w:hAnsi="Arial"/>
          <w:sz w:val="14"/>
          <w:szCs w:val="14"/>
          <w:color w:val="auto"/>
        </w:rPr>
      </w:pPr>
      <w:r>
        <w:rPr>
          <w:rFonts w:ascii="Arial" w:cs="Arial" w:eastAsia="Arial" w:hAnsi="Arial"/>
          <w:sz w:val="14"/>
          <w:szCs w:val="14"/>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38" w:lineRule="exact"/>
        <w:rPr>
          <w:rFonts w:ascii="Arial" w:cs="Arial" w:eastAsia="Arial" w:hAnsi="Arial"/>
          <w:sz w:val="14"/>
          <w:szCs w:val="14"/>
          <w:color w:val="auto"/>
        </w:rPr>
      </w:pPr>
    </w:p>
    <w:p>
      <w:pPr>
        <w:ind w:left="1500" w:hanging="503"/>
        <w:spacing w:after="0"/>
        <w:tabs>
          <w:tab w:leader="none" w:pos="1500" w:val="left"/>
        </w:tabs>
        <w:numPr>
          <w:ilvl w:val="1"/>
          <w:numId w:val="39"/>
        </w:numPr>
        <w:rPr>
          <w:rFonts w:ascii="Arial" w:cs="Arial" w:eastAsia="Arial" w:hAnsi="Arial"/>
          <w:sz w:val="14"/>
          <w:szCs w:val="14"/>
          <w:color w:val="auto"/>
        </w:rPr>
      </w:pPr>
      <w:r>
        <w:rPr>
          <w:rFonts w:ascii="Arial" w:cs="Arial" w:eastAsia="Arial" w:hAnsi="Arial"/>
          <w:sz w:val="14"/>
          <w:szCs w:val="14"/>
          <w:color w:val="auto"/>
        </w:rPr>
        <w:t>being a holding company parent, directly or indirectly, of the Parent Guarantor or any of the Parent Guarantor’s Subsidiaries;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receiving dividends from or other distributions in respect of the Equity Interests of, directly or indirectly, the Parent Guarantor or any of the Parent Guarantor’s</w:t>
      </w:r>
    </w:p>
    <w:p>
      <w:pPr>
        <w:spacing w:after="0" w:line="25"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4"/>
          <w:szCs w:val="14"/>
          <w:color w:val="auto"/>
        </w:rPr>
        <w:t>Subsidiaries; or</w:t>
      </w:r>
    </w:p>
    <w:p>
      <w:pPr>
        <w:spacing w:after="0" w:line="161" w:lineRule="exact"/>
        <w:rPr>
          <w:rFonts w:ascii="Arial" w:cs="Arial" w:eastAsia="Arial" w:hAnsi="Arial"/>
          <w:sz w:val="13"/>
          <w:szCs w:val="13"/>
          <w:color w:val="auto"/>
        </w:rPr>
      </w:pPr>
    </w:p>
    <w:p>
      <w:pPr>
        <w:ind w:left="500" w:right="180" w:firstLine="497"/>
        <w:spacing w:after="0" w:line="268" w:lineRule="auto"/>
        <w:tabs>
          <w:tab w:leader="none" w:pos="1501" w:val="left"/>
        </w:tabs>
        <w:numPr>
          <w:ilvl w:val="1"/>
          <w:numId w:val="39"/>
        </w:numPr>
        <w:rPr>
          <w:rFonts w:ascii="Arial" w:cs="Arial" w:eastAsia="Arial" w:hAnsi="Arial"/>
          <w:sz w:val="14"/>
          <w:szCs w:val="14"/>
          <w:color w:val="auto"/>
        </w:rPr>
      </w:pPr>
      <w:r>
        <w:rPr>
          <w:rFonts w:ascii="Arial" w:cs="Arial" w:eastAsia="Arial" w:hAnsi="Arial"/>
          <w:sz w:val="14"/>
          <w:szCs w:val="14"/>
          <w:color w:val="auto"/>
        </w:rPr>
        <w:t>having made any payment in respect to any of the items for which the Parent Guarantor or any of the Parent Guarantor’s Subsidiaries is permitted to make payments to any Successor Parent pursuant to Section 1009; and</w:t>
      </w:r>
    </w:p>
    <w:p>
      <w:pPr>
        <w:spacing w:after="0" w:line="138" w:lineRule="exact"/>
        <w:rPr>
          <w:rFonts w:ascii="Arial" w:cs="Arial" w:eastAsia="Arial" w:hAnsi="Arial"/>
          <w:sz w:val="14"/>
          <w:szCs w:val="14"/>
          <w:color w:val="auto"/>
        </w:rPr>
      </w:pPr>
    </w:p>
    <w:p>
      <w:pPr>
        <w:ind w:right="360" w:firstLine="499"/>
        <w:spacing w:after="0" w:line="268" w:lineRule="auto"/>
        <w:tabs>
          <w:tab w:leader="none" w:pos="1001"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and for so long as the Parent Guarantor or any of the Parent Guarantor’s Subsidiaries is a member of a group filing a consolidated, unitary or combined tax return with any Successor Parent, any taxes measured by income for which such Successor</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20"/>
          </w:cols>
          <w:pgMar w:left="720" w:top="295" w:right="259" w:bottom="1440" w:gutter="0" w:footer="0" w:header="0"/>
        </w:sectPr>
      </w:pPr>
    </w:p>
    <w:bookmarkStart w:id="83" w:name="page84"/>
    <w:bookmarkEnd w:id="83"/>
    <w:p>
      <w:pPr>
        <w:ind w:left="500" w:right="380"/>
        <w:spacing w:after="0" w:line="258" w:lineRule="auto"/>
        <w:rPr>
          <w:sz w:val="20"/>
          <w:szCs w:val="20"/>
          <w:color w:val="auto"/>
        </w:rPr>
      </w:pPr>
      <w:r>
        <w:rPr>
          <w:rFonts w:ascii="Arial" w:cs="Arial" w:eastAsia="Arial" w:hAnsi="Arial"/>
          <w:sz w:val="14"/>
          <w:szCs w:val="14"/>
          <w:color w:val="auto"/>
        </w:rPr>
        <w:t>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Required Currency</w:t>
      </w:r>
      <w:r>
        <w:rPr>
          <w:rFonts w:ascii="Arial" w:cs="Arial" w:eastAsia="Arial" w:hAnsi="Arial"/>
          <w:sz w:val="14"/>
          <w:szCs w:val="14"/>
          <w:color w:val="auto"/>
        </w:rPr>
        <w:t>” has the meaning specified in Section 117.</w:t>
      </w:r>
    </w:p>
    <w:p>
      <w:pPr>
        <w:spacing w:after="0" w:line="171"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Responsible Officer</w:t>
      </w:r>
      <w:r>
        <w:rPr>
          <w:rFonts w:ascii="Arial" w:cs="Arial" w:eastAsia="Arial" w:hAnsi="Arial"/>
          <w:sz w:val="14"/>
          <w:szCs w:val="14"/>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the Indenture.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Payment</w:t>
      </w:r>
      <w:r>
        <w:rPr>
          <w:rFonts w:ascii="Arial" w:cs="Arial" w:eastAsia="Arial" w:hAnsi="Arial"/>
          <w:sz w:val="14"/>
          <w:szCs w:val="14"/>
          <w:color w:val="auto"/>
        </w:rPr>
        <w:t>” means any of the following:</w:t>
      </w:r>
    </w:p>
    <w:p>
      <w:pPr>
        <w:spacing w:after="0" w:line="171" w:lineRule="exact"/>
        <w:rPr>
          <w:sz w:val="20"/>
          <w:szCs w:val="20"/>
          <w:color w:val="auto"/>
        </w:rPr>
      </w:pPr>
    </w:p>
    <w:p>
      <w:pPr>
        <w:ind w:left="500" w:firstLine="499"/>
        <w:spacing w:after="0" w:line="251" w:lineRule="auto"/>
        <w:tabs>
          <w:tab w:leader="none" w:pos="150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51" w:lineRule="exact"/>
        <w:rPr>
          <w:rFonts w:ascii="Arial" w:cs="Arial" w:eastAsia="Arial" w:hAnsi="Arial"/>
          <w:sz w:val="14"/>
          <w:szCs w:val="14"/>
          <w:color w:val="auto"/>
        </w:rPr>
      </w:pPr>
    </w:p>
    <w:p>
      <w:pPr>
        <w:jc w:val="both"/>
        <w:ind w:left="500" w:right="100" w:firstLine="499"/>
        <w:spacing w:after="0" w:line="258" w:lineRule="auto"/>
        <w:tabs>
          <w:tab w:leader="none" w:pos="150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Investment other than a Permitted Investment; or</w:t>
      </w:r>
    </w:p>
    <w:p>
      <w:pPr>
        <w:spacing w:after="0" w:line="170" w:lineRule="exact"/>
        <w:rPr>
          <w:rFonts w:ascii="Arial" w:cs="Arial" w:eastAsia="Arial" w:hAnsi="Arial"/>
          <w:sz w:val="14"/>
          <w:szCs w:val="14"/>
          <w:color w:val="auto"/>
        </w:rPr>
      </w:pPr>
    </w:p>
    <w:p>
      <w:pPr>
        <w:ind w:left="500" w:right="160" w:firstLine="499"/>
        <w:spacing w:after="0" w:line="254" w:lineRule="auto"/>
        <w:tabs>
          <w:tab w:leader="none" w:pos="1501"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84" w:name="page85"/>
    <w:bookmarkEnd w:id="84"/>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Payments Basket</w:t>
      </w:r>
      <w:r>
        <w:rPr>
          <w:rFonts w:ascii="Arial" w:cs="Arial" w:eastAsia="Arial" w:hAnsi="Arial"/>
          <w:sz w:val="14"/>
          <w:szCs w:val="14"/>
          <w:color w:val="auto"/>
        </w:rPr>
        <w:t>” has the meaning given to such term in the first paragraph of Section 1009.</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Subsidiary</w:t>
      </w:r>
      <w:r>
        <w:rPr>
          <w:rFonts w:ascii="Arial" w:cs="Arial" w:eastAsia="Arial" w:hAnsi="Arial"/>
          <w:sz w:val="14"/>
          <w:szCs w:val="14"/>
          <w:color w:val="auto"/>
        </w:rPr>
        <w:t>” means any Subsidiary of the Parent Guarantor other than an Unrestricted Subsidiary.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Reversion Date</w:t>
      </w:r>
      <w:r>
        <w:rPr>
          <w:rFonts w:ascii="Arial" w:cs="Arial" w:eastAsia="Arial" w:hAnsi="Arial"/>
          <w:sz w:val="14"/>
          <w:szCs w:val="14"/>
          <w:color w:val="auto"/>
        </w:rPr>
        <w:t>” has the meaning specified in Section 1015.</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S&amp;P</w:t>
      </w:r>
      <w:r>
        <w:rPr>
          <w:rFonts w:ascii="Arial" w:cs="Arial" w:eastAsia="Arial" w:hAnsi="Arial"/>
          <w:sz w:val="14"/>
          <w:szCs w:val="14"/>
          <w:color w:val="auto"/>
        </w:rPr>
        <w:t>” means S&amp;P Global Ratings, a division of The McGraw-Hill Companies, Inc., and its successors.</w:t>
      </w:r>
    </w:p>
    <w:p>
      <w:pPr>
        <w:spacing w:after="0" w:line="171" w:lineRule="exact"/>
        <w:rPr>
          <w:sz w:val="20"/>
          <w:szCs w:val="20"/>
          <w:color w:val="auto"/>
        </w:rPr>
      </w:pPr>
    </w:p>
    <w:p>
      <w:pPr>
        <w:ind w:right="28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Sale-Leaseback Transaction</w:t>
      </w:r>
      <w:r>
        <w:rPr>
          <w:rFonts w:ascii="Arial" w:cs="Arial" w:eastAsia="Arial" w:hAnsi="Arial"/>
          <w:sz w:val="13"/>
          <w:szCs w:val="13"/>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w:t>
      </w:r>
      <w:r>
        <w:rPr>
          <w:rFonts w:ascii="Arial" w:cs="Arial" w:eastAsia="Arial" w:hAnsi="Arial"/>
          <w:sz w:val="14"/>
          <w:szCs w:val="14"/>
          <w:color w:val="auto"/>
        </w:rPr>
        <w:t>” means the U.S. Securities and Exchange Commission.</w:t>
      </w:r>
    </w:p>
    <w:p>
      <w:pPr>
        <w:spacing w:after="0" w:line="171" w:lineRule="exact"/>
        <w:rPr>
          <w:sz w:val="20"/>
          <w:szCs w:val="20"/>
          <w:color w:val="auto"/>
        </w:rPr>
      </w:pPr>
    </w:p>
    <w:p>
      <w:pPr>
        <w:ind w:right="3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Secured Indebtedness</w:t>
      </w:r>
      <w:r>
        <w:rPr>
          <w:rFonts w:ascii="Arial" w:cs="Arial" w:eastAsia="Arial" w:hAnsi="Arial"/>
          <w:sz w:val="14"/>
          <w:szCs w:val="14"/>
          <w:color w:val="auto"/>
        </w:rPr>
        <w:t>” means all Indebtedness of the Parent Guarantor or any of its Restricted Subsidiaries outstanding under the Credit Agreement or otherwise secured by a Lien permitted hereunder, in each case, together with all obligations with respect thereto.</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Act</w:t>
      </w:r>
      <w:r>
        <w:rPr>
          <w:rFonts w:ascii="Arial" w:cs="Arial" w:eastAsia="Arial" w:hAnsi="Arial"/>
          <w:sz w:val="14"/>
          <w:szCs w:val="14"/>
          <w:color w:val="auto"/>
        </w:rPr>
        <w:t>” means the U.S. Securities Act of 1933, as amended.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Custodian</w:t>
      </w:r>
      <w:r>
        <w:rPr>
          <w:rFonts w:ascii="Arial" w:cs="Arial" w:eastAsia="Arial" w:hAnsi="Arial"/>
          <w:sz w:val="14"/>
          <w:szCs w:val="14"/>
          <w:color w:val="auto"/>
        </w:rPr>
        <w:t>” means the custodian with respect to a Global Note (as appointed by the Depositary), or any successor Person thereto and shall initially be the Trustee.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Security Register</w:t>
      </w:r>
      <w:r>
        <w:rPr>
          <w:rFonts w:ascii="Arial" w:cs="Arial" w:eastAsia="Arial" w:hAnsi="Arial"/>
          <w:sz w:val="14"/>
          <w:szCs w:val="14"/>
          <w:color w:val="auto"/>
        </w:rPr>
        <w:t>” and “</w:t>
      </w:r>
      <w:r>
        <w:rPr>
          <w:rFonts w:ascii="Arial" w:cs="Arial" w:eastAsia="Arial" w:hAnsi="Arial"/>
          <w:sz w:val="14"/>
          <w:szCs w:val="14"/>
          <w:i w:val="1"/>
          <w:iCs w:val="1"/>
          <w:color w:val="auto"/>
        </w:rPr>
        <w:t>Registrar</w:t>
      </w:r>
      <w:r>
        <w:rPr>
          <w:rFonts w:ascii="Arial" w:cs="Arial" w:eastAsia="Arial" w:hAnsi="Arial"/>
          <w:sz w:val="14"/>
          <w:szCs w:val="14"/>
          <w:color w:val="auto"/>
        </w:rPr>
        <w:t>” have the respective meanings specified in Section 305.</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Significant Subsidiary</w:t>
      </w:r>
      <w:r>
        <w:rPr>
          <w:rFonts w:ascii="Arial" w:cs="Arial" w:eastAsia="Arial" w:hAnsi="Arial"/>
          <w:sz w:val="14"/>
          <w:szCs w:val="14"/>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Special Record Date</w:t>
      </w:r>
      <w:r>
        <w:rPr>
          <w:rFonts w:ascii="Arial" w:cs="Arial" w:eastAsia="Arial" w:hAnsi="Arial"/>
          <w:sz w:val="14"/>
          <w:szCs w:val="14"/>
          <w:color w:val="auto"/>
        </w:rPr>
        <w:t>” for the payment of any Defaulted Interest means a date fixed by the Trustee pursuant to Section 307.</w:t>
      </w:r>
    </w:p>
    <w:p>
      <w:pPr>
        <w:spacing w:after="0" w:line="171" w:lineRule="exact"/>
        <w:rPr>
          <w:sz w:val="20"/>
          <w:szCs w:val="20"/>
          <w:color w:val="auto"/>
        </w:rPr>
      </w:pPr>
    </w:p>
    <w:p>
      <w:pPr>
        <w:ind w:right="3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Specified Cash Management Agreements</w:t>
      </w:r>
      <w:r>
        <w:rPr>
          <w:rFonts w:ascii="Arial" w:cs="Arial" w:eastAsia="Arial" w:hAnsi="Arial"/>
          <w:sz w:val="14"/>
          <w:szCs w:val="14"/>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Specified Holders</w:t>
      </w:r>
      <w:r>
        <w:rPr>
          <w:rFonts w:ascii="Arial" w:cs="Arial" w:eastAsia="Arial" w:hAnsi="Arial"/>
          <w:sz w:val="12"/>
          <w:szCs w:val="12"/>
          <w:color w:val="auto"/>
        </w:rPr>
        <w:t>” means any Person that is both (a) not the Issuer or any Guarantor or any Person directly or indirectly controlled by the Issuer or any Guarantor and (b) (1) a Permitted Holder,</w:t>
      </w:r>
    </w:p>
    <w:p>
      <w:pPr>
        <w:spacing w:after="0" w:line="37" w:lineRule="exact"/>
        <w:rPr>
          <w:sz w:val="20"/>
          <w:szCs w:val="20"/>
          <w:color w:val="auto"/>
        </w:rPr>
      </w:pPr>
    </w:p>
    <w:p>
      <w:pPr>
        <w:ind w:firstLine="3"/>
        <w:spacing w:after="0" w:line="254" w:lineRule="auto"/>
        <w:tabs>
          <w:tab w:leader="none" w:pos="1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controlling stockholder, controlling member, general partner, majority owned Subsidiary, or spouse or immediate family member (in the case of an individual) of any Specified Holder, (3) any estate, trust, corporation, partnership or other entity, the beneficiaries, stockholders, partners, owners or Persons holding a controlling interest of which consist solely of</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85" w:name="page86"/>
    <w:bookmarkEnd w:id="85"/>
    <w:p>
      <w:pPr>
        <w:ind w:right="360"/>
        <w:spacing w:after="0" w:line="287" w:lineRule="auto"/>
        <w:rPr>
          <w:sz w:val="20"/>
          <w:szCs w:val="20"/>
          <w:color w:val="auto"/>
        </w:rPr>
      </w:pPr>
      <w:r>
        <w:rPr>
          <w:rFonts w:ascii="Arial" w:cs="Arial" w:eastAsia="Arial" w:hAnsi="Arial"/>
          <w:sz w:val="13"/>
          <w:szCs w:val="13"/>
          <w:color w:val="auto"/>
        </w:rPr>
        <w:t>one or more Persons referred to in the immediately preceding clauses (1) and (2), (4) any executor, administrator, trustee, manager, director or other similar fiduciary of any Person referred to in the immediately preceding clause (3) acting solely in such capacity, (5) any investment fund or other entity controlled by, or under common control with, a Specified Holder or the principals that control a Specified Holder, or (6) upon the liquidation of any entity of the type described in the immediately preceding clause (5), the former partners or beneficial owners thereof.</w:t>
      </w:r>
    </w:p>
    <w:p>
      <w:pPr>
        <w:spacing w:after="0" w:line="128" w:lineRule="exact"/>
        <w:rPr>
          <w:sz w:val="20"/>
          <w:szCs w:val="20"/>
          <w:color w:val="auto"/>
        </w:rPr>
      </w:pPr>
    </w:p>
    <w:p>
      <w:pPr>
        <w:jc w:val="both"/>
        <w:ind w:right="20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Standard Securitization Undertakings</w:t>
      </w:r>
      <w:r>
        <w:rPr>
          <w:rFonts w:ascii="Arial" w:cs="Arial" w:eastAsia="Arial" w:hAnsi="Arial"/>
          <w:sz w:val="14"/>
          <w:szCs w:val="14"/>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45" w:lineRule="exact"/>
        <w:rPr>
          <w:sz w:val="20"/>
          <w:szCs w:val="20"/>
          <w:color w:val="auto"/>
        </w:rPr>
      </w:pPr>
    </w:p>
    <w:p>
      <w:pPr>
        <w:ind w:right="20" w:firstLine="529"/>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Stated Maturity</w:t>
      </w:r>
      <w:r>
        <w:rPr>
          <w:rFonts w:ascii="Arial" w:cs="Arial" w:eastAsia="Arial" w:hAnsi="Arial"/>
          <w:sz w:val="14"/>
          <w:szCs w:val="14"/>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Subordinated Indebtedness</w:t>
      </w:r>
      <w:r>
        <w:rPr>
          <w:rFonts w:ascii="Arial" w:cs="Arial" w:eastAsia="Arial" w:hAnsi="Arial"/>
          <w:sz w:val="13"/>
          <w:szCs w:val="13"/>
          <w:color w:val="auto"/>
        </w:rPr>
        <w:t>” means Indebtedness of the Issuer or any Guarantor that is expressly subordinated in right of payment to the Notes or any Guarantee, respectively.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w:t>
      </w:r>
      <w:r>
        <w:rPr>
          <w:rFonts w:ascii="Arial" w:cs="Arial" w:eastAsia="Arial" w:hAnsi="Arial"/>
          <w:sz w:val="14"/>
          <w:szCs w:val="14"/>
          <w:color w:val="auto"/>
        </w:rPr>
        <w:t>” means, with respect to any Person:</w:t>
      </w:r>
    </w:p>
    <w:p>
      <w:pPr>
        <w:spacing w:after="0" w:line="171" w:lineRule="exact"/>
        <w:rPr>
          <w:sz w:val="20"/>
          <w:szCs w:val="20"/>
          <w:color w:val="auto"/>
        </w:rPr>
      </w:pPr>
    </w:p>
    <w:p>
      <w:pPr>
        <w:ind w:left="500" w:right="140" w:firstLine="499"/>
        <w:spacing w:after="0" w:line="268" w:lineRule="auto"/>
        <w:tabs>
          <w:tab w:leader="none" w:pos="1501"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corporation of which more than 50.0% of the total voting power of the Voting Stock thereof is at the time owned, directly or indirectly, by such Person or one or more of the other Subsidiaries of such Person;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partnership or similar business organization more than 50.0% of the ownership interests having ordinary voting power of which shall at the time be so owned.</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38" w:lineRule="exact"/>
        <w:rPr>
          <w:sz w:val="20"/>
          <w:szCs w:val="20"/>
          <w:color w:val="auto"/>
        </w:rPr>
      </w:pPr>
    </w:p>
    <w:p>
      <w:pPr>
        <w:ind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 Guarantor</w:t>
      </w:r>
      <w:r>
        <w:rPr>
          <w:rFonts w:ascii="Arial" w:cs="Arial" w:eastAsia="Arial" w:hAnsi="Arial"/>
          <w:sz w:val="13"/>
          <w:szCs w:val="13"/>
          <w:color w:val="auto"/>
        </w:rPr>
        <w:t>” means any Person named as a “Subsidiary Guarantor” in the first paragraph of the Indenture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15"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Successor Parent</w:t>
      </w:r>
      <w:r>
        <w:rPr>
          <w:rFonts w:ascii="Arial" w:cs="Arial" w:eastAsia="Arial" w:hAnsi="Arial"/>
          <w:sz w:val="14"/>
          <w:szCs w:val="14"/>
          <w:color w:val="auto"/>
        </w:rPr>
        <w:t>” means any Person which legally and beneficially owns more than 50% of the Voting Stock and/or Equity Interests of the Parent Guarantor or any Restricted Subsidiary, either directly or through one or more Subsidiaries.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86" w:name="page87"/>
    <w:bookmarkEnd w:id="86"/>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Successor Person</w:t>
      </w:r>
      <w:r>
        <w:rPr>
          <w:rFonts w:ascii="Arial" w:cs="Arial" w:eastAsia="Arial" w:hAnsi="Arial"/>
          <w:sz w:val="14"/>
          <w:szCs w:val="14"/>
          <w:color w:val="auto"/>
        </w:rPr>
        <w:t>” has the meaning set forth in Section 801.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Suspended Covenants</w:t>
      </w:r>
      <w:r>
        <w:rPr>
          <w:rFonts w:ascii="Arial" w:cs="Arial" w:eastAsia="Arial" w:hAnsi="Arial"/>
          <w:sz w:val="14"/>
          <w:szCs w:val="14"/>
          <w:color w:val="auto"/>
        </w:rPr>
        <w:t>” has the meaning set forth in Section 1015.</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Suspension Period</w:t>
      </w:r>
      <w:r>
        <w:rPr>
          <w:rFonts w:ascii="Arial" w:cs="Arial" w:eastAsia="Arial" w:hAnsi="Arial"/>
          <w:sz w:val="14"/>
          <w:szCs w:val="14"/>
          <w:color w:val="auto"/>
        </w:rPr>
        <w:t>” has the meaning set forth in Section 1015.</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Swiss Financial Institution</w:t>
      </w:r>
      <w:r>
        <w:rPr>
          <w:rFonts w:ascii="Arial" w:cs="Arial" w:eastAsia="Arial" w:hAnsi="Arial"/>
          <w:sz w:val="14"/>
          <w:szCs w:val="14"/>
          <w:color w:val="auto"/>
        </w:rPr>
        <w:t>” has the meaning specified in Section 1001.</w:t>
      </w:r>
    </w:p>
    <w:p>
      <w:pPr>
        <w:spacing w:after="0" w:line="171" w:lineRule="exact"/>
        <w:rPr>
          <w:sz w:val="20"/>
          <w:szCs w:val="20"/>
          <w:color w:val="auto"/>
        </w:rPr>
      </w:pPr>
    </w:p>
    <w:p>
      <w:pPr>
        <w:ind w:right="20" w:firstLine="498"/>
        <w:spacing w:after="0" w:line="299"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Treasury Rate</w:t>
      </w:r>
      <w:r>
        <w:rPr>
          <w:rFonts w:ascii="Arial" w:cs="Arial" w:eastAsia="Arial" w:hAnsi="Arial"/>
          <w:sz w:val="12"/>
          <w:szCs w:val="12"/>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of similar market data)) most nearly equal to the period from the redemption date to [ ], 2021;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such period is not equal to the constant maturity of a United States Treasury security for which a weekly average yield is given, the Issuer shall obtain the Treasury Rate by linear interpolation (calculated to the nearest one-twelfth of a year) from the weekly average yields of United States Treasury securities for which such yields are given, except that if the period from the redemption date to [ ], 2021 is less than one year, the weekly average yield on actually traded United States Treasury securities adjusted to a constant maturity of one year shall be used. The Issuer will (a) calculate the Treasury Rate on the second Business Day preceding the applicable redemption date and (b) prior to such redemption date file with the Trustee an Officers’ Certificate setting forth the Make Whole Premium and the Treasury Rate and showing the calculation of each in reasonable detail.</w:t>
      </w:r>
    </w:p>
    <w:p>
      <w:pPr>
        <w:spacing w:after="0" w:line="124"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Trust Indenture Act</w:t>
      </w:r>
      <w:r>
        <w:rPr>
          <w:rFonts w:ascii="Arial" w:cs="Arial" w:eastAsia="Arial" w:hAnsi="Arial"/>
          <w:sz w:val="14"/>
          <w:szCs w:val="14"/>
          <w:color w:val="auto"/>
        </w:rPr>
        <w:t xml:space="preserve">” means the Trust Indenture Act of 1939 as in force at the date as of which the Indenture was executed;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the event the Trust Indenture Act of 1939 is amended after such date “Trust Indenture Act” means, to the extent required by any such amendment, the Trust Indenture Act of 1939 as so amended.</w:t>
      </w:r>
    </w:p>
    <w:p>
      <w:pPr>
        <w:spacing w:after="0" w:line="138"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Trustee</w:t>
      </w:r>
      <w:r>
        <w:rPr>
          <w:rFonts w:ascii="Arial" w:cs="Arial" w:eastAsia="Arial" w:hAnsi="Arial"/>
          <w:sz w:val="14"/>
          <w:szCs w:val="14"/>
          <w:color w:val="auto"/>
        </w:rPr>
        <w:t>” means the Person named as the “Trustee” in the first paragraph of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United States</w:t>
      </w:r>
      <w:r>
        <w:rPr>
          <w:rFonts w:ascii="Arial" w:cs="Arial" w:eastAsia="Arial" w:hAnsi="Arial"/>
          <w:sz w:val="14"/>
          <w:szCs w:val="14"/>
          <w:color w:val="auto"/>
        </w:rPr>
        <w:t>” or “</w:t>
      </w:r>
      <w:r>
        <w:rPr>
          <w:rFonts w:ascii="Arial" w:cs="Arial" w:eastAsia="Arial" w:hAnsi="Arial"/>
          <w:sz w:val="14"/>
          <w:szCs w:val="14"/>
          <w:i w:val="1"/>
          <w:iCs w:val="1"/>
          <w:color w:val="auto"/>
        </w:rPr>
        <w:t>U.S.</w:t>
      </w:r>
      <w:r>
        <w:rPr>
          <w:rFonts w:ascii="Arial" w:cs="Arial" w:eastAsia="Arial" w:hAnsi="Arial"/>
          <w:sz w:val="14"/>
          <w:szCs w:val="14"/>
          <w:color w:val="auto"/>
        </w:rPr>
        <w:t>” means the United States of America.</w:t>
      </w:r>
    </w:p>
    <w:p>
      <w:pPr>
        <w:spacing w:after="0" w:line="171" w:lineRule="exact"/>
        <w:rPr>
          <w:sz w:val="20"/>
          <w:szCs w:val="20"/>
          <w:color w:val="auto"/>
        </w:rPr>
      </w:pPr>
    </w:p>
    <w:p>
      <w:pPr>
        <w:ind w:right="8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Unrestricted Subsidiary</w:t>
      </w:r>
      <w:r>
        <w:rPr>
          <w:rFonts w:ascii="Arial" w:cs="Arial" w:eastAsia="Arial" w:hAnsi="Arial"/>
          <w:sz w:val="14"/>
          <w:szCs w:val="14"/>
          <w:color w:val="auto"/>
        </w:rPr>
        <w:t>” means (1) any Subsidiary that at the time of determination shall be designated an Unrestricted Subsidiary by the Board of Directors of the Parent Guarantor in accordance with Section 1006 and (2) any Subsidiary of an Unrestricted Subsidiary. Notwithstanding the preceding, if at any time, any Unrestricted Subsidiary would fail to meet the requirements as an Unrestricted Subsidiary in Section 1006, it shall thereafter cease to be an Unrestricted Subsidiary for purposes of the Indenture.</w:t>
      </w:r>
    </w:p>
    <w:p>
      <w:pPr>
        <w:spacing w:after="0" w:line="145" w:lineRule="exact"/>
        <w:rPr>
          <w:sz w:val="20"/>
          <w:szCs w:val="20"/>
          <w:color w:val="auto"/>
        </w:rPr>
      </w:pPr>
    </w:p>
    <w:p>
      <w:pPr>
        <w:ind w:right="4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Government Obligations</w:t>
      </w:r>
      <w:r>
        <w:rPr>
          <w:rFonts w:ascii="Arial" w:cs="Arial" w:eastAsia="Arial" w:hAnsi="Arial"/>
          <w:sz w:val="14"/>
          <w:szCs w:val="14"/>
          <w:color w:val="auto"/>
        </w:rPr>
        <w:t>” means securities which are (i) direct obligations of the United States for the payment of which its full faith and credit is pledged or (ii) obligations of a Person controlled or supervised by and acting as an agency or instrumentality of the United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States, the payment of which is unconditionally guaranteed as a full faith and credit obligation by the United States, each of which are not callable or redeemable at the option of the issuer thereof.</w:t>
      </w:r>
    </w:p>
    <w:p>
      <w:pPr>
        <w:spacing w:after="0" w:line="182"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Stock</w:t>
      </w:r>
      <w:r>
        <w:rPr>
          <w:rFonts w:ascii="Arial" w:cs="Arial" w:eastAsia="Arial" w:hAnsi="Arial"/>
          <w:sz w:val="14"/>
          <w:szCs w:val="14"/>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38" w:lineRule="exact"/>
        <w:rPr>
          <w:sz w:val="20"/>
          <w:szCs w:val="20"/>
          <w:color w:val="auto"/>
        </w:rPr>
      </w:pPr>
    </w:p>
    <w:p>
      <w:pPr>
        <w:ind w:right="8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Weatherford Parent Company</w:t>
      </w:r>
      <w:r>
        <w:rPr>
          <w:rFonts w:ascii="Arial" w:cs="Arial" w:eastAsia="Arial" w:hAnsi="Arial"/>
          <w:sz w:val="14"/>
          <w:szCs w:val="14"/>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38" w:lineRule="exact"/>
        <w:rPr>
          <w:sz w:val="20"/>
          <w:szCs w:val="20"/>
          <w:color w:val="auto"/>
        </w:rPr>
      </w:pPr>
    </w:p>
    <w:p>
      <w:pPr>
        <w:ind w:firstLine="49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Weighted Average Life to Maturity</w:t>
      </w:r>
      <w:r>
        <w:rPr>
          <w:rFonts w:ascii="Arial" w:cs="Arial" w:eastAsia="Arial" w:hAnsi="Arial"/>
          <w:sz w:val="13"/>
          <w:szCs w:val="13"/>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2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Wholly-Owned Subsidiary</w:t>
      </w:r>
      <w:r>
        <w:rPr>
          <w:rFonts w:ascii="Arial" w:cs="Arial" w:eastAsia="Arial" w:hAnsi="Arial"/>
          <w:sz w:val="14"/>
          <w:szCs w:val="14"/>
          <w:color w:val="auto"/>
        </w:rPr>
        <w:t>” means a Restricted Subsidiary, all of the Equity Interests of which (other than directors’ qualifying shares) are owned by the Parent Guarantor or another Wholly-Owned Subsidiary.</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2"/>
          <w:szCs w:val="12"/>
          <w:u w:val="single" w:color="auto"/>
          <w:color w:val="auto"/>
        </w:rPr>
        <w:t>Compliance Certificates and Opinions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Upon any application or request by the Issuer or any Guarantor to the Trustee to take or refrain from taking any action under any provision of the Indenture, the Issuer or such Guarantor, as the case may be, shall furnish to the Trustee such certificates and opinions as may be required under the Trust Indenture Act. Each such certificate or opinion shall be given in the form of an Officers’ Certificate, if to be given by the Issuer or a Guarantor, or an Opinion of Counsel, if to be given by counsel, and shall comply with the requirements of the Trust Indenture Act and any other requirements set forth in the Indenture.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Every certificate or opinion with respect to compliance with a condition or covenant provided for in the Indenture shall include,</w:t>
      </w:r>
    </w:p>
    <w:p>
      <w:pPr>
        <w:spacing w:after="0" w:line="171" w:lineRule="exact"/>
        <w:rPr>
          <w:sz w:val="20"/>
          <w:szCs w:val="20"/>
          <w:color w:val="auto"/>
        </w:rPr>
      </w:pPr>
    </w:p>
    <w:p>
      <w:pPr>
        <w:ind w:left="1500" w:hanging="501"/>
        <w:spacing w:after="0"/>
        <w:tabs>
          <w:tab w:leader="none" w:pos="1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182" w:lineRule="exact"/>
        <w:rPr>
          <w:rFonts w:ascii="Arial" w:cs="Arial" w:eastAsia="Arial" w:hAnsi="Arial"/>
          <w:sz w:val="13"/>
          <w:szCs w:val="13"/>
          <w:color w:val="auto"/>
        </w:rPr>
      </w:pPr>
    </w:p>
    <w:p>
      <w:pPr>
        <w:ind w:left="500" w:right="120" w:firstLine="499"/>
        <w:spacing w:after="0" w:line="268" w:lineRule="auto"/>
        <w:tabs>
          <w:tab w:leader="none" w:pos="15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8" w:name="page89"/>
    <w:bookmarkEnd w:id="88"/>
    <w:p>
      <w:pPr>
        <w:ind w:left="1500" w:hanging="501"/>
        <w:spacing w:after="0"/>
        <w:tabs>
          <w:tab w:leader="none" w:pos="1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statement as to whether or not, in the opinion of each such individual, such condition or covenant has been complied with.</w:t>
      </w:r>
    </w:p>
    <w:p>
      <w:pPr>
        <w:spacing w:after="0" w:line="17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Section 103.</w:t>
      </w:r>
      <w:r>
        <w:rPr>
          <w:rFonts w:ascii="Arial" w:cs="Arial" w:eastAsia="Arial" w:hAnsi="Arial"/>
          <w:sz w:val="12"/>
          <w:szCs w:val="12"/>
          <w:u w:val="single" w:color="auto"/>
          <w:color w:val="auto"/>
        </w:rPr>
        <w:t>Form of Documents Delivered to Trustee</w:t>
      </w:r>
      <w:r>
        <w:rPr>
          <w:rFonts w:ascii="Arial" w:cs="Arial" w:eastAsia="Arial" w:hAnsi="Arial"/>
          <w:sz w:val="12"/>
          <w:szCs w:val="12"/>
          <w:color w:val="auto"/>
        </w:rPr>
        <w:t>.</w:t>
      </w:r>
    </w:p>
    <w:p>
      <w:pPr>
        <w:spacing w:after="0" w:line="171" w:lineRule="exact"/>
        <w:rPr>
          <w:sz w:val="20"/>
          <w:szCs w:val="20"/>
          <w:color w:val="auto"/>
        </w:rPr>
      </w:pPr>
    </w:p>
    <w:p>
      <w:pPr>
        <w:jc w:val="both"/>
        <w:ind w:right="40" w:firstLine="498"/>
        <w:spacing w:after="0" w:line="258" w:lineRule="auto"/>
        <w:rPr>
          <w:sz w:val="20"/>
          <w:szCs w:val="20"/>
          <w:color w:val="auto"/>
        </w:rPr>
      </w:pPr>
      <w:r>
        <w:rPr>
          <w:rFonts w:ascii="Arial" w:cs="Arial" w:eastAsia="Arial" w:hAnsi="Arial"/>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5"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5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104.</w:t>
      </w:r>
      <w:r>
        <w:rPr>
          <w:sz w:val="20"/>
          <w:szCs w:val="20"/>
          <w:color w:val="auto"/>
        </w:rPr>
        <w:tab/>
      </w:r>
      <w:r>
        <w:rPr>
          <w:rFonts w:ascii="Arial" w:cs="Arial" w:eastAsia="Arial" w:hAnsi="Arial"/>
          <w:sz w:val="12"/>
          <w:szCs w:val="12"/>
          <w:u w:val="single" w:color="auto"/>
          <w:color w:val="auto"/>
        </w:rPr>
        <w:t>Acts of Holders; Record Dates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301" w:lineRule="auto"/>
        <w:rPr>
          <w:sz w:val="20"/>
          <w:szCs w:val="20"/>
          <w:color w:val="auto"/>
        </w:rPr>
      </w:pPr>
      <w:r>
        <w:rPr>
          <w:rFonts w:ascii="Arial" w:cs="Arial" w:eastAsia="Arial" w:hAnsi="Arial"/>
          <w:sz w:val="12"/>
          <w:szCs w:val="12"/>
          <w:color w:val="auto"/>
        </w:rPr>
        <w:t xml:space="preserve">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23"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9" w:name="page90"/>
    <w:bookmarkEnd w:id="89"/>
    <w:p>
      <w:pPr>
        <w:ind w:right="180"/>
        <w:spacing w:after="0" w:line="268" w:lineRule="auto"/>
        <w:rPr>
          <w:sz w:val="20"/>
          <w:szCs w:val="20"/>
          <w:color w:val="auto"/>
        </w:rPr>
      </w:pPr>
      <w:r>
        <w:rPr>
          <w:rFonts w:ascii="Arial" w:cs="Arial" w:eastAsia="Arial" w:hAnsi="Arial"/>
          <w:sz w:val="14"/>
          <w:szCs w:val="14"/>
          <w:color w:val="auto"/>
        </w:rPr>
        <w:t>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ownership, principal amount and serial numbers of Notes held by any Person, and the date of commencement of such Person’s holding of same, shall be proved by the Security Register.</w:t>
      </w:r>
    </w:p>
    <w:p>
      <w:pPr>
        <w:spacing w:after="0" w:line="194" w:lineRule="exact"/>
        <w:rPr>
          <w:sz w:val="20"/>
          <w:szCs w:val="20"/>
          <w:color w:val="auto"/>
        </w:rPr>
      </w:pPr>
    </w:p>
    <w:p>
      <w:pPr>
        <w:jc w:val="both"/>
        <w:ind w:right="120" w:firstLine="498"/>
        <w:spacing w:after="0" w:line="258" w:lineRule="auto"/>
        <w:rPr>
          <w:sz w:val="20"/>
          <w:szCs w:val="20"/>
          <w:color w:val="auto"/>
        </w:rPr>
      </w:pPr>
      <w:r>
        <w:rPr>
          <w:rFonts w:ascii="Arial" w:cs="Arial" w:eastAsia="Arial" w:hAnsi="Arial"/>
          <w:sz w:val="14"/>
          <w:szCs w:val="14"/>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45" w:lineRule="exact"/>
        <w:rPr>
          <w:sz w:val="20"/>
          <w:szCs w:val="20"/>
          <w:color w:val="auto"/>
        </w:rPr>
      </w:pPr>
    </w:p>
    <w:p>
      <w:pPr>
        <w:ind w:firstLine="498"/>
        <w:spacing w:after="0" w:line="296" w:lineRule="auto"/>
        <w:rPr>
          <w:sz w:val="20"/>
          <w:szCs w:val="20"/>
          <w:color w:val="auto"/>
        </w:rPr>
      </w:pPr>
      <w:r>
        <w:rPr>
          <w:rFonts w:ascii="Arial" w:cs="Arial" w:eastAsia="Arial" w:hAnsi="Arial"/>
          <w:sz w:val="12"/>
          <w:szCs w:val="12"/>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Issuer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106.</w:t>
      </w:r>
    </w:p>
    <w:p>
      <w:pPr>
        <w:spacing w:after="0" w:line="128" w:lineRule="exact"/>
        <w:rPr>
          <w:sz w:val="20"/>
          <w:szCs w:val="20"/>
          <w:color w:val="auto"/>
        </w:rPr>
      </w:pPr>
    </w:p>
    <w:p>
      <w:pPr>
        <w:ind w:right="120" w:firstLine="498"/>
        <w:spacing w:after="0" w:line="274" w:lineRule="auto"/>
        <w:rPr>
          <w:sz w:val="20"/>
          <w:szCs w:val="20"/>
          <w:color w:val="auto"/>
        </w:rPr>
      </w:pPr>
      <w:r>
        <w:rPr>
          <w:rFonts w:ascii="Arial" w:cs="Arial" w:eastAsia="Arial" w:hAnsi="Arial"/>
          <w:sz w:val="13"/>
          <w:szCs w:val="13"/>
          <w:color w:val="auto"/>
        </w:rPr>
        <w:t xml:space="preserve">The Trustee may set any day as a record date for the purpose of determining the Holders of Notes entitled to join in the giving or making of (i) any notice of Default, (ii) any declaration of acceleration referred to in Section 502, (iii) any request to institute proceedings referred to in Section 507(2) or (iv) any direction referred to in Section 512.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90" w:name="page91"/>
    <w:bookmarkEnd w:id="90"/>
    <w:p>
      <w:pPr>
        <w:jc w:val="both"/>
        <w:spacing w:after="0" w:line="258" w:lineRule="auto"/>
        <w:rPr>
          <w:sz w:val="20"/>
          <w:szCs w:val="20"/>
          <w:color w:val="auto"/>
        </w:rPr>
      </w:pPr>
      <w:r>
        <w:rPr>
          <w:rFonts w:ascii="Arial" w:cs="Arial" w:eastAsia="Arial" w:hAnsi="Arial"/>
          <w:sz w:val="14"/>
          <w:szCs w:val="14"/>
          <w:color w:val="auto"/>
        </w:rPr>
        <w:t>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106.</w:t>
      </w:r>
    </w:p>
    <w:p>
      <w:pPr>
        <w:spacing w:after="0" w:line="145" w:lineRule="exact"/>
        <w:rPr>
          <w:sz w:val="20"/>
          <w:szCs w:val="20"/>
          <w:color w:val="auto"/>
        </w:rPr>
      </w:pPr>
    </w:p>
    <w:p>
      <w:pPr>
        <w:ind w:right="20" w:firstLine="498"/>
        <w:spacing w:after="0" w:line="276" w:lineRule="auto"/>
        <w:rPr>
          <w:sz w:val="20"/>
          <w:szCs w:val="20"/>
          <w:color w:val="auto"/>
        </w:rPr>
      </w:pPr>
      <w:r>
        <w:rPr>
          <w:rFonts w:ascii="Arial" w:cs="Arial" w:eastAsia="Arial" w:hAnsi="Arial"/>
          <w:sz w:val="13"/>
          <w:szCs w:val="13"/>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change shall be effective unless notice of the proposed new Expiration Date is given to each other party hereto in writing, and to each Holder of Notes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36"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105.</w:t>
      </w:r>
      <w:r>
        <w:rPr>
          <w:sz w:val="20"/>
          <w:szCs w:val="20"/>
          <w:color w:val="auto"/>
        </w:rPr>
        <w:tab/>
      </w:r>
      <w:r>
        <w:rPr>
          <w:rFonts w:ascii="Arial" w:cs="Arial" w:eastAsia="Arial" w:hAnsi="Arial"/>
          <w:sz w:val="12"/>
          <w:szCs w:val="12"/>
          <w:u w:val="single" w:color="auto"/>
          <w:color w:val="auto"/>
        </w:rPr>
        <w:t>Notices, Etc., to Trustee, Issuer and Guarantors</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Any request, demand, authorization, direction, notice, consent, waiver or other Act of Holders or other document provided or permitted by the Indenture to be made upon, given or furnished to, or filed with,</w:t>
      </w:r>
    </w:p>
    <w:p>
      <w:pPr>
        <w:spacing w:after="0" w:line="138" w:lineRule="exact"/>
        <w:rPr>
          <w:sz w:val="20"/>
          <w:szCs w:val="20"/>
          <w:color w:val="auto"/>
        </w:rPr>
      </w:pPr>
    </w:p>
    <w:p>
      <w:pPr>
        <w:ind w:left="500" w:right="60" w:firstLine="499"/>
        <w:spacing w:after="0" w:line="268" w:lineRule="auto"/>
        <w:tabs>
          <w:tab w:leader="none" w:pos="15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Trustee by any Holder or by the Issuer or by any Guarantor shall be sufficient for every purpose hereunder if made, given, furnished or filed in writing to or with the Trustee at its Corporate Trust Office, or</w:t>
      </w:r>
    </w:p>
    <w:p>
      <w:pPr>
        <w:spacing w:after="0" w:line="138" w:lineRule="exact"/>
        <w:rPr>
          <w:rFonts w:ascii="Arial" w:cs="Arial" w:eastAsia="Arial" w:hAnsi="Arial"/>
          <w:sz w:val="14"/>
          <w:szCs w:val="14"/>
          <w:color w:val="auto"/>
        </w:rPr>
      </w:pPr>
    </w:p>
    <w:p>
      <w:pPr>
        <w:ind w:left="500" w:right="20" w:firstLine="499"/>
        <w:spacing w:after="0" w:line="258" w:lineRule="auto"/>
        <w:tabs>
          <w:tab w:leader="none" w:pos="15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106.</w:t>
      </w:r>
      <w:r>
        <w:rPr>
          <w:sz w:val="20"/>
          <w:szCs w:val="20"/>
          <w:color w:val="auto"/>
        </w:rPr>
        <w:tab/>
      </w:r>
      <w:r>
        <w:rPr>
          <w:rFonts w:ascii="Arial" w:cs="Arial" w:eastAsia="Arial" w:hAnsi="Arial"/>
          <w:sz w:val="12"/>
          <w:szCs w:val="12"/>
          <w:u w:val="single" w:color="auto"/>
          <w:color w:val="auto"/>
        </w:rPr>
        <w:t>Notice to Holders; Waiver</w:t>
      </w:r>
      <w:r>
        <w:rPr>
          <w:rFonts w:ascii="Arial" w:cs="Arial" w:eastAsia="Arial" w:hAnsi="Arial"/>
          <w:sz w:val="12"/>
          <w:szCs w:val="12"/>
          <w:color w:val="auto"/>
        </w:rPr>
        <w:t>.</w:t>
      </w:r>
    </w:p>
    <w:p>
      <w:pPr>
        <w:spacing w:after="0" w:line="171" w:lineRule="exact"/>
        <w:rPr>
          <w:sz w:val="20"/>
          <w:szCs w:val="20"/>
          <w:color w:val="auto"/>
        </w:rPr>
      </w:pPr>
    </w:p>
    <w:p>
      <w:pPr>
        <w:ind w:right="320" w:firstLine="498"/>
        <w:spacing w:after="0" w:line="258" w:lineRule="auto"/>
        <w:rPr>
          <w:sz w:val="20"/>
          <w:szCs w:val="20"/>
          <w:color w:val="auto"/>
        </w:rPr>
      </w:pPr>
      <w:r>
        <w:rPr>
          <w:rFonts w:ascii="Arial" w:cs="Arial" w:eastAsia="Arial" w:hAnsi="Arial"/>
          <w:sz w:val="14"/>
          <w:szCs w:val="14"/>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91" w:name="page92"/>
    <w:bookmarkEnd w:id="91"/>
    <w:p>
      <w:pPr>
        <w:spacing w:after="0" w:line="252" w:lineRule="auto"/>
        <w:rPr>
          <w:sz w:val="20"/>
          <w:szCs w:val="20"/>
          <w:color w:val="auto"/>
        </w:rPr>
      </w:pPr>
      <w:r>
        <w:rPr>
          <w:rFonts w:ascii="Arial" w:cs="Arial" w:eastAsia="Arial" w:hAnsi="Arial"/>
          <w:sz w:val="14"/>
          <w:szCs w:val="14"/>
          <w:color w:val="auto"/>
        </w:rPr>
        <w:t>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106,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51" w:lineRule="exact"/>
        <w:rPr>
          <w:sz w:val="20"/>
          <w:szCs w:val="20"/>
          <w:color w:val="auto"/>
        </w:rPr>
      </w:pPr>
    </w:p>
    <w:p>
      <w:pPr>
        <w:ind w:right="340" w:firstLine="498"/>
        <w:spacing w:after="0" w:line="268" w:lineRule="auto"/>
        <w:rPr>
          <w:sz w:val="20"/>
          <w:szCs w:val="20"/>
          <w:color w:val="auto"/>
        </w:rPr>
      </w:pPr>
      <w:r>
        <w:rPr>
          <w:rFonts w:ascii="Arial" w:cs="Arial" w:eastAsia="Arial" w:hAnsi="Arial"/>
          <w:sz w:val="14"/>
          <w:szCs w:val="14"/>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107.</w:t>
      </w:r>
      <w:r>
        <w:rPr>
          <w:sz w:val="20"/>
          <w:szCs w:val="20"/>
          <w:color w:val="auto"/>
        </w:rPr>
        <w:tab/>
      </w:r>
      <w:r>
        <w:rPr>
          <w:rFonts w:ascii="Arial" w:cs="Arial" w:eastAsia="Arial" w:hAnsi="Arial"/>
          <w:sz w:val="13"/>
          <w:szCs w:val="13"/>
          <w:u w:val="single" w:color="auto"/>
          <w:color w:val="auto"/>
        </w:rPr>
        <w:t>Conflict with Trust Indenture Act</w:t>
      </w:r>
      <w:r>
        <w:rPr>
          <w:rFonts w:ascii="Arial" w:cs="Arial" w:eastAsia="Arial" w:hAnsi="Arial"/>
          <w:sz w:val="13"/>
          <w:szCs w:val="13"/>
          <w:color w:val="auto"/>
        </w:rPr>
        <w:t>.</w:t>
      </w:r>
    </w:p>
    <w:p>
      <w:pPr>
        <w:spacing w:after="0" w:line="171"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If any provision of the Indenture limits, qualifies or conflicts, with the duties imposed by Section 318(c) of the Trust Indenture Act, the imposed duties will control. If any provision hereof limits, qualifies or conflicts with a provision of the Trust Indenture Act which is required under the Trust Indenture Act to be a part of and govern the Indenture, such required provision of the Trust Indenture Act shall control. If any provision of the Indenture modifies or excludes any provision of the Trust Indenture Act which may be so modified or excluded, the Trust Indenture Act provision shall be deemed to apply to the Indenture as so modified or shall be excluded, as the case may be.</w:t>
      </w:r>
    </w:p>
    <w:p>
      <w:pPr>
        <w:spacing w:after="0" w:line="14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108.</w:t>
      </w:r>
      <w:r>
        <w:rPr>
          <w:sz w:val="20"/>
          <w:szCs w:val="20"/>
          <w:color w:val="auto"/>
        </w:rPr>
        <w:tab/>
      </w:r>
      <w:r>
        <w:rPr>
          <w:rFonts w:ascii="Arial" w:cs="Arial" w:eastAsia="Arial" w:hAnsi="Arial"/>
          <w:sz w:val="12"/>
          <w:szCs w:val="12"/>
          <w:u w:val="single" w:color="auto"/>
          <w:color w:val="auto"/>
        </w:rPr>
        <w:t>Effect of Headings and Table of Contents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Article and Section headings herein and the Table of Contents are for convenience only and shall not affect the construction hereof.</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109.</w:t>
      </w:r>
      <w:r>
        <w:rPr>
          <w:sz w:val="20"/>
          <w:szCs w:val="20"/>
          <w:color w:val="auto"/>
        </w:rPr>
        <w:tab/>
      </w:r>
      <w:r>
        <w:rPr>
          <w:rFonts w:ascii="Arial" w:cs="Arial" w:eastAsia="Arial" w:hAnsi="Arial"/>
          <w:sz w:val="10"/>
          <w:szCs w:val="10"/>
          <w:u w:val="single" w:color="auto"/>
          <w:color w:val="auto"/>
        </w:rPr>
        <w:t>Successors and Assigns</w:t>
      </w:r>
      <w:r>
        <w:rPr>
          <w:rFonts w:ascii="Arial" w:cs="Arial" w:eastAsia="Arial" w:hAnsi="Arial"/>
          <w:sz w:val="10"/>
          <w:szCs w:val="10"/>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covenants and agreements in the Indenture by the Issuer, the Guarantors or the Trustee shall bind their respective successors and assigns, whether so expressed or not.</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w:t>
      </w:r>
      <w:r>
        <w:rPr>
          <w:sz w:val="20"/>
          <w:szCs w:val="20"/>
          <w:color w:val="auto"/>
        </w:rPr>
        <w:tab/>
      </w:r>
      <w:r>
        <w:rPr>
          <w:rFonts w:ascii="Arial" w:cs="Arial" w:eastAsia="Arial" w:hAnsi="Arial"/>
          <w:sz w:val="12"/>
          <w:szCs w:val="12"/>
          <w:u w:val="single" w:color="auto"/>
          <w:color w:val="auto"/>
        </w:rPr>
        <w:t>Separability Clause</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In case any provision in the Indenture or the Notes shall be invalid, illegal or unenforceable, the validity, legality and enforce ability of the remaining provisions shall not in any way be affected or impaired thereby.</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111.</w:t>
      </w:r>
      <w:r>
        <w:rPr>
          <w:sz w:val="20"/>
          <w:szCs w:val="20"/>
          <w:color w:val="auto"/>
        </w:rPr>
        <w:tab/>
      </w:r>
      <w:r>
        <w:rPr>
          <w:rFonts w:ascii="Arial" w:cs="Arial" w:eastAsia="Arial" w:hAnsi="Arial"/>
          <w:sz w:val="12"/>
          <w:szCs w:val="12"/>
          <w:u w:val="single" w:color="auto"/>
          <w:color w:val="auto"/>
        </w:rPr>
        <w:t>Benefits of Indenture</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307" w:lineRule="auto"/>
        <w:rPr>
          <w:sz w:val="20"/>
          <w:szCs w:val="20"/>
          <w:color w:val="auto"/>
        </w:rPr>
      </w:pPr>
      <w:r>
        <w:rPr>
          <w:rFonts w:ascii="Arial" w:cs="Arial" w:eastAsia="Arial" w:hAnsi="Arial"/>
          <w:sz w:val="13"/>
          <w:szCs w:val="13"/>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Agent, shall have all the rights, benefits, protections and immunities afforded by the Indenture to the Trustee in its capacity as such.</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112.</w:t>
      </w:r>
      <w:r>
        <w:rPr>
          <w:sz w:val="20"/>
          <w:szCs w:val="20"/>
          <w:color w:val="auto"/>
        </w:rPr>
        <w:tab/>
      </w:r>
      <w:r>
        <w:rPr>
          <w:rFonts w:ascii="Arial" w:cs="Arial" w:eastAsia="Arial" w:hAnsi="Arial"/>
          <w:sz w:val="12"/>
          <w:szCs w:val="12"/>
          <w:u w:val="single" w:color="auto"/>
          <w:color w:val="auto"/>
        </w:rPr>
        <w:t>Governing Law; Submission to Jurisdiction</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INDENTURE, THE NOTES AND THE GUARANTEES SHALL BE GOVERNED BY AND CONSTRUED IN ACCORDANCE WITH THE LAWS OF THE STATE OF NEW YORK.</w:t>
      </w:r>
    </w:p>
    <w:p>
      <w:pPr>
        <w:spacing w:after="0" w:line="182" w:lineRule="exact"/>
        <w:rPr>
          <w:sz w:val="20"/>
          <w:szCs w:val="20"/>
          <w:color w:val="auto"/>
        </w:rPr>
      </w:pPr>
    </w:p>
    <w:p>
      <w:pPr>
        <w:ind w:firstLine="498"/>
        <w:spacing w:after="0" w:line="293" w:lineRule="auto"/>
        <w:rPr>
          <w:sz w:val="20"/>
          <w:szCs w:val="20"/>
          <w:color w:val="auto"/>
        </w:rPr>
      </w:pPr>
      <w:r>
        <w:rPr>
          <w:rFonts w:ascii="Arial" w:cs="Arial" w:eastAsia="Arial" w:hAnsi="Arial"/>
          <w:sz w:val="12"/>
          <w:szCs w:val="12"/>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service of process is effected upon the Issuer. Each of the Issuer and the Guarantors hereby irrevocably designates and appoints [CT Corporation Systems, New York, New York] (the “Process Agent”) as its authorized agent for purposes of this Section 112, it being understood that the designation and appointment of the Process Agent as such authorized agent shall become effective immediately without any further action on the part of the Issuer or such Guarantor, as the case may be. Each of the Issuer and the Guarantors further agrees that, unless otherwise required by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of the Issuer and the Guarantors further agrees to take any and all action, including the execution and filing of any and all such documents and instruments as may be necessary, to continue such designation and appointment of the Process Agent in full force and effect so long as the Issuer or such Guarantor, as the case may be, has any outstanding obligations under the Indenture.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113.</w:t>
      </w:r>
      <w:r>
        <w:rPr>
          <w:sz w:val="20"/>
          <w:szCs w:val="20"/>
          <w:color w:val="auto"/>
        </w:rPr>
        <w:tab/>
      </w:r>
      <w:r>
        <w:rPr>
          <w:rFonts w:ascii="Arial" w:cs="Arial" w:eastAsia="Arial" w:hAnsi="Arial"/>
          <w:sz w:val="13"/>
          <w:szCs w:val="13"/>
          <w:u w:val="single" w:color="auto"/>
          <w:color w:val="auto"/>
        </w:rPr>
        <w:t>Legal Holidays</w:t>
      </w:r>
      <w:r>
        <w:rPr>
          <w:rFonts w:ascii="Arial" w:cs="Arial" w:eastAsia="Arial" w:hAnsi="Arial"/>
          <w:sz w:val="13"/>
          <w:szCs w:val="13"/>
          <w:color w:val="auto"/>
        </w:rPr>
        <w:t>.</w:t>
      </w:r>
    </w:p>
    <w:p>
      <w:pPr>
        <w:spacing w:after="0" w:line="171"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made on the Interest Payment Date, Redemption Date or purchase date, or at the Stated Maturity, and no additional interest will accrue solely as a result of such delayed payment.</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114.</w:t>
      </w:r>
      <w:r>
        <w:rPr>
          <w:sz w:val="20"/>
          <w:szCs w:val="20"/>
          <w:color w:val="auto"/>
        </w:rPr>
        <w:tab/>
      </w:r>
      <w:r>
        <w:rPr>
          <w:rFonts w:ascii="Arial" w:cs="Arial" w:eastAsia="Arial" w:hAnsi="Arial"/>
          <w:sz w:val="12"/>
          <w:szCs w:val="12"/>
          <w:u w:val="single" w:color="auto"/>
          <w:color w:val="auto"/>
        </w:rPr>
        <w:t>No Personal Liability of Directors, Officers, Employees and Shareholders</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58" w:lineRule="auto"/>
        <w:rPr>
          <w:sz w:val="20"/>
          <w:szCs w:val="20"/>
          <w:color w:val="auto"/>
        </w:rPr>
      </w:pPr>
      <w:r>
        <w:rPr>
          <w:rFonts w:ascii="Arial" w:cs="Arial" w:eastAsia="Arial" w:hAnsi="Arial"/>
          <w:sz w:val="14"/>
          <w:szCs w:val="14"/>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115.</w:t>
      </w:r>
      <w:r>
        <w:rPr>
          <w:sz w:val="20"/>
          <w:szCs w:val="20"/>
          <w:color w:val="auto"/>
        </w:rPr>
        <w:tab/>
      </w:r>
      <w:r>
        <w:rPr>
          <w:rFonts w:ascii="Arial" w:cs="Arial" w:eastAsia="Arial" w:hAnsi="Arial"/>
          <w:sz w:val="12"/>
          <w:szCs w:val="12"/>
          <w:u w:val="single" w:color="auto"/>
          <w:color w:val="auto"/>
        </w:rPr>
        <w:t>No Adverse Interpretation of Other Agreements</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116.</w:t>
      </w:r>
      <w:r>
        <w:rPr>
          <w:sz w:val="20"/>
          <w:szCs w:val="20"/>
          <w:color w:val="auto"/>
        </w:rPr>
        <w:tab/>
      </w:r>
      <w:r>
        <w:rPr>
          <w:rFonts w:ascii="Arial" w:cs="Arial" w:eastAsia="Arial" w:hAnsi="Arial"/>
          <w:sz w:val="13"/>
          <w:szCs w:val="13"/>
          <w:u w:val="single" w:color="auto"/>
          <w:color w:val="auto"/>
        </w:rPr>
        <w:t>U.S.A. PATRIOT Act</w:t>
      </w:r>
      <w:r>
        <w:rPr>
          <w:rFonts w:ascii="Arial" w:cs="Arial" w:eastAsia="Arial" w:hAnsi="Arial"/>
          <w:sz w:val="13"/>
          <w:szCs w:val="13"/>
          <w:color w:val="auto"/>
        </w:rPr>
        <w:t>.</w:t>
      </w:r>
    </w:p>
    <w:p>
      <w:pPr>
        <w:spacing w:after="0" w:line="171" w:lineRule="exact"/>
        <w:rPr>
          <w:sz w:val="20"/>
          <w:szCs w:val="20"/>
          <w:color w:val="auto"/>
        </w:rPr>
      </w:pPr>
    </w:p>
    <w:p>
      <w:pPr>
        <w:ind w:right="160" w:firstLine="498"/>
        <w:spacing w:after="0" w:line="280" w:lineRule="auto"/>
        <w:rPr>
          <w:sz w:val="20"/>
          <w:szCs w:val="20"/>
          <w:color w:val="auto"/>
        </w:rPr>
      </w:pPr>
      <w:r>
        <w:rPr>
          <w:rFonts w:ascii="Arial" w:cs="Arial" w:eastAsia="Arial" w:hAnsi="Arial"/>
          <w:sz w:val="13"/>
          <w:szCs w:val="13"/>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13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117.</w:t>
      </w:r>
      <w:r>
        <w:rPr>
          <w:sz w:val="20"/>
          <w:szCs w:val="20"/>
          <w:color w:val="auto"/>
        </w:rPr>
        <w:tab/>
      </w:r>
      <w:r>
        <w:rPr>
          <w:rFonts w:ascii="Arial" w:cs="Arial" w:eastAsia="Arial" w:hAnsi="Arial"/>
          <w:sz w:val="12"/>
          <w:szCs w:val="12"/>
          <w:u w:val="single" w:color="auto"/>
          <w:color w:val="auto"/>
        </w:rPr>
        <w:t>Payment in Required Currency; Judgment Currency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2" w:lineRule="auto"/>
        <w:rPr>
          <w:sz w:val="20"/>
          <w:szCs w:val="20"/>
          <w:color w:val="auto"/>
        </w:rPr>
      </w:pPr>
      <w:r>
        <w:rPr>
          <w:rFonts w:ascii="Arial" w:cs="Arial" w:eastAsia="Arial" w:hAnsi="Arial"/>
          <w:sz w:val="13"/>
          <w:szCs w:val="13"/>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94" w:name="page95"/>
    <w:bookmarkEnd w:id="94"/>
    <w:p>
      <w:pPr>
        <w:jc w:val="both"/>
        <w:ind w:right="240"/>
        <w:spacing w:after="0" w:line="353" w:lineRule="auto"/>
        <w:rPr>
          <w:sz w:val="20"/>
          <w:szCs w:val="20"/>
          <w:color w:val="auto"/>
        </w:rPr>
      </w:pPr>
      <w:r>
        <w:rPr>
          <w:rFonts w:ascii="Arial" w:cs="Arial" w:eastAsia="Arial" w:hAnsi="Arial"/>
          <w:sz w:val="12"/>
          <w:szCs w:val="12"/>
          <w:color w:val="auto"/>
        </w:rPr>
        <w:t>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9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118.</w:t>
      </w:r>
      <w:r>
        <w:rPr>
          <w:sz w:val="20"/>
          <w:szCs w:val="20"/>
          <w:color w:val="auto"/>
        </w:rPr>
        <w:tab/>
      </w:r>
      <w:r>
        <w:rPr>
          <w:rFonts w:ascii="Arial" w:cs="Arial" w:eastAsia="Arial" w:hAnsi="Arial"/>
          <w:sz w:val="12"/>
          <w:szCs w:val="12"/>
          <w:u w:val="single" w:color="auto"/>
          <w:color w:val="auto"/>
        </w:rPr>
        <w:t>Language of Notices, Etc</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119.</w:t>
      </w:r>
      <w:r>
        <w:rPr>
          <w:sz w:val="20"/>
          <w:szCs w:val="20"/>
          <w:color w:val="auto"/>
        </w:rPr>
        <w:tab/>
      </w:r>
      <w:r>
        <w:rPr>
          <w:rFonts w:ascii="Arial" w:cs="Arial" w:eastAsia="Arial" w:hAnsi="Arial"/>
          <w:sz w:val="12"/>
          <w:szCs w:val="12"/>
          <w:u w:val="single" w:color="auto"/>
          <w:color w:val="auto"/>
        </w:rPr>
        <w:t>Counterpart Originals</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The parties may sign any number of copies of the Indenture, and each party hereto may sign any number of separate copies of the Indenture. Each signed copy shall be an original, but all of them together represent the same agreement. The exchange of copies of the Indenture and of signature pages by facsimile or PDF transmission shall constitute effective execution and delivery of the Indenture as to the parties hereto and may be used in lieu of the original Indenture for all purposes. Signatures of the parties hereto transmitted by facsimile or PDF shall be deemed to be their original signatures for all purposes.</w:t>
      </w:r>
    </w:p>
    <w:p>
      <w:pPr>
        <w:spacing w:after="0" w:line="14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TWO</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NOTE FORMS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201.</w:t>
      </w:r>
      <w:r>
        <w:rPr>
          <w:sz w:val="20"/>
          <w:szCs w:val="20"/>
          <w:color w:val="auto"/>
        </w:rPr>
        <w:tab/>
      </w:r>
      <w:r>
        <w:rPr>
          <w:rFonts w:ascii="Arial" w:cs="Arial" w:eastAsia="Arial" w:hAnsi="Arial"/>
          <w:sz w:val="12"/>
          <w:szCs w:val="12"/>
          <w:u w:val="single" w:color="auto"/>
          <w:color w:val="auto"/>
        </w:rPr>
        <w:t>Forms Generally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The Notes and the Trustee’s certificate of authentication shall be in substantially the respective forms set forth in Annex A hereto, and the notations of Guarantee shall be in substantially the form set forth in Annex B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48"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As provided in Section 203, the Notes shall be issued initially in the form of one or more Global Notes, which shall be deposited with the Trustee, as Securities Custodian for the Depositary.</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202.</w:t>
      </w:r>
      <w:r>
        <w:rPr>
          <w:sz w:val="20"/>
          <w:szCs w:val="20"/>
          <w:color w:val="auto"/>
        </w:rPr>
        <w:tab/>
      </w:r>
      <w:r>
        <w:rPr>
          <w:rFonts w:ascii="Arial" w:cs="Arial" w:eastAsia="Arial" w:hAnsi="Arial"/>
          <w:sz w:val="12"/>
          <w:szCs w:val="12"/>
          <w:u w:val="single" w:color="auto"/>
          <w:color w:val="auto"/>
        </w:rPr>
        <w:t>Legends for Notes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Every Global Note authenticated and delivered under the Indenture shall bear a legend in substantially the following form: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95" w:name="page96"/>
    <w:bookmarkEnd w:id="95"/>
    <w:p>
      <w:pPr>
        <w:ind w:right="100"/>
        <w:spacing w:after="0" w:line="256" w:lineRule="auto"/>
        <w:rPr>
          <w:sz w:val="20"/>
          <w:szCs w:val="20"/>
          <w:color w:val="auto"/>
        </w:rPr>
      </w:pPr>
      <w:r>
        <w:rPr>
          <w:rFonts w:ascii="Arial" w:cs="Arial" w:eastAsia="Arial" w:hAnsi="Arial"/>
          <w:sz w:val="14"/>
          <w:szCs w:val="14"/>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43"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203.</w:t>
      </w:r>
      <w:r>
        <w:rPr>
          <w:sz w:val="20"/>
          <w:szCs w:val="20"/>
          <w:color w:val="auto"/>
        </w:rPr>
        <w:tab/>
      </w:r>
      <w:r>
        <w:rPr>
          <w:rFonts w:ascii="Arial" w:cs="Arial" w:eastAsia="Arial" w:hAnsi="Arial"/>
          <w:sz w:val="12"/>
          <w:szCs w:val="12"/>
          <w:u w:val="single" w:color="auto"/>
          <w:color w:val="auto"/>
        </w:rPr>
        <w:t>Global Notes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The Notes are being issued pursuant to an exercise of rights to acquire the Notes obtained in an offering exempt from registration under the Securities Act in reliance on Section 1145 of the Bankruptcy Law, in the form of a permanent Global Note substantially in the form of Annex A, including appropriate legends as set forth in Section 202, duly executed by the Issuer and authenticated by the Trustee as herein provided and deposited upon issuance with the Trustee, as Securities Custodian. The Global Note may be represented by more than one certificate, if so required by DTC’s rules regarding the maximum principal amount to be represented by a single certificate. The aggregate principal amount of the Global Note may from time to time be increased or decreased by adjustments made on the records of the Trustee, as Securities Custodian, as hereinafter provided.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THREE</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THE NOTES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301.</w:t>
      </w:r>
      <w:r>
        <w:rPr>
          <w:sz w:val="20"/>
          <w:szCs w:val="20"/>
          <w:color w:val="auto"/>
        </w:rPr>
        <w:tab/>
      </w:r>
      <w:r>
        <w:rPr>
          <w:rFonts w:ascii="Arial" w:cs="Arial" w:eastAsia="Arial" w:hAnsi="Arial"/>
          <w:sz w:val="12"/>
          <w:szCs w:val="12"/>
          <w:u w:val="single" w:color="auto"/>
          <w:color w:val="auto"/>
        </w:rPr>
        <w:t>Title and Terms</w:t>
      </w:r>
      <w:r>
        <w:rPr>
          <w:rFonts w:ascii="Arial" w:cs="Arial" w:eastAsia="Arial" w:hAnsi="Arial"/>
          <w:sz w:val="12"/>
          <w:szCs w:val="12"/>
          <w:color w:val="auto"/>
        </w:rPr>
        <w:t>.</w:t>
      </w:r>
    </w:p>
    <w:p>
      <w:pPr>
        <w:spacing w:after="0" w:line="17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The Notes shall be entitled the “11.00% Senior Notes due 2024.” The Trustee shall authenticate and deliver on the Issue Date $[2,100,000,000] in aggregate principal amount of the Notes, upon delivery of an Issuer Order.</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1" w:right="279" w:bottom="1440" w:gutter="0" w:footer="0" w:header="0"/>
        </w:sectPr>
      </w:pPr>
    </w:p>
    <w:bookmarkStart w:id="96" w:name="page97"/>
    <w:bookmarkEnd w:id="96"/>
    <w:p>
      <w:pPr>
        <w:jc w:val="both"/>
        <w:ind w:right="120" w:firstLine="498"/>
        <w:spacing w:after="0" w:line="321" w:lineRule="auto"/>
        <w:rPr>
          <w:sz w:val="20"/>
          <w:szCs w:val="20"/>
          <w:color w:val="auto"/>
        </w:rPr>
      </w:pPr>
      <w:r>
        <w:rPr>
          <w:rFonts w:ascii="Arial" w:cs="Arial" w:eastAsia="Arial" w:hAnsi="Arial"/>
          <w:sz w:val="12"/>
          <w:szCs w:val="12"/>
          <w:color w:val="auto"/>
        </w:rPr>
        <w:t>The Notes will mature on [·](6), 2024. Interest on the Notes will accrue at the rate of 11% per annum, and will be payable semiannually in cash on each [·] and [·], commencing on [·], 2019 in the case of the Notes, to the Persons who are registered Holders of Notes at the close of business on the [·] and [·]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10"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Notes shall be redeemable as provided in Article Eleven and subject to Legal Defeasance and Covenant Defeasance as provided in Article Thirteen. The Notes shall have such other terms as are indicated in Annex A.</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302.</w:t>
      </w:r>
      <w:r>
        <w:rPr>
          <w:sz w:val="20"/>
          <w:szCs w:val="20"/>
          <w:color w:val="auto"/>
        </w:rPr>
        <w:tab/>
      </w:r>
      <w:r>
        <w:rPr>
          <w:rFonts w:ascii="Arial" w:cs="Arial" w:eastAsia="Arial" w:hAnsi="Arial"/>
          <w:sz w:val="12"/>
          <w:szCs w:val="12"/>
          <w:u w:val="single" w:color="auto"/>
          <w:color w:val="auto"/>
        </w:rPr>
        <w:t>Denominations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Notes shall be issuable only in fully registered form without coupons and only in denominations of $2,000 and any integral multiple of $1,000 in excess thereof.</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303.</w:t>
      </w:r>
      <w:r>
        <w:rPr>
          <w:sz w:val="20"/>
          <w:szCs w:val="20"/>
          <w:color w:val="auto"/>
        </w:rPr>
        <w:tab/>
      </w:r>
      <w:r>
        <w:rPr>
          <w:rFonts w:ascii="Arial" w:cs="Arial" w:eastAsia="Arial" w:hAnsi="Arial"/>
          <w:sz w:val="12"/>
          <w:szCs w:val="12"/>
          <w:u w:val="single" w:color="auto"/>
          <w:color w:val="auto"/>
        </w:rPr>
        <w:t>Execution, Authentication, Delivery and Dating</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If the Issuer elects to reproduce its corporate seal on the Notes, then such seal may be in the form of a facsimile thereof and may be impressed, affixed, imprinted or otherwise reproduced on the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62"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38" w:lineRule="exact"/>
        <w:rPr>
          <w:sz w:val="20"/>
          <w:szCs w:val="20"/>
          <w:color w:val="auto"/>
        </w:rPr>
      </w:pPr>
    </w:p>
    <w:p>
      <w:pPr>
        <w:ind w:right="720" w:firstLine="498"/>
        <w:spacing w:after="0" w:line="353" w:lineRule="auto"/>
        <w:rPr>
          <w:sz w:val="20"/>
          <w:szCs w:val="20"/>
          <w:color w:val="auto"/>
        </w:rPr>
      </w:pPr>
      <w:r>
        <w:rPr>
          <w:rFonts w:ascii="Arial" w:cs="Arial" w:eastAsia="Arial" w:hAnsi="Arial"/>
          <w:sz w:val="12"/>
          <w:szCs w:val="12"/>
          <w:color w:val="auto"/>
        </w:rPr>
        <w:t>At any time and from time to time after the execution and delivery of the Indenture and as provided in Section 301, the Issuer may deliver Notes executed by the Issuer to the Trustee for authentication, together with an Issuer Order for the authentication and delivery of such Notes, and the Trustee in accordance with the Issuer Order shall authenticate and deliver such Notes.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Each Note shall be dated the date of its authentication.</w:t>
      </w:r>
    </w:p>
    <w:p>
      <w:pPr>
        <w:spacing w:after="0" w:line="171" w:lineRule="exact"/>
        <w:rPr>
          <w:sz w:val="20"/>
          <w:szCs w:val="20"/>
          <w:color w:val="auto"/>
        </w:rPr>
      </w:pPr>
    </w:p>
    <w:p>
      <w:pPr>
        <w:ind w:right="160" w:firstLine="498"/>
        <w:spacing w:after="0" w:line="258" w:lineRule="auto"/>
        <w:rPr>
          <w:sz w:val="20"/>
          <w:szCs w:val="20"/>
          <w:color w:val="auto"/>
        </w:rPr>
      </w:pPr>
      <w:r>
        <w:rPr>
          <w:rFonts w:ascii="Arial" w:cs="Arial" w:eastAsia="Arial" w:hAnsi="Arial"/>
          <w:sz w:val="14"/>
          <w:szCs w:val="14"/>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 hereunder.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8313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01" w:lineRule="exact"/>
        <w:rPr>
          <w:sz w:val="20"/>
          <w:szCs w:val="20"/>
          <w:color w:val="auto"/>
        </w:rPr>
      </w:pPr>
    </w:p>
    <w:p>
      <w:pPr>
        <w:ind w:right="380" w:firstLine="3"/>
        <w:spacing w:after="0" w:line="268" w:lineRule="auto"/>
        <w:tabs>
          <w:tab w:leader="none" w:pos="23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NTD: to be 5 years from the Effective Date of the Plan - “Effective Date” means the first Business Day on which the conditions specified in Article IX of this Plan, have been satisfied or waived in accordance with the terms of Article IX.</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97" w:name="page98"/>
    <w:bookmarkEnd w:id="97"/>
    <w:p>
      <w:pPr>
        <w:ind w:right="60"/>
        <w:spacing w:after="0" w:line="353" w:lineRule="auto"/>
        <w:rPr>
          <w:sz w:val="20"/>
          <w:szCs w:val="20"/>
          <w:color w:val="auto"/>
        </w:rPr>
      </w:pPr>
      <w:r>
        <w:rPr>
          <w:rFonts w:ascii="Arial" w:cs="Arial" w:eastAsia="Arial" w:hAnsi="Arial"/>
          <w:sz w:val="12"/>
          <w:szCs w:val="12"/>
          <w:color w:val="auto"/>
        </w:rPr>
        <w:t>the foregoing, if any Note shall have been authenticated and delivered hereunder but never issued and sold by the Issuer, and the Issuer shall deliver such Note to the Trustee for cancellation as provided in Section 309, for all purposes of the Indenture such Note shall be deemed never to have been authenticated and delivered hereunder and shall never be entitled to the benefits of the Indenture.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304.</w:t>
      </w:r>
      <w:r>
        <w:rPr>
          <w:sz w:val="20"/>
          <w:szCs w:val="20"/>
          <w:color w:val="auto"/>
        </w:rPr>
        <w:tab/>
      </w:r>
      <w:r>
        <w:rPr>
          <w:rFonts w:ascii="Arial" w:cs="Arial" w:eastAsia="Arial" w:hAnsi="Arial"/>
          <w:sz w:val="12"/>
          <w:szCs w:val="12"/>
          <w:u w:val="single" w:color="auto"/>
          <w:color w:val="auto"/>
        </w:rPr>
        <w:t>Temporary Notes</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58" w:lineRule="auto"/>
        <w:rPr>
          <w:sz w:val="20"/>
          <w:szCs w:val="20"/>
          <w:color w:val="auto"/>
        </w:rPr>
      </w:pPr>
      <w:r>
        <w:rPr>
          <w:rFonts w:ascii="Arial" w:cs="Arial" w:eastAsia="Arial" w:hAnsi="Arial"/>
          <w:sz w:val="14"/>
          <w:szCs w:val="14"/>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45" w:lineRule="exact"/>
        <w:rPr>
          <w:sz w:val="20"/>
          <w:szCs w:val="20"/>
          <w:color w:val="auto"/>
        </w:rPr>
      </w:pPr>
    </w:p>
    <w:p>
      <w:pPr>
        <w:ind w:right="20" w:firstLine="498"/>
        <w:spacing w:after="0" w:line="252" w:lineRule="auto"/>
        <w:rPr>
          <w:sz w:val="20"/>
          <w:szCs w:val="20"/>
          <w:color w:val="auto"/>
        </w:rPr>
      </w:pPr>
      <w:r>
        <w:rPr>
          <w:rFonts w:ascii="Arial" w:cs="Arial" w:eastAsia="Arial" w:hAnsi="Arial"/>
          <w:sz w:val="14"/>
          <w:szCs w:val="14"/>
          <w:color w:val="auto"/>
        </w:rPr>
        <w:t>If temporary Notes are issued, the Issuer will cause definitive Notes in either global or certificated form, as appropriate, in each case, in registered form,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 temporary Notes shall in all respects be entitled to the same benefits under the Indenture as definitive Notes.</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305.</w:t>
      </w:r>
      <w:r>
        <w:rPr>
          <w:sz w:val="20"/>
          <w:szCs w:val="20"/>
          <w:color w:val="auto"/>
        </w:rPr>
        <w:tab/>
      </w:r>
      <w:r>
        <w:rPr>
          <w:rFonts w:ascii="Arial" w:cs="Arial" w:eastAsia="Arial" w:hAnsi="Arial"/>
          <w:sz w:val="12"/>
          <w:szCs w:val="12"/>
          <w:u w:val="single" w:color="auto"/>
          <w:color w:val="auto"/>
        </w:rPr>
        <w:t>Registrar, Global Notes and Definitive Notes</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58" w:lineRule="auto"/>
        <w:rPr>
          <w:sz w:val="20"/>
          <w:szCs w:val="20"/>
          <w:color w:val="auto"/>
        </w:rPr>
      </w:pPr>
      <w:r>
        <w:rPr>
          <w:rFonts w:ascii="Arial" w:cs="Arial" w:eastAsia="Arial" w:hAnsi="Arial"/>
          <w:sz w:val="14"/>
          <w:szCs w:val="14"/>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Book-Entry Provisions</w:t>
      </w:r>
      <w:r>
        <w:rPr>
          <w:rFonts w:ascii="Arial" w:cs="Arial" w:eastAsia="Arial" w:hAnsi="Arial"/>
          <w:sz w:val="14"/>
          <w:szCs w:val="14"/>
          <w:color w:val="auto"/>
        </w:rPr>
        <w:t>. The provisions of clauses (1) through (6) below shall apply only to Global Notes:</w:t>
      </w:r>
    </w:p>
    <w:p>
      <w:pPr>
        <w:spacing w:after="0" w:line="171" w:lineRule="exact"/>
        <w:rPr>
          <w:sz w:val="20"/>
          <w:szCs w:val="20"/>
          <w:color w:val="auto"/>
        </w:rPr>
      </w:pPr>
    </w:p>
    <w:p>
      <w:pPr>
        <w:ind w:left="500" w:firstLine="499"/>
        <w:spacing w:after="0" w:line="252" w:lineRule="auto"/>
        <w:tabs>
          <w:tab w:leader="none" w:pos="1501"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202. Transfers of a Global Note (but not a beneficial interest therein).will be limited to transfers thereof in whole, but not in part, to the Depositary, its successors or their respective nominees, except as set forth in this Section 305.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40"/>
          </w:cols>
          <w:pgMar w:left="220" w:top="295" w:right="339" w:bottom="1440" w:gutter="0" w:footer="0" w:header="0"/>
        </w:sectPr>
      </w:pPr>
    </w:p>
    <w:bookmarkStart w:id="98" w:name="page99"/>
    <w:bookmarkEnd w:id="98"/>
    <w:p>
      <w:pPr>
        <w:ind w:right="40"/>
        <w:spacing w:after="0" w:line="254" w:lineRule="auto"/>
        <w:rPr>
          <w:sz w:val="20"/>
          <w:szCs w:val="20"/>
          <w:color w:val="auto"/>
        </w:rPr>
      </w:pPr>
      <w:r>
        <w:rPr>
          <w:rFonts w:ascii="Arial" w:cs="Arial" w:eastAsia="Arial" w:hAnsi="Arial"/>
          <w:sz w:val="14"/>
          <w:szCs w:val="14"/>
          <w:color w:val="auto"/>
        </w:rPr>
        <w:t>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48" w:lineRule="exact"/>
        <w:rPr>
          <w:sz w:val="20"/>
          <w:szCs w:val="20"/>
          <w:color w:val="auto"/>
        </w:rPr>
      </w:pPr>
    </w:p>
    <w:p>
      <w:pPr>
        <w:ind w:right="20" w:firstLine="499"/>
        <w:spacing w:after="0" w:line="252" w:lineRule="auto"/>
        <w:tabs>
          <w:tab w:leader="none" w:pos="1001"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and any agent of the Issuer, the Guarantors or the Trustee as the absolute owner of such Global Note for all purposes whatsoever. Notwithstanding the foregoing, nothing herein shall prevent the Issuer, the Guarantors, the Trustee or any agent of the Issuer, the Guarantors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50" w:lineRule="exact"/>
        <w:rPr>
          <w:rFonts w:ascii="Arial" w:cs="Arial" w:eastAsia="Arial" w:hAnsi="Arial"/>
          <w:sz w:val="14"/>
          <w:szCs w:val="14"/>
          <w:color w:val="auto"/>
        </w:rPr>
      </w:pPr>
    </w:p>
    <w:p>
      <w:pPr>
        <w:ind w:firstLine="499"/>
        <w:spacing w:after="0" w:line="321" w:lineRule="auto"/>
        <w:tabs>
          <w:tab w:leader="none" w:pos="1001"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connection with any transfer of a portion of the beneficial interest in a Global Note pursuant to this Article Three to beneficial owners who are required to hold Definitive Notes, the Securities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10" w:lineRule="exact"/>
        <w:rPr>
          <w:rFonts w:ascii="Arial" w:cs="Arial" w:eastAsia="Arial" w:hAnsi="Arial"/>
          <w:sz w:val="12"/>
          <w:szCs w:val="12"/>
          <w:color w:val="auto"/>
        </w:rPr>
      </w:pPr>
    </w:p>
    <w:p>
      <w:pPr>
        <w:jc w:val="both"/>
        <w:ind w:right="60" w:firstLine="499"/>
        <w:spacing w:after="0" w:line="258" w:lineRule="auto"/>
        <w:tabs>
          <w:tab w:leader="none" w:pos="1001"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connection with the transfer of an entire Global Note to beneficial owners pursuant to this this Article Three,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44" w:lineRule="exact"/>
        <w:rPr>
          <w:rFonts w:ascii="Arial" w:cs="Arial" w:eastAsia="Arial" w:hAnsi="Arial"/>
          <w:sz w:val="14"/>
          <w:szCs w:val="14"/>
          <w:color w:val="auto"/>
        </w:rPr>
      </w:pPr>
    </w:p>
    <w:p>
      <w:pPr>
        <w:ind w:right="380" w:firstLine="499"/>
        <w:spacing w:after="0" w:line="268" w:lineRule="auto"/>
        <w:tabs>
          <w:tab w:leader="none" w:pos="100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38" w:lineRule="exact"/>
        <w:rPr>
          <w:rFonts w:ascii="Arial" w:cs="Arial" w:eastAsia="Arial" w:hAnsi="Arial"/>
          <w:sz w:val="14"/>
          <w:szCs w:val="14"/>
          <w:color w:val="auto"/>
        </w:rPr>
      </w:pPr>
    </w:p>
    <w:p>
      <w:pPr>
        <w:jc w:val="both"/>
        <w:ind w:right="120" w:firstLine="499"/>
        <w:spacing w:after="0" w:line="258" w:lineRule="auto"/>
        <w:tabs>
          <w:tab w:leader="none" w:pos="1001"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4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40"/>
          </w:cols>
          <w:pgMar w:left="720" w:top="295" w:right="2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auto"/>
        </w:rPr>
        <w:t>Definitive Notes</w:t>
      </w:r>
      <w:r>
        <w:rPr>
          <w:rFonts w:ascii="Arial" w:cs="Arial" w:eastAsia="Arial" w:hAnsi="Arial"/>
          <w:sz w:val="14"/>
          <w:szCs w:val="14"/>
          <w:color w:val="auto"/>
        </w:rPr>
        <w:t>. The provision of clauses (i) — (iv) below shall apply only to Definitive Notes.</w:t>
      </w:r>
    </w:p>
    <w:p>
      <w:pPr>
        <w:spacing w:after="0" w:line="171" w:lineRule="exact"/>
        <w:rPr>
          <w:sz w:val="20"/>
          <w:szCs w:val="20"/>
          <w:color w:val="auto"/>
        </w:rPr>
      </w:pPr>
    </w:p>
    <w:p>
      <w:pPr>
        <w:ind w:firstLine="499"/>
        <w:spacing w:after="0" w:line="271" w:lineRule="auto"/>
        <w:tabs>
          <w:tab w:leader="none" w:pos="1012"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40" w:lineRule="exact"/>
        <w:rPr>
          <w:rFonts w:ascii="Arial" w:cs="Arial" w:eastAsia="Arial" w:hAnsi="Arial"/>
          <w:sz w:val="13"/>
          <w:szCs w:val="13"/>
          <w:color w:val="auto"/>
        </w:rPr>
      </w:pPr>
    </w:p>
    <w:p>
      <w:pPr>
        <w:ind w:right="60" w:firstLine="499"/>
        <w:spacing w:after="0" w:line="254" w:lineRule="auto"/>
        <w:tabs>
          <w:tab w:leader="none" w:pos="10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48" w:lineRule="exact"/>
        <w:rPr>
          <w:rFonts w:ascii="Arial" w:cs="Arial" w:eastAsia="Arial" w:hAnsi="Arial"/>
          <w:sz w:val="14"/>
          <w:szCs w:val="14"/>
          <w:color w:val="auto"/>
        </w:rPr>
      </w:pPr>
    </w:p>
    <w:p>
      <w:pPr>
        <w:ind w:right="20" w:firstLine="499"/>
        <w:spacing w:after="0" w:line="274" w:lineRule="auto"/>
        <w:tabs>
          <w:tab w:leader="none" w:pos="1027" w:val="left"/>
        </w:tabs>
        <w:numPr>
          <w:ilvl w:val="0"/>
          <w:numId w:val="49"/>
        </w:numPr>
        <w:rPr>
          <w:rFonts w:ascii="Arial" w:cs="Arial" w:eastAsia="Arial" w:hAnsi="Arial"/>
          <w:sz w:val="13"/>
          <w:szCs w:val="13"/>
          <w:color w:val="auto"/>
        </w:rPr>
      </w:pPr>
      <w:r>
        <w:rPr>
          <w:rFonts w:ascii="Arial" w:cs="Arial" w:eastAsia="Arial" w:hAnsi="Arial"/>
          <w:sz w:val="13"/>
          <w:szCs w:val="13"/>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38"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820"/>
          </w:cols>
          <w:pgMar w:left="720" w:top="295" w:right="359" w:bottom="1440" w:gutter="0" w:footer="0" w:header="0"/>
        </w:sectPr>
      </w:pPr>
    </w:p>
    <w:bookmarkStart w:id="100" w:name="page101"/>
    <w:bookmarkEnd w:id="100"/>
    <w:p>
      <w:pPr>
        <w:spacing w:after="0"/>
        <w:tabs>
          <w:tab w:leader="none" w:pos="980" w:val="left"/>
        </w:tabs>
        <w:rPr>
          <w:sz w:val="20"/>
          <w:szCs w:val="20"/>
          <w:color w:val="auto"/>
        </w:rPr>
      </w:pPr>
      <w:r>
        <w:rPr>
          <w:rFonts w:ascii="Arial" w:cs="Arial" w:eastAsia="Arial" w:hAnsi="Arial"/>
          <w:sz w:val="14"/>
          <w:szCs w:val="14"/>
          <w:color w:val="auto"/>
        </w:rPr>
        <w:t>Section 306.</w:t>
      </w:r>
      <w:r>
        <w:rPr>
          <w:sz w:val="20"/>
          <w:szCs w:val="20"/>
          <w:color w:val="auto"/>
        </w:rPr>
        <w:tab/>
      </w:r>
      <w:r>
        <w:rPr>
          <w:rFonts w:ascii="Arial" w:cs="Arial" w:eastAsia="Arial" w:hAnsi="Arial"/>
          <w:sz w:val="12"/>
          <w:szCs w:val="12"/>
          <w:u w:val="single" w:color="auto"/>
          <w:color w:val="auto"/>
        </w:rPr>
        <w:t>Mutilated, Destroyed, Lost and Stolen Notes</w:t>
      </w:r>
      <w:r>
        <w:rPr>
          <w:rFonts w:ascii="Arial" w:cs="Arial" w:eastAsia="Arial" w:hAnsi="Arial"/>
          <w:sz w:val="12"/>
          <w:szCs w:val="12"/>
          <w:color w:val="auto"/>
        </w:rPr>
        <w:t>.</w:t>
      </w:r>
    </w:p>
    <w:p>
      <w:pPr>
        <w:spacing w:after="0" w:line="17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38" w:lineRule="exact"/>
        <w:rPr>
          <w:sz w:val="20"/>
          <w:szCs w:val="20"/>
          <w:color w:val="auto"/>
        </w:rPr>
      </w:pPr>
    </w:p>
    <w:p>
      <w:pPr>
        <w:jc w:val="both"/>
        <w:ind w:firstLine="498"/>
        <w:spacing w:after="0" w:line="321" w:lineRule="auto"/>
        <w:rPr>
          <w:sz w:val="20"/>
          <w:szCs w:val="20"/>
          <w:color w:val="auto"/>
        </w:rPr>
      </w:pPr>
      <w:r>
        <w:rPr>
          <w:rFonts w:ascii="Arial" w:cs="Arial" w:eastAsia="Arial" w:hAnsi="Arial"/>
          <w:sz w:val="12"/>
          <w:szCs w:val="12"/>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 case any such mutilated, destroyed, lost or stolen Note has become or is about to become due and payable, the Issuer in its discretion may, instead of issuing a new Note, pay such Note.</w:t>
      </w:r>
    </w:p>
    <w:p>
      <w:pPr>
        <w:spacing w:after="0" w:line="194" w:lineRule="exact"/>
        <w:rPr>
          <w:sz w:val="20"/>
          <w:szCs w:val="20"/>
          <w:color w:val="auto"/>
        </w:rPr>
      </w:pPr>
    </w:p>
    <w:p>
      <w:pPr>
        <w:jc w:val="both"/>
        <w:ind w:firstLine="498"/>
        <w:spacing w:after="0" w:line="268" w:lineRule="auto"/>
        <w:rPr>
          <w:sz w:val="20"/>
          <w:szCs w:val="20"/>
          <w:color w:val="auto"/>
        </w:rPr>
      </w:pPr>
      <w:r>
        <w:rPr>
          <w:rFonts w:ascii="Arial" w:cs="Arial" w:eastAsia="Arial" w:hAnsi="Arial"/>
          <w:sz w:val="14"/>
          <w:szCs w:val="14"/>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38" w:lineRule="exact"/>
        <w:rPr>
          <w:sz w:val="20"/>
          <w:szCs w:val="20"/>
          <w:color w:val="auto"/>
        </w:rPr>
      </w:pPr>
    </w:p>
    <w:p>
      <w:pPr>
        <w:ind w:right="120" w:firstLine="498"/>
        <w:spacing w:after="0" w:line="353" w:lineRule="auto"/>
        <w:rPr>
          <w:sz w:val="20"/>
          <w:szCs w:val="20"/>
          <w:color w:val="auto"/>
        </w:rPr>
      </w:pPr>
      <w:r>
        <w:rPr>
          <w:rFonts w:ascii="Arial" w:cs="Arial" w:eastAsia="Arial" w:hAnsi="Arial"/>
          <w:sz w:val="12"/>
          <w:szCs w:val="12"/>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provisions of this Section are exclusive and shall preclude (to the extent lawful) all other rights and remedies with respect to the replacement or payment of mutilated, destroyed, lost or stolen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307.</w:t>
      </w:r>
      <w:r>
        <w:rPr>
          <w:sz w:val="20"/>
          <w:szCs w:val="20"/>
          <w:color w:val="auto"/>
        </w:rPr>
        <w:tab/>
      </w:r>
      <w:r>
        <w:rPr>
          <w:rFonts w:ascii="Arial" w:cs="Arial" w:eastAsia="Arial" w:hAnsi="Arial"/>
          <w:sz w:val="12"/>
          <w:szCs w:val="12"/>
          <w:u w:val="single" w:color="auto"/>
          <w:color w:val="auto"/>
        </w:rPr>
        <w:t>Payment of Interest; Interest Rights Preserved</w:t>
      </w:r>
      <w:r>
        <w:rPr>
          <w:rFonts w:ascii="Arial" w:cs="Arial" w:eastAsia="Arial" w:hAnsi="Arial"/>
          <w:sz w:val="12"/>
          <w:szCs w:val="12"/>
          <w:color w:val="auto"/>
        </w:rPr>
        <w:t>.</w:t>
      </w:r>
    </w:p>
    <w:p>
      <w:pPr>
        <w:spacing w:after="0" w:line="171" w:lineRule="exact"/>
        <w:rPr>
          <w:sz w:val="20"/>
          <w:szCs w:val="20"/>
          <w:color w:val="auto"/>
        </w:rPr>
      </w:pPr>
    </w:p>
    <w:p>
      <w:pPr>
        <w:jc w:val="both"/>
        <w:ind w:right="80" w:firstLine="498"/>
        <w:spacing w:after="0" w:line="254" w:lineRule="auto"/>
        <w:rPr>
          <w:sz w:val="20"/>
          <w:szCs w:val="20"/>
          <w:color w:val="auto"/>
        </w:rPr>
      </w:pPr>
      <w:r>
        <w:rPr>
          <w:rFonts w:ascii="Arial" w:cs="Arial" w:eastAsia="Arial" w:hAnsi="Arial"/>
          <w:sz w:val="14"/>
          <w:szCs w:val="14"/>
          <w:color w:val="auto"/>
        </w:rPr>
        <w:t>If the Issuer defaults in a payment of principal, interest or premium, if any, on the Notes, the Issuer shall pay defaulted interest (plus interest on such defaulted interest to the extent lawful) in any lawful manner at the rate provided in the Notes (“Defaulted Interest”). The Issuer may pay the Defaulted Interest to the Persons who are Holders on a subsequent special record date. The Issuer shall fix or cause to be fixed any such special record date and payment date to the reasonable satisfaction of the Trustee and shall promptly mail to each Holder a notice that states the special record date, the payment date and the amount of Defaulted Interest to be paid.</w:t>
      </w:r>
    </w:p>
    <w:p>
      <w:pPr>
        <w:spacing w:after="0" w:line="148"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101" w:name="page102"/>
    <w:bookmarkEnd w:id="101"/>
    <w:p>
      <w:pPr>
        <w:spacing w:after="0"/>
        <w:tabs>
          <w:tab w:leader="none" w:pos="980" w:val="left"/>
        </w:tabs>
        <w:rPr>
          <w:sz w:val="20"/>
          <w:szCs w:val="20"/>
          <w:color w:val="auto"/>
        </w:rPr>
      </w:pPr>
      <w:r>
        <w:rPr>
          <w:rFonts w:ascii="Arial" w:cs="Arial" w:eastAsia="Arial" w:hAnsi="Arial"/>
          <w:sz w:val="14"/>
          <w:szCs w:val="14"/>
          <w:color w:val="auto"/>
        </w:rPr>
        <w:t>Section 308.</w:t>
      </w:r>
      <w:r>
        <w:rPr>
          <w:sz w:val="20"/>
          <w:szCs w:val="20"/>
          <w:color w:val="auto"/>
        </w:rPr>
        <w:tab/>
      </w:r>
      <w:r>
        <w:rPr>
          <w:rFonts w:ascii="Arial" w:cs="Arial" w:eastAsia="Arial" w:hAnsi="Arial"/>
          <w:sz w:val="12"/>
          <w:szCs w:val="12"/>
          <w:u w:val="single" w:color="auto"/>
          <w:color w:val="auto"/>
        </w:rPr>
        <w:t>Persons Deemed Owners</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54" w:lineRule="auto"/>
        <w:rPr>
          <w:sz w:val="20"/>
          <w:szCs w:val="20"/>
          <w:color w:val="auto"/>
        </w:rPr>
      </w:pPr>
      <w:r>
        <w:rPr>
          <w:rFonts w:ascii="Arial" w:cs="Arial" w:eastAsia="Arial" w:hAnsi="Arial"/>
          <w:sz w:val="14"/>
          <w:szCs w:val="14"/>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307)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48"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309.</w:t>
      </w:r>
      <w:r>
        <w:rPr>
          <w:sz w:val="20"/>
          <w:szCs w:val="20"/>
          <w:color w:val="auto"/>
        </w:rPr>
        <w:tab/>
      </w:r>
      <w:r>
        <w:rPr>
          <w:rFonts w:ascii="Arial" w:cs="Arial" w:eastAsia="Arial" w:hAnsi="Arial"/>
          <w:sz w:val="12"/>
          <w:szCs w:val="12"/>
          <w:u w:val="single" w:color="auto"/>
          <w:color w:val="auto"/>
        </w:rPr>
        <w:t>Cancellation</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76" w:lineRule="auto"/>
        <w:rPr>
          <w:sz w:val="20"/>
          <w:szCs w:val="20"/>
          <w:color w:val="auto"/>
        </w:rPr>
      </w:pPr>
      <w:r>
        <w:rPr>
          <w:rFonts w:ascii="Arial" w:cs="Arial" w:eastAsia="Arial" w:hAnsi="Arial"/>
          <w:sz w:val="13"/>
          <w:szCs w:val="13"/>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provisions or as directed by an Issuer Order.</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310.</w:t>
      </w:r>
      <w:r>
        <w:rPr>
          <w:sz w:val="20"/>
          <w:szCs w:val="20"/>
          <w:color w:val="auto"/>
        </w:rPr>
        <w:tab/>
      </w:r>
      <w:r>
        <w:rPr>
          <w:rFonts w:ascii="Arial" w:cs="Arial" w:eastAsia="Arial" w:hAnsi="Arial"/>
          <w:sz w:val="12"/>
          <w:szCs w:val="12"/>
          <w:u w:val="single" w:color="auto"/>
          <w:color w:val="auto"/>
        </w:rPr>
        <w:t>Computation of Interest</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on the Notes shall be computed on the basis of a 360-day year of twelve 30-day months.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311.</w:t>
      </w:r>
      <w:r>
        <w:rPr>
          <w:sz w:val="20"/>
          <w:szCs w:val="20"/>
          <w:color w:val="auto"/>
        </w:rPr>
        <w:tab/>
      </w:r>
      <w:r>
        <w:rPr>
          <w:rFonts w:ascii="Arial" w:cs="Arial" w:eastAsia="Arial" w:hAnsi="Arial"/>
          <w:sz w:val="12"/>
          <w:szCs w:val="12"/>
          <w:u w:val="single" w:color="auto"/>
          <w:color w:val="auto"/>
        </w:rPr>
        <w:t>Transfer and Exchange</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311. The Trustee shall promptly register any transfer or exchange that meets the requirements of this Section 311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311 and Section 203, as applicable, and, in the case of a Global Note (or a beneficial interest therein), the applicable rules and procedures of the Depository. The Trustee shall refuse to register any requested transfer or exchange that does not comply with this paragraph.</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02" w:name="page103"/>
    <w:bookmarkEnd w:id="102"/>
    <w:p>
      <w:pPr>
        <w:ind w:right="20" w:firstLine="498"/>
        <w:spacing w:after="0" w:line="307" w:lineRule="auto"/>
        <w:rPr>
          <w:sz w:val="20"/>
          <w:szCs w:val="20"/>
          <w:color w:val="auto"/>
        </w:rPr>
      </w:pPr>
      <w:r>
        <w:rPr>
          <w:rFonts w:ascii="Arial" w:cs="Arial" w:eastAsia="Arial" w:hAnsi="Arial"/>
          <w:sz w:val="13"/>
          <w:szCs w:val="13"/>
          <w:u w:val="single" w:color="auto"/>
          <w:color w:val="auto"/>
        </w:rPr>
        <w:t>Retention of Written Communications</w:t>
      </w:r>
      <w:r>
        <w:rPr>
          <w:rFonts w:ascii="Arial" w:cs="Arial" w:eastAsia="Arial" w:hAnsi="Arial"/>
          <w:sz w:val="13"/>
          <w:szCs w:val="13"/>
          <w:color w:val="auto"/>
        </w:rPr>
        <w:t>. The Registrar shall retain copies of all letters, notices and other written communications received pursuant to this Section 311. The Issuer shall have the right to inspect and make copies of all such letters, notices or other written communications at any reasonable time upon the giving of reasonable prior written notice to the Registrar.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Obligations with Respect to Transfers and Exchanges of Notes</w:t>
      </w:r>
      <w:r>
        <w:rPr>
          <w:rFonts w:ascii="Arial" w:cs="Arial" w:eastAsia="Arial" w:hAnsi="Arial"/>
          <w:sz w:val="14"/>
          <w:szCs w:val="14"/>
          <w:color w:val="auto"/>
        </w:rPr>
        <w:t>.</w:t>
      </w:r>
    </w:p>
    <w:p>
      <w:pPr>
        <w:spacing w:after="0" w:line="171" w:lineRule="exact"/>
        <w:rPr>
          <w:sz w:val="20"/>
          <w:szCs w:val="20"/>
          <w:color w:val="auto"/>
        </w:rPr>
      </w:pPr>
    </w:p>
    <w:p>
      <w:pPr>
        <w:ind w:left="500" w:right="540" w:firstLine="499"/>
        <w:spacing w:after="0" w:line="268" w:lineRule="auto"/>
        <w:tabs>
          <w:tab w:leader="none" w:pos="1492"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 permit registrations of transfers and exchanges, the Issuer shall, subject to the other terms and conditions of this Article Two, execute and the Trustee shall authenticate Definitive Notes and Global Notes at the Registrar’s request.</w:t>
      </w:r>
    </w:p>
    <w:p>
      <w:pPr>
        <w:spacing w:after="0" w:line="138" w:lineRule="exact"/>
        <w:rPr>
          <w:rFonts w:ascii="Arial" w:cs="Arial" w:eastAsia="Arial" w:hAnsi="Arial"/>
          <w:sz w:val="14"/>
          <w:szCs w:val="14"/>
          <w:color w:val="auto"/>
        </w:rPr>
      </w:pPr>
    </w:p>
    <w:p>
      <w:pPr>
        <w:ind w:left="500" w:right="20" w:firstLine="499"/>
        <w:spacing w:after="0" w:line="258" w:lineRule="auto"/>
        <w:tabs>
          <w:tab w:leader="none" w:pos="1499"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304, 906, 1007, 1012 or 1108 not involving any transfer).</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Issuer (and the Registrar) shall not be required to register the transfer of or exchange of any Note</w:t>
      </w:r>
    </w:p>
    <w:p>
      <w:pPr>
        <w:spacing w:after="0" w:line="170" w:lineRule="exact"/>
        <w:rPr>
          <w:rFonts w:ascii="Arial" w:cs="Arial" w:eastAsia="Arial" w:hAnsi="Arial"/>
          <w:sz w:val="14"/>
          <w:szCs w:val="14"/>
          <w:color w:val="auto"/>
        </w:rPr>
      </w:pPr>
    </w:p>
    <w:p>
      <w:pPr>
        <w:ind w:left="1000" w:right="20" w:firstLine="497"/>
        <w:spacing w:after="0" w:line="268" w:lineRule="auto"/>
        <w:tabs>
          <w:tab w:leader="none" w:pos="2011"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138" w:lineRule="exact"/>
        <w:rPr>
          <w:rFonts w:ascii="Arial" w:cs="Arial" w:eastAsia="Arial" w:hAnsi="Arial"/>
          <w:sz w:val="14"/>
          <w:szCs w:val="14"/>
          <w:color w:val="auto"/>
        </w:rPr>
      </w:pPr>
    </w:p>
    <w:p>
      <w:pPr>
        <w:ind w:left="500" w:right="120" w:firstLine="499"/>
        <w:spacing w:after="0" w:line="321" w:lineRule="auto"/>
        <w:tabs>
          <w:tab w:leader="none" w:pos="1488"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Prior to the due presentation for registration of transfer of any Note, the Issuer, any Guarantor, the Trustee,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Paying Agent or the Registrar shall be affected by notice to the contrary.</w:t>
      </w:r>
    </w:p>
    <w:p>
      <w:pPr>
        <w:spacing w:after="0" w:line="110" w:lineRule="exact"/>
        <w:rPr>
          <w:rFonts w:ascii="Arial" w:cs="Arial" w:eastAsia="Arial" w:hAnsi="Arial"/>
          <w:sz w:val="12"/>
          <w:szCs w:val="12"/>
          <w:color w:val="auto"/>
        </w:rPr>
      </w:pPr>
    </w:p>
    <w:p>
      <w:pPr>
        <w:ind w:left="500" w:right="80" w:firstLine="499"/>
        <w:spacing w:after="0" w:line="268" w:lineRule="auto"/>
        <w:tabs>
          <w:tab w:leader="none" w:pos="1481"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38"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u w:val="single" w:color="auto"/>
          <w:color w:val="auto"/>
        </w:rPr>
        <w:t>No Obligation of the Trustee</w:t>
      </w:r>
      <w:r>
        <w:rPr>
          <w:rFonts w:ascii="Arial" w:cs="Arial" w:eastAsia="Arial" w:hAnsi="Arial"/>
          <w:sz w:val="13"/>
          <w:szCs w:val="13"/>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03" w:name="page104"/>
    <w:bookmarkEnd w:id="103"/>
    <w:p>
      <w:pPr>
        <w:ind w:right="100"/>
        <w:spacing w:after="0" w:line="252" w:lineRule="auto"/>
        <w:rPr>
          <w:sz w:val="20"/>
          <w:szCs w:val="20"/>
          <w:color w:val="auto"/>
        </w:rPr>
      </w:pPr>
      <w:r>
        <w:rPr>
          <w:rFonts w:ascii="Arial" w:cs="Arial" w:eastAsia="Arial" w:hAnsi="Arial"/>
          <w:sz w:val="14"/>
          <w:szCs w:val="14"/>
          <w:color w:val="auto"/>
        </w:rPr>
        <w:t>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5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u w:val="single" w:color="auto"/>
          <w:color w:val="auto"/>
        </w:rPr>
        <w:t>Affiliate Holders</w:t>
      </w:r>
      <w:r>
        <w:rPr>
          <w:rFonts w:ascii="Arial" w:cs="Arial" w:eastAsia="Arial" w:hAnsi="Arial"/>
          <w:sz w:val="14"/>
          <w:szCs w:val="14"/>
          <w:color w:val="auto"/>
        </w:rPr>
        <w:t>. After the Issue Date, by accepting a beneficial interest in a Global Note, any Person that is an Affiliate of the Issuer agrees to give notice to the Issuer, the Trustee and the Registrar of the acquisition and its Affiliate status.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312.</w:t>
      </w:r>
      <w:r>
        <w:rPr>
          <w:sz w:val="20"/>
          <w:szCs w:val="20"/>
          <w:color w:val="auto"/>
        </w:rPr>
        <w:tab/>
      </w:r>
      <w:r>
        <w:rPr>
          <w:rFonts w:ascii="Arial" w:cs="Arial" w:eastAsia="Arial" w:hAnsi="Arial"/>
          <w:sz w:val="12"/>
          <w:szCs w:val="12"/>
          <w:u w:val="single" w:color="auto"/>
          <w:color w:val="auto"/>
        </w:rPr>
        <w:t>When Securities Disregarded</w:t>
      </w:r>
      <w:r>
        <w:rPr>
          <w:rFonts w:ascii="Arial" w:cs="Arial" w:eastAsia="Arial" w:hAnsi="Arial"/>
          <w:sz w:val="12"/>
          <w:szCs w:val="12"/>
          <w:color w:val="auto"/>
        </w:rPr>
        <w:t>.</w:t>
      </w:r>
    </w:p>
    <w:p>
      <w:pPr>
        <w:spacing w:after="0" w:line="171" w:lineRule="exact"/>
        <w:rPr>
          <w:sz w:val="20"/>
          <w:szCs w:val="20"/>
          <w:color w:val="auto"/>
        </w:rPr>
      </w:pPr>
    </w:p>
    <w:p>
      <w:pPr>
        <w:ind w:right="180" w:firstLine="498"/>
        <w:spacing w:after="0" w:line="294" w:lineRule="auto"/>
        <w:rPr>
          <w:sz w:val="20"/>
          <w:szCs w:val="20"/>
          <w:color w:val="auto"/>
        </w:rPr>
      </w:pPr>
      <w:r>
        <w:rPr>
          <w:rFonts w:ascii="Arial" w:cs="Arial" w:eastAsia="Arial" w:hAnsi="Arial"/>
          <w:sz w:val="12"/>
          <w:szCs w:val="12"/>
          <w:color w:val="auto"/>
        </w:rPr>
        <w:t>Notwithstanding anything to the contrary in the Indenture, each of Section 315(d)(3) and Section 316(a)(1) of the Trust Indenture Act is hereby expressly excluded from the Indenture for all purposes. 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w:t>
      </w:r>
    </w:p>
    <w:p>
      <w:pPr>
        <w:ind w:right="20" w:firstLine="3"/>
        <w:spacing w:after="0" w:line="249" w:lineRule="auto"/>
        <w:tabs>
          <w:tab w:leader="none" w:pos="188" w:val="left"/>
        </w:tabs>
        <w:numPr>
          <w:ilvl w:val="0"/>
          <w:numId w:val="51"/>
        </w:numPr>
        <w:rPr>
          <w:rFonts w:ascii="Arial" w:cs="Arial" w:eastAsia="Arial" w:hAnsi="Arial"/>
          <w:sz w:val="14"/>
          <w:szCs w:val="14"/>
          <w:color w:val="auto"/>
        </w:rPr>
      </w:pPr>
      <w:r>
        <w:rPr>
          <w:rFonts w:ascii="Arial" w:cs="Arial" w:eastAsia="Arial" w:hAnsi="Arial"/>
          <w:sz w:val="14"/>
          <w:szCs w:val="14"/>
          <w:color w:val="auto"/>
        </w:rPr>
        <w:t>Notes owned by Specified Holders shall not be so disregarded and (b) for the purpose of determining whether the Trustee shall be protected in relying on any such direction, waiver, consent, approval or other action of Holders, only Notes that the Trustee knows are so owned shall be so disregarded. Notes so owned that have been pledged in good faith shall not be so disregarded if the pledgee establishes to the satisfaction of the Trustee the pledgee’s right to deliver any such direction, waiver, consent, approval or other action of Holders with respect to the Notes and that the pledgee is either (i) not the Issuer, any Guarantor or any Person directly or indirectly controlled by the Issuer or any Guarantor or (ii) a Specified Holder. Also, subject to the foregoing, only Notes Outstanding at the time shall be considered in any such determination.</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313.</w:t>
      </w:r>
      <w:r>
        <w:rPr>
          <w:sz w:val="20"/>
          <w:szCs w:val="20"/>
          <w:color w:val="auto"/>
        </w:rPr>
        <w:tab/>
      </w:r>
      <w:r>
        <w:rPr>
          <w:rFonts w:ascii="Arial" w:cs="Arial" w:eastAsia="Arial" w:hAnsi="Arial"/>
          <w:sz w:val="12"/>
          <w:szCs w:val="12"/>
          <w:u w:val="single" w:color="auto"/>
          <w:color w:val="auto"/>
        </w:rPr>
        <w:t>Calculation of Specified Percentage of Notes</w:t>
      </w:r>
      <w:r>
        <w:rPr>
          <w:rFonts w:ascii="Arial" w:cs="Arial" w:eastAsia="Arial" w:hAnsi="Arial"/>
          <w:sz w:val="12"/>
          <w:szCs w:val="12"/>
          <w:color w:val="auto"/>
        </w:rPr>
        <w:t>.</w:t>
      </w:r>
    </w:p>
    <w:p>
      <w:pPr>
        <w:spacing w:after="0" w:line="171" w:lineRule="exact"/>
        <w:rPr>
          <w:sz w:val="20"/>
          <w:szCs w:val="20"/>
          <w:color w:val="auto"/>
        </w:rPr>
      </w:pPr>
    </w:p>
    <w:p>
      <w:pPr>
        <w:ind w:right="240" w:firstLine="498"/>
        <w:spacing w:after="0" w:line="296" w:lineRule="auto"/>
        <w:rPr>
          <w:sz w:val="20"/>
          <w:szCs w:val="20"/>
          <w:color w:val="auto"/>
        </w:rPr>
      </w:pPr>
      <w:r>
        <w:rPr>
          <w:rFonts w:ascii="Arial" w:cs="Arial" w:eastAsia="Arial" w:hAnsi="Arial"/>
          <w:sz w:val="12"/>
          <w:szCs w:val="12"/>
          <w:color w:val="auto"/>
        </w:rPr>
        <w:t>With respect to any matter requiring consent, waiver, approval or other action of the Holders of a specified percentage of the principal amount of all the Notes then Outstanding, such percentage shall be calculated, on the relevant date of determination, by dividing (a) the principal amount, as of such date of determination, of the Notes then Outstanding, the Holders of which have so consented by</w:t>
      </w:r>
    </w:p>
    <w:p>
      <w:pPr>
        <w:spacing w:after="0" w:line="1" w:lineRule="exact"/>
        <w:rPr>
          <w:sz w:val="20"/>
          <w:szCs w:val="20"/>
          <w:color w:val="auto"/>
        </w:rPr>
      </w:pPr>
    </w:p>
    <w:p>
      <w:pPr>
        <w:ind w:right="140" w:firstLine="3"/>
        <w:spacing w:after="0" w:line="254" w:lineRule="auto"/>
        <w:tabs>
          <w:tab w:leader="none" w:pos="1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aggregate principal amount, as of such date of determination, of the Notes then Outstanding, in each case, as determined in accordance with Section 312 of the Indenture. Any such calculation made pursuant to this Section 313 shall be made by the Issuer and delivered to the Trustee pursuant to an Officers’ Certificate.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04" w:name="page105"/>
    <w:bookmarkEnd w:id="104"/>
    <w:p>
      <w:pPr>
        <w:jc w:val="center"/>
        <w:ind w:right="-79"/>
        <w:spacing w:after="0"/>
        <w:rPr>
          <w:sz w:val="20"/>
          <w:szCs w:val="20"/>
          <w:color w:val="auto"/>
        </w:rPr>
      </w:pPr>
      <w:r>
        <w:rPr>
          <w:rFonts w:ascii="Arial" w:cs="Arial" w:eastAsia="Arial" w:hAnsi="Arial"/>
          <w:sz w:val="14"/>
          <w:szCs w:val="14"/>
          <w:b w:val="1"/>
          <w:bCs w:val="1"/>
          <w:color w:val="auto"/>
        </w:rPr>
        <w:t>ARTICLE FOUR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SATISFACTION AND DISCHARGE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401.</w:t>
      </w:r>
      <w:r>
        <w:rPr>
          <w:sz w:val="20"/>
          <w:szCs w:val="20"/>
          <w:color w:val="auto"/>
        </w:rPr>
        <w:tab/>
      </w:r>
      <w:r>
        <w:rPr>
          <w:rFonts w:ascii="Arial" w:cs="Arial" w:eastAsia="Arial" w:hAnsi="Arial"/>
          <w:sz w:val="12"/>
          <w:szCs w:val="12"/>
          <w:u w:val="single" w:color="auto"/>
          <w:color w:val="auto"/>
        </w:rPr>
        <w:t>Satisfaction and Discharge of Indenture</w:t>
      </w:r>
      <w:r>
        <w:rPr>
          <w:rFonts w:ascii="Arial" w:cs="Arial" w:eastAsia="Arial" w:hAnsi="Arial"/>
          <w:sz w:val="12"/>
          <w:szCs w:val="12"/>
          <w:color w:val="auto"/>
        </w:rPr>
        <w:t>.</w:t>
      </w:r>
    </w:p>
    <w:p>
      <w:pPr>
        <w:spacing w:after="0" w:line="171" w:lineRule="exact"/>
        <w:rPr>
          <w:sz w:val="20"/>
          <w:szCs w:val="20"/>
          <w:color w:val="auto"/>
        </w:rPr>
      </w:pPr>
    </w:p>
    <w:p>
      <w:pPr>
        <w:ind w:right="320" w:firstLine="498"/>
        <w:spacing w:after="0" w:line="268" w:lineRule="auto"/>
        <w:rPr>
          <w:sz w:val="20"/>
          <w:szCs w:val="20"/>
          <w:color w:val="auto"/>
        </w:rPr>
      </w:pPr>
      <w:r>
        <w:rPr>
          <w:rFonts w:ascii="Arial" w:cs="Arial" w:eastAsia="Arial" w:hAnsi="Arial"/>
          <w:sz w:val="14"/>
          <w:szCs w:val="14"/>
          <w:color w:val="auto"/>
        </w:rPr>
        <w:t>The Indenture shall be discharged and shall cease to be of further effect, and the Trustee, upon Issuer Request and at the expense of the Issuer, shall execute proper instruments acknowledging satisfaction and discharge of the Indenture, when</w:t>
      </w:r>
    </w:p>
    <w:p>
      <w:pPr>
        <w:spacing w:after="0" w:line="138" w:lineRule="exact"/>
        <w:rPr>
          <w:sz w:val="20"/>
          <w:szCs w:val="20"/>
          <w:color w:val="auto"/>
        </w:rPr>
      </w:pPr>
    </w:p>
    <w:p>
      <w:pPr>
        <w:ind w:left="1480" w:hanging="481"/>
        <w:spacing w:after="0"/>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either</w:t>
      </w:r>
    </w:p>
    <w:p>
      <w:pPr>
        <w:spacing w:after="0" w:line="170" w:lineRule="exact"/>
        <w:rPr>
          <w:rFonts w:ascii="Arial" w:cs="Arial" w:eastAsia="Arial" w:hAnsi="Arial"/>
          <w:sz w:val="14"/>
          <w:szCs w:val="14"/>
          <w:color w:val="auto"/>
        </w:rPr>
      </w:pPr>
    </w:p>
    <w:p>
      <w:pPr>
        <w:ind w:left="1000" w:right="60" w:firstLine="497"/>
        <w:spacing w:after="0" w:line="258" w:lineRule="auto"/>
        <w:tabs>
          <w:tab w:leader="none" w:pos="1974" w:val="left"/>
        </w:tabs>
        <w:numPr>
          <w:ilvl w:val="1"/>
          <w:numId w:val="53"/>
        </w:numPr>
        <w:rPr>
          <w:rFonts w:ascii="Arial" w:cs="Arial" w:eastAsia="Arial" w:hAnsi="Arial"/>
          <w:sz w:val="14"/>
          <w:szCs w:val="14"/>
          <w:color w:val="auto"/>
        </w:rPr>
      </w:pPr>
      <w:r>
        <w:rPr>
          <w:rFonts w:ascii="Arial" w:cs="Arial" w:eastAsia="Arial" w:hAnsi="Arial"/>
          <w:sz w:val="14"/>
          <w:szCs w:val="14"/>
          <w:color w:val="auto"/>
        </w:rPr>
        <w:t>all Notes theretofore authenticated and delivered (other than Notes which have been destroyed, lost or stolen and which have been replaced or paid as provided in Section 306 and Notes for whose payment money has theretofore been deposited in trust or segregated and held in trust by the Issuer and thereafter repaid to the Issuer or discharged from such trust, as provided in Section 1003) have been delivered to the Trustee for cancellation; or</w:t>
      </w:r>
    </w:p>
    <w:p>
      <w:pPr>
        <w:spacing w:after="0" w:line="144" w:lineRule="exact"/>
        <w:rPr>
          <w:rFonts w:ascii="Arial" w:cs="Arial" w:eastAsia="Arial" w:hAnsi="Arial"/>
          <w:sz w:val="14"/>
          <w:szCs w:val="14"/>
          <w:color w:val="auto"/>
        </w:rPr>
      </w:pPr>
    </w:p>
    <w:p>
      <w:pPr>
        <w:ind w:left="1980" w:hanging="483"/>
        <w:spacing w:after="0"/>
        <w:tabs>
          <w:tab w:leader="none" w:pos="198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all Notes not theretofore delivered to the Trustee for cancellation</w:t>
      </w:r>
    </w:p>
    <w:p>
      <w:pPr>
        <w:spacing w:after="0" w:line="170" w:lineRule="exact"/>
        <w:rPr>
          <w:rFonts w:ascii="Arial" w:cs="Arial" w:eastAsia="Arial" w:hAnsi="Arial"/>
          <w:sz w:val="14"/>
          <w:szCs w:val="14"/>
          <w:color w:val="auto"/>
        </w:rPr>
      </w:pPr>
    </w:p>
    <w:p>
      <w:pPr>
        <w:ind w:left="2480" w:hanging="485"/>
        <w:spacing w:after="0"/>
        <w:tabs>
          <w:tab w:leader="none" w:pos="2480" w:val="left"/>
        </w:tabs>
        <w:numPr>
          <w:ilvl w:val="2"/>
          <w:numId w:val="53"/>
        </w:numPr>
        <w:rPr>
          <w:rFonts w:ascii="Arial" w:cs="Arial" w:eastAsia="Arial" w:hAnsi="Arial"/>
          <w:sz w:val="14"/>
          <w:szCs w:val="14"/>
          <w:color w:val="auto"/>
        </w:rPr>
      </w:pPr>
      <w:r>
        <w:rPr>
          <w:rFonts w:ascii="Arial" w:cs="Arial" w:eastAsia="Arial" w:hAnsi="Arial"/>
          <w:sz w:val="14"/>
          <w:szCs w:val="14"/>
          <w:color w:val="auto"/>
        </w:rPr>
        <w:t>have become due and payable, or</w:t>
      </w:r>
    </w:p>
    <w:p>
      <w:pPr>
        <w:spacing w:after="0" w:line="170" w:lineRule="exact"/>
        <w:rPr>
          <w:rFonts w:ascii="Arial" w:cs="Arial" w:eastAsia="Arial" w:hAnsi="Arial"/>
          <w:sz w:val="14"/>
          <w:szCs w:val="14"/>
          <w:color w:val="auto"/>
        </w:rPr>
      </w:pPr>
    </w:p>
    <w:p>
      <w:pPr>
        <w:ind w:left="1500" w:right="120" w:firstLine="495"/>
        <w:spacing w:after="0" w:line="268" w:lineRule="auto"/>
        <w:tabs>
          <w:tab w:leader="none" w:pos="2490" w:val="left"/>
        </w:tabs>
        <w:numPr>
          <w:ilvl w:val="2"/>
          <w:numId w:val="53"/>
        </w:numPr>
        <w:rPr>
          <w:rFonts w:ascii="Arial" w:cs="Arial" w:eastAsia="Arial" w:hAnsi="Arial"/>
          <w:sz w:val="14"/>
          <w:szCs w:val="14"/>
          <w:color w:val="auto"/>
        </w:rPr>
      </w:pPr>
      <w:r>
        <w:rPr>
          <w:rFonts w:ascii="Arial" w:cs="Arial" w:eastAsia="Arial" w:hAnsi="Arial"/>
          <w:sz w:val="14"/>
          <w:szCs w:val="14"/>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38" w:lineRule="exact"/>
        <w:rPr>
          <w:rFonts w:ascii="Arial" w:cs="Arial" w:eastAsia="Arial" w:hAnsi="Arial"/>
          <w:sz w:val="14"/>
          <w:szCs w:val="14"/>
          <w:color w:val="auto"/>
        </w:rPr>
      </w:pPr>
    </w:p>
    <w:p>
      <w:pPr>
        <w:ind w:left="2500" w:hanging="505"/>
        <w:spacing w:after="0"/>
        <w:tabs>
          <w:tab w:leader="none" w:pos="2500" w:val="left"/>
        </w:tabs>
        <w:numPr>
          <w:ilvl w:val="2"/>
          <w:numId w:val="53"/>
        </w:numPr>
        <w:rPr>
          <w:rFonts w:ascii="Arial" w:cs="Arial" w:eastAsia="Arial" w:hAnsi="Arial"/>
          <w:sz w:val="14"/>
          <w:szCs w:val="14"/>
          <w:color w:val="auto"/>
        </w:rPr>
      </w:pPr>
      <w:r>
        <w:rPr>
          <w:rFonts w:ascii="Arial" w:cs="Arial" w:eastAsia="Arial" w:hAnsi="Arial"/>
          <w:sz w:val="14"/>
          <w:szCs w:val="14"/>
          <w:color w:val="auto"/>
        </w:rPr>
        <w:t>have been called for redemption pursuant to the provisions of Article Eleven,</w:t>
      </w:r>
    </w:p>
    <w:p>
      <w:pPr>
        <w:spacing w:after="0" w:line="171" w:lineRule="exact"/>
        <w:rPr>
          <w:sz w:val="20"/>
          <w:szCs w:val="20"/>
          <w:color w:val="auto"/>
        </w:rPr>
      </w:pPr>
    </w:p>
    <w:p>
      <w:pPr>
        <w:ind w:left="500"/>
        <w:spacing w:after="0" w:line="280" w:lineRule="auto"/>
        <w:rPr>
          <w:sz w:val="20"/>
          <w:szCs w:val="20"/>
          <w:color w:val="auto"/>
        </w:rPr>
      </w:pPr>
      <w:r>
        <w:rPr>
          <w:rFonts w:ascii="Arial" w:cs="Arial" w:eastAsia="Arial" w:hAnsi="Arial"/>
          <w:sz w:val="13"/>
          <w:szCs w:val="13"/>
          <w:color w:val="auto"/>
        </w:rPr>
        <w:t>and the Issuer or any Guarantor in the case of (i), (ii) or (iii) of subclause (b), has irrevocably deposited or caused to be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32" w:lineRule="exact"/>
        <w:rPr>
          <w:sz w:val="20"/>
          <w:szCs w:val="20"/>
          <w:color w:val="auto"/>
        </w:rPr>
      </w:pPr>
    </w:p>
    <w:p>
      <w:pPr>
        <w:ind w:left="1480" w:hanging="481"/>
        <w:spacing w:after="0"/>
        <w:tabs>
          <w:tab w:leader="none" w:pos="14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Issuer has paid or caused to be paid all other sums payable under the Indenture by the Issuer;</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Issuer has delivered irrevocable instructions to the Trustee to apply the deposited funds towards the payment of the Notes at Stated Maturity or on the Redemption Date, as the</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case may be; and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1" w:right="299" w:bottom="1440" w:gutter="0" w:footer="0" w:header="0"/>
        </w:sectPr>
      </w:pPr>
    </w:p>
    <w:bookmarkStart w:id="105" w:name="page106"/>
    <w:bookmarkEnd w:id="105"/>
    <w:p>
      <w:pPr>
        <w:ind w:left="500" w:firstLine="499"/>
        <w:spacing w:after="0" w:line="268" w:lineRule="auto"/>
        <w:tabs>
          <w:tab w:leader="none" w:pos="148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Notwithstanding the satisfaction and discharge of the Indenture, the obligations of the Issuer to the Holders under Sections 305 and 306, the obligations of the Issuer to the Trustee under</w:t>
      </w:r>
    </w:p>
    <w:p>
      <w:pPr>
        <w:spacing w:after="0" w:line="26"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Section 607, the obligations of the Trustee to any Authenticating Agent under Section 614 and, if cash or U.S. Government Obligations shall have been deposited with the Trustee pursuant to subclause (b) of clause (1) of this Section, the obligations of the Trustee under Section 402 and the last paragraph of Section 1003 shall survive so long as any Notes are Outstanding.</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402.</w:t>
      </w:r>
      <w:r>
        <w:rPr>
          <w:sz w:val="20"/>
          <w:szCs w:val="20"/>
          <w:color w:val="auto"/>
        </w:rPr>
        <w:tab/>
      </w:r>
      <w:r>
        <w:rPr>
          <w:rFonts w:ascii="Arial" w:cs="Arial" w:eastAsia="Arial" w:hAnsi="Arial"/>
          <w:sz w:val="13"/>
          <w:szCs w:val="13"/>
          <w:u w:val="single" w:color="auto"/>
          <w:color w:val="auto"/>
        </w:rPr>
        <w:t>Application of Trust Money</w:t>
      </w:r>
      <w:r>
        <w:rPr>
          <w:rFonts w:ascii="Arial" w:cs="Arial" w:eastAsia="Arial" w:hAnsi="Arial"/>
          <w:sz w:val="13"/>
          <w:szCs w:val="13"/>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Subject to the provisions of the last paragraph of Section 1003, all cash and U.S. Government Obligations.(including the proceeds thereof) deposited with the Trustee pursuant to Section 401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FIVE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REMEDIES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501.</w:t>
      </w:r>
      <w:r>
        <w:rPr>
          <w:sz w:val="20"/>
          <w:szCs w:val="20"/>
          <w:color w:val="auto"/>
        </w:rPr>
        <w:tab/>
      </w:r>
      <w:r>
        <w:rPr>
          <w:rFonts w:ascii="Arial" w:cs="Arial" w:eastAsia="Arial" w:hAnsi="Arial"/>
          <w:sz w:val="12"/>
          <w:szCs w:val="12"/>
          <w:u w:val="single" w:color="auto"/>
          <w:color w:val="auto"/>
        </w:rPr>
        <w:t>Events of Default</w:t>
      </w:r>
      <w:r>
        <w:rPr>
          <w:rFonts w:ascii="Arial" w:cs="Arial" w:eastAsia="Arial" w:hAnsi="Arial"/>
          <w:sz w:val="12"/>
          <w:szCs w:val="12"/>
          <w:color w:val="auto"/>
        </w:rPr>
        <w:t>.</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38" w:lineRule="exact"/>
        <w:rPr>
          <w:sz w:val="20"/>
          <w:szCs w:val="20"/>
          <w:color w:val="auto"/>
        </w:rPr>
      </w:pPr>
    </w:p>
    <w:p>
      <w:pPr>
        <w:ind w:left="1480" w:hanging="481"/>
        <w:spacing w:after="0"/>
        <w:tabs>
          <w:tab w:leader="none" w:pos="1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failure to pay interest on any of the Notes when the same becomes due and payable and the continuance of any such failure for 30 days;</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failure to pay principal of or premium, if any, on any of the Notes when it becomes due and payable, whether at Stated Maturity, upon redemption, required purchase, acceleration</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or otherwise;</w:t>
      </w:r>
    </w:p>
    <w:p>
      <w:pPr>
        <w:spacing w:after="0" w:line="161" w:lineRule="exact"/>
        <w:rPr>
          <w:rFonts w:ascii="Arial" w:cs="Arial" w:eastAsia="Arial" w:hAnsi="Arial"/>
          <w:sz w:val="12"/>
          <w:szCs w:val="12"/>
          <w:color w:val="auto"/>
        </w:rPr>
      </w:pPr>
    </w:p>
    <w:p>
      <w:pPr>
        <w:ind w:left="500" w:right="440" w:firstLine="499"/>
        <w:spacing w:after="0" w:line="268" w:lineRule="auto"/>
        <w:tabs>
          <w:tab w:leader="none" w:pos="1482" w:val="left"/>
        </w:tabs>
        <w:numPr>
          <w:ilvl w:val="0"/>
          <w:numId w:val="56"/>
        </w:numPr>
        <w:rPr>
          <w:rFonts w:ascii="Arial" w:cs="Arial" w:eastAsia="Arial" w:hAnsi="Arial"/>
          <w:sz w:val="14"/>
          <w:szCs w:val="14"/>
          <w:color w:val="auto"/>
        </w:rPr>
      </w:pPr>
      <w:r>
        <w:rPr>
          <w:rFonts w:ascii="Arial" w:cs="Arial" w:eastAsia="Arial" w:hAnsi="Arial"/>
          <w:sz w:val="14"/>
          <w:szCs w:val="14"/>
          <w:color w:val="auto"/>
        </w:rPr>
        <w:t>failure by the Issuer or any Guarantors to comply with any of their respective agreements or covenants under Article Eight or failure by the Issuer to comply in respect of its obligations to make a Change of Control Offer under Section 1007;</w:t>
      </w:r>
    </w:p>
    <w:p>
      <w:pPr>
        <w:spacing w:after="0" w:line="138" w:lineRule="exact"/>
        <w:rPr>
          <w:rFonts w:ascii="Arial" w:cs="Arial" w:eastAsia="Arial" w:hAnsi="Arial"/>
          <w:sz w:val="14"/>
          <w:szCs w:val="14"/>
          <w:color w:val="auto"/>
        </w:rPr>
      </w:pPr>
    </w:p>
    <w:p>
      <w:pPr>
        <w:jc w:val="both"/>
        <w:ind w:left="500" w:right="200" w:firstLine="499"/>
        <w:spacing w:after="0" w:line="258" w:lineRule="auto"/>
        <w:tabs>
          <w:tab w:leader="none" w:pos="1482"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except with respect to the covenant contained in Section 704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06" w:name="page107"/>
    <w:bookmarkEnd w:id="106"/>
    <w:p>
      <w:pPr>
        <w:ind w:right="280"/>
        <w:spacing w:after="0" w:line="268" w:lineRule="auto"/>
        <w:rPr>
          <w:sz w:val="20"/>
          <w:szCs w:val="20"/>
          <w:color w:val="auto"/>
        </w:rPr>
      </w:pPr>
      <w:r>
        <w:rPr>
          <w:rFonts w:ascii="Arial" w:cs="Arial" w:eastAsia="Arial" w:hAnsi="Arial"/>
          <w:sz w:val="14"/>
          <w:szCs w:val="14"/>
          <w:color w:val="auto"/>
        </w:rPr>
        <w:t>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704;</w:t>
      </w:r>
    </w:p>
    <w:p>
      <w:pPr>
        <w:spacing w:after="0" w:line="138" w:lineRule="exact"/>
        <w:rPr>
          <w:sz w:val="20"/>
          <w:szCs w:val="20"/>
          <w:color w:val="auto"/>
        </w:rPr>
      </w:pPr>
    </w:p>
    <w:p>
      <w:pPr>
        <w:ind w:right="300" w:firstLine="499"/>
        <w:spacing w:after="0" w:line="258" w:lineRule="auto"/>
        <w:tabs>
          <w:tab w:leader="none" w:pos="982"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144" w:lineRule="exact"/>
        <w:rPr>
          <w:rFonts w:ascii="Arial" w:cs="Arial" w:eastAsia="Arial" w:hAnsi="Arial"/>
          <w:sz w:val="14"/>
          <w:szCs w:val="14"/>
          <w:color w:val="auto"/>
        </w:rPr>
      </w:pPr>
    </w:p>
    <w:p>
      <w:pPr>
        <w:ind w:left="1480" w:hanging="483"/>
        <w:spacing w:after="0"/>
        <w:tabs>
          <w:tab w:leader="none" w:pos="1480" w:val="left"/>
        </w:tabs>
        <w:numPr>
          <w:ilvl w:val="1"/>
          <w:numId w:val="57"/>
        </w:numPr>
        <w:rPr>
          <w:rFonts w:ascii="Arial" w:cs="Arial" w:eastAsia="Arial" w:hAnsi="Arial"/>
          <w:sz w:val="13"/>
          <w:szCs w:val="13"/>
          <w:color w:val="auto"/>
        </w:rPr>
      </w:pPr>
      <w:r>
        <w:rPr>
          <w:rFonts w:ascii="Arial" w:cs="Arial" w:eastAsia="Arial" w:hAnsi="Arial"/>
          <w:sz w:val="13"/>
          <w:szCs w:val="13"/>
          <w:color w:val="auto"/>
        </w:rPr>
        <w:t>is caused by a failure to pay at its Stated Maturity principal on such Indebtedness within the applicable express grace period and any extensions thereof, or</w:t>
      </w:r>
    </w:p>
    <w:p>
      <w:pPr>
        <w:spacing w:after="0" w:line="182" w:lineRule="exact"/>
        <w:rPr>
          <w:rFonts w:ascii="Arial" w:cs="Arial" w:eastAsia="Arial" w:hAnsi="Arial"/>
          <w:sz w:val="13"/>
          <w:szCs w:val="13"/>
          <w:color w:val="auto"/>
        </w:rPr>
      </w:pPr>
    </w:p>
    <w:p>
      <w:pPr>
        <w:ind w:left="500" w:right="80" w:firstLine="497"/>
        <w:spacing w:after="0" w:line="268" w:lineRule="auto"/>
        <w:tabs>
          <w:tab w:leader="none" w:pos="1482" w:val="left"/>
        </w:tabs>
        <w:numPr>
          <w:ilvl w:val="1"/>
          <w:numId w:val="57"/>
        </w:numPr>
        <w:rPr>
          <w:rFonts w:ascii="Arial" w:cs="Arial" w:eastAsia="Arial" w:hAnsi="Arial"/>
          <w:sz w:val="14"/>
          <w:szCs w:val="14"/>
          <w:color w:val="auto"/>
        </w:rPr>
      </w:pPr>
      <w:r>
        <w:rPr>
          <w:rFonts w:ascii="Arial" w:cs="Arial" w:eastAsia="Arial" w:hAnsi="Arial"/>
          <w:sz w:val="14"/>
          <w:szCs w:val="14"/>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38" w:lineRule="exact"/>
        <w:rPr>
          <w:sz w:val="20"/>
          <w:szCs w:val="20"/>
          <w:color w:val="auto"/>
        </w:rPr>
      </w:pPr>
    </w:p>
    <w:p>
      <w:pPr>
        <w:ind w:left="500" w:right="40"/>
        <w:spacing w:after="0" w:line="268" w:lineRule="auto"/>
        <w:rPr>
          <w:sz w:val="20"/>
          <w:szCs w:val="20"/>
          <w:color w:val="auto"/>
        </w:rPr>
      </w:pPr>
      <w:r>
        <w:rPr>
          <w:rFonts w:ascii="Arial" w:cs="Arial" w:eastAsia="Arial" w:hAnsi="Arial"/>
          <w:sz w:val="14"/>
          <w:szCs w:val="14"/>
          <w:color w:val="auto"/>
        </w:rPr>
        <w:t>and, in each case, the principal amount of such Indebtedness, together with the principal amount of any other Indebtedness with respect to which an event described in clause (a) or (b) has occurred and is continuing aggregates $75.0 million or more;</w:t>
      </w:r>
    </w:p>
    <w:p>
      <w:pPr>
        <w:spacing w:after="0" w:line="138" w:lineRule="exact"/>
        <w:rPr>
          <w:sz w:val="20"/>
          <w:szCs w:val="20"/>
          <w:color w:val="auto"/>
        </w:rPr>
      </w:pPr>
    </w:p>
    <w:p>
      <w:pPr>
        <w:ind w:firstLine="499"/>
        <w:spacing w:after="0" w:line="258" w:lineRule="auto"/>
        <w:tabs>
          <w:tab w:leader="none" w:pos="982"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144" w:lineRule="exact"/>
        <w:rPr>
          <w:rFonts w:ascii="Arial" w:cs="Arial" w:eastAsia="Arial" w:hAnsi="Arial"/>
          <w:sz w:val="14"/>
          <w:szCs w:val="14"/>
          <w:color w:val="auto"/>
        </w:rPr>
      </w:pPr>
    </w:p>
    <w:p>
      <w:pPr>
        <w:ind w:firstLine="499"/>
        <w:spacing w:after="0" w:line="272" w:lineRule="auto"/>
        <w:tabs>
          <w:tab w:leader="none" w:pos="982"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w:t>
      </w:r>
    </w:p>
    <w:p>
      <w:pPr>
        <w:spacing w:after="0" w:line="138"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880"/>
          </w:cols>
          <w:pgMar w:left="720" w:top="295" w:right="299" w:bottom="1440" w:gutter="0" w:footer="0" w:header="0"/>
        </w:sectPr>
      </w:pPr>
    </w:p>
    <w:bookmarkStart w:id="107" w:name="page108"/>
    <w:bookmarkEnd w:id="107"/>
    <w:p>
      <w:pPr>
        <w:ind w:left="500"/>
        <w:spacing w:after="0"/>
        <w:rPr>
          <w:sz w:val="20"/>
          <w:szCs w:val="20"/>
          <w:color w:val="auto"/>
        </w:rPr>
      </w:pPr>
      <w:r>
        <w:rPr>
          <w:rFonts w:ascii="Arial" w:cs="Arial" w:eastAsia="Arial" w:hAnsi="Arial"/>
          <w:sz w:val="13"/>
          <w:szCs w:val="13"/>
          <w:color w:val="auto"/>
        </w:rPr>
        <w:t>or liquidation of its or their affairs, and the continuance of any such decree or order for relief or any such other decree or order unstayed and in effect for a period of 60 consecutive days;</w:t>
      </w:r>
    </w:p>
    <w:p>
      <w:pPr>
        <w:spacing w:after="0" w:line="182" w:lineRule="exact"/>
        <w:rPr>
          <w:sz w:val="20"/>
          <w:szCs w:val="20"/>
          <w:color w:val="auto"/>
        </w:rPr>
      </w:pPr>
    </w:p>
    <w:p>
      <w:pPr>
        <w:ind w:left="500" w:firstLine="499"/>
        <w:spacing w:after="0" w:line="271" w:lineRule="auto"/>
        <w:tabs>
          <w:tab w:leader="none" w:pos="1482" w:val="left"/>
        </w:tabs>
        <w:numPr>
          <w:ilvl w:val="0"/>
          <w:numId w:val="59"/>
        </w:numPr>
        <w:rPr>
          <w:rFonts w:ascii="Arial" w:cs="Arial" w:eastAsia="Arial" w:hAnsi="Arial"/>
          <w:sz w:val="13"/>
          <w:szCs w:val="13"/>
          <w:color w:val="auto"/>
        </w:rPr>
      </w:pPr>
      <w:r>
        <w:rPr>
          <w:rFonts w:ascii="Arial" w:cs="Arial" w:eastAsia="Arial" w:hAnsi="Arial"/>
          <w:sz w:val="13"/>
          <w:szCs w:val="13"/>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 or</w:t>
      </w:r>
    </w:p>
    <w:p>
      <w:pPr>
        <w:spacing w:after="0" w:line="137" w:lineRule="exact"/>
        <w:rPr>
          <w:rFonts w:ascii="Arial" w:cs="Arial" w:eastAsia="Arial" w:hAnsi="Arial"/>
          <w:sz w:val="13"/>
          <w:szCs w:val="13"/>
          <w:color w:val="auto"/>
        </w:rPr>
      </w:pPr>
    </w:p>
    <w:p>
      <w:pPr>
        <w:ind w:left="500" w:right="80" w:firstLine="499"/>
        <w:spacing w:after="0" w:line="258" w:lineRule="auto"/>
        <w:tabs>
          <w:tab w:leader="none" w:pos="148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502.</w:t>
      </w:r>
      <w:r>
        <w:rPr>
          <w:sz w:val="20"/>
          <w:szCs w:val="20"/>
          <w:color w:val="auto"/>
        </w:rPr>
        <w:tab/>
      </w:r>
      <w:r>
        <w:rPr>
          <w:rFonts w:ascii="Arial" w:cs="Arial" w:eastAsia="Arial" w:hAnsi="Arial"/>
          <w:sz w:val="12"/>
          <w:szCs w:val="12"/>
          <w:u w:val="single" w:color="auto"/>
          <w:color w:val="auto"/>
        </w:rPr>
        <w:t>Acceleration of Maturity; Rescission and Annulment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If an Event of Default (other than an Event of Default specified in Section 501(7) or 501(8)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all amounts owing under the Notes to be due and payable, and upon any such declaration the aggregate principal of and accrued and unpaid interest on all of the Outstanding Notes shall become due and payable immediately. If an Event of Default specified in Section 501(7) or 501(8) occurs with respect to the Parent Guarantor, the principal of, premium, if any, and accrued and unpaid interest, if any, on all of the Outstanding Notes shall become immediately due and payable, without any further action or notice to the extent permitted by law.</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08" w:name="page109"/>
    <w:bookmarkEnd w:id="108"/>
    <w:p>
      <w:pPr>
        <w:ind w:right="200" w:firstLine="498"/>
        <w:spacing w:after="0" w:line="268" w:lineRule="auto"/>
        <w:rPr>
          <w:sz w:val="20"/>
          <w:szCs w:val="20"/>
          <w:color w:val="auto"/>
        </w:rPr>
      </w:pPr>
      <w:r>
        <w:rPr>
          <w:rFonts w:ascii="Arial" w:cs="Arial" w:eastAsia="Arial" w:hAnsi="Arial"/>
          <w:sz w:val="14"/>
          <w:szCs w:val="14"/>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38" w:lineRule="exact"/>
        <w:rPr>
          <w:sz w:val="20"/>
          <w:szCs w:val="20"/>
          <w:color w:val="auto"/>
        </w:rPr>
      </w:pPr>
    </w:p>
    <w:p>
      <w:pPr>
        <w:ind w:left="1980" w:hanging="483"/>
        <w:spacing w:after="0"/>
        <w:tabs>
          <w:tab w:leader="none" w:pos="1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such rescission would not conflict with any judgment or decree of a court of competent jurisdiction;</w:t>
      </w:r>
    </w:p>
    <w:p>
      <w:pPr>
        <w:spacing w:after="0" w:line="170" w:lineRule="exact"/>
        <w:rPr>
          <w:rFonts w:ascii="Arial" w:cs="Arial" w:eastAsia="Arial" w:hAnsi="Arial"/>
          <w:sz w:val="14"/>
          <w:szCs w:val="14"/>
          <w:color w:val="auto"/>
        </w:rPr>
      </w:pPr>
    </w:p>
    <w:p>
      <w:pPr>
        <w:ind w:left="1980" w:hanging="483"/>
        <w:spacing w:after="0"/>
        <w:tabs>
          <w:tab w:leader="none" w:pos="1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Issuer has paid or deposited with the Trustee a sum sufficient to pay</w:t>
      </w:r>
    </w:p>
    <w:p>
      <w:pPr>
        <w:spacing w:after="0" w:line="170" w:lineRule="exact"/>
        <w:rPr>
          <w:rFonts w:ascii="Arial" w:cs="Arial" w:eastAsia="Arial" w:hAnsi="Arial"/>
          <w:sz w:val="14"/>
          <w:szCs w:val="14"/>
          <w:color w:val="auto"/>
        </w:rPr>
      </w:pPr>
    </w:p>
    <w:p>
      <w:pPr>
        <w:ind w:left="2480" w:hanging="485"/>
        <w:spacing w:after="0"/>
        <w:tabs>
          <w:tab w:leader="none" w:pos="24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overdue interest on all the Notes,</w:t>
      </w:r>
    </w:p>
    <w:p>
      <w:pPr>
        <w:spacing w:after="0" w:line="170" w:lineRule="exact"/>
        <w:rPr>
          <w:rFonts w:ascii="Arial" w:cs="Arial" w:eastAsia="Arial" w:hAnsi="Arial"/>
          <w:sz w:val="14"/>
          <w:szCs w:val="14"/>
          <w:color w:val="auto"/>
        </w:rPr>
      </w:pPr>
    </w:p>
    <w:p>
      <w:pPr>
        <w:ind w:left="1500" w:firstLine="495"/>
        <w:spacing w:after="0" w:line="268" w:lineRule="auto"/>
        <w:tabs>
          <w:tab w:leader="none" w:pos="2476" w:val="left"/>
        </w:tabs>
        <w:numPr>
          <w:ilvl w:val="1"/>
          <w:numId w:val="60"/>
        </w:numPr>
        <w:rPr>
          <w:rFonts w:ascii="Arial" w:cs="Arial" w:eastAsia="Arial" w:hAnsi="Arial"/>
          <w:sz w:val="14"/>
          <w:szCs w:val="14"/>
          <w:color w:val="auto"/>
        </w:rPr>
      </w:pPr>
      <w:r>
        <w:rPr>
          <w:rFonts w:ascii="Arial" w:cs="Arial" w:eastAsia="Arial" w:hAnsi="Arial"/>
          <w:sz w:val="14"/>
          <w:szCs w:val="14"/>
          <w:color w:val="auto"/>
        </w:rPr>
        <w:t>the principal of (and premium, if any, on) any such Notes which have become due otherwise than by such acceleration declaration and any interest thereon at the rate or rates prescribed therefor in the Notes,</w:t>
      </w:r>
    </w:p>
    <w:p>
      <w:pPr>
        <w:spacing w:after="0" w:line="138" w:lineRule="exact"/>
        <w:rPr>
          <w:rFonts w:ascii="Arial" w:cs="Arial" w:eastAsia="Arial" w:hAnsi="Arial"/>
          <w:sz w:val="14"/>
          <w:szCs w:val="14"/>
          <w:color w:val="auto"/>
        </w:rPr>
      </w:pPr>
    </w:p>
    <w:p>
      <w:pPr>
        <w:ind w:left="2480" w:hanging="485"/>
        <w:spacing w:after="0"/>
        <w:tabs>
          <w:tab w:leader="none" w:pos="24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to the extent that payment of such interest is lawful, interest upon overdue interest at the rate prescribed therefor in the Notes, and</w:t>
      </w:r>
    </w:p>
    <w:p>
      <w:pPr>
        <w:spacing w:after="0" w:line="170" w:lineRule="exact"/>
        <w:rPr>
          <w:rFonts w:ascii="Arial" w:cs="Arial" w:eastAsia="Arial" w:hAnsi="Arial"/>
          <w:sz w:val="14"/>
          <w:szCs w:val="14"/>
          <w:color w:val="auto"/>
        </w:rPr>
      </w:pPr>
    </w:p>
    <w:p>
      <w:pPr>
        <w:ind w:left="2480" w:hanging="485"/>
        <w:spacing w:after="0"/>
        <w:tabs>
          <w:tab w:leader="none" w:pos="2480" w:val="left"/>
        </w:tabs>
        <w:numPr>
          <w:ilvl w:val="1"/>
          <w:numId w:val="60"/>
        </w:numPr>
        <w:rPr>
          <w:rFonts w:ascii="Arial" w:cs="Arial" w:eastAsia="Arial" w:hAnsi="Arial"/>
          <w:sz w:val="12"/>
          <w:szCs w:val="12"/>
          <w:color w:val="auto"/>
        </w:rPr>
      </w:pPr>
      <w:r>
        <w:rPr>
          <w:rFonts w:ascii="Arial" w:cs="Arial" w:eastAsia="Arial" w:hAnsi="Arial"/>
          <w:sz w:val="12"/>
          <w:szCs w:val="12"/>
          <w:color w:val="auto"/>
        </w:rPr>
        <w:t>all sums paid or advanced by the Trustee hereunder and the reasonable compensation, expenses, disbursements and advances of the Trustee, its agents and</w:t>
      </w:r>
    </w:p>
    <w:p>
      <w:pPr>
        <w:spacing w:after="0" w:line="37" w:lineRule="exact"/>
        <w:rPr>
          <w:rFonts w:ascii="Arial" w:cs="Arial" w:eastAsia="Arial" w:hAnsi="Arial"/>
          <w:sz w:val="12"/>
          <w:szCs w:val="12"/>
          <w:color w:val="auto"/>
        </w:rPr>
      </w:pPr>
    </w:p>
    <w:p>
      <w:pPr>
        <w:ind w:left="1500"/>
        <w:spacing w:after="0"/>
        <w:rPr>
          <w:rFonts w:ascii="Arial" w:cs="Arial" w:eastAsia="Arial" w:hAnsi="Arial"/>
          <w:sz w:val="12"/>
          <w:szCs w:val="12"/>
          <w:color w:val="auto"/>
        </w:rPr>
      </w:pPr>
      <w:r>
        <w:rPr>
          <w:rFonts w:ascii="Arial" w:cs="Arial" w:eastAsia="Arial" w:hAnsi="Arial"/>
          <w:sz w:val="14"/>
          <w:szCs w:val="14"/>
          <w:color w:val="auto"/>
        </w:rPr>
        <w:t>counsel; and</w:t>
      </w:r>
    </w:p>
    <w:p>
      <w:pPr>
        <w:spacing w:after="0" w:line="161" w:lineRule="exact"/>
        <w:rPr>
          <w:rFonts w:ascii="Arial" w:cs="Arial" w:eastAsia="Arial" w:hAnsi="Arial"/>
          <w:sz w:val="12"/>
          <w:szCs w:val="12"/>
          <w:color w:val="auto"/>
        </w:rPr>
      </w:pPr>
    </w:p>
    <w:p>
      <w:pPr>
        <w:ind w:left="1000" w:right="100" w:firstLine="497"/>
        <w:spacing w:after="0" w:line="268" w:lineRule="auto"/>
        <w:tabs>
          <w:tab w:leader="none" w:pos="1974"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Events of Default, other than the non-payment of the principal of, and interest on, the Notes that have become due solely by such acceleration declaration, have been cured or waived as provided in Section 513.</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such rescission shall affect any subsequent default or impair any right consequent thereon.</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503.</w:t>
      </w:r>
      <w:r>
        <w:rPr>
          <w:sz w:val="20"/>
          <w:szCs w:val="20"/>
          <w:color w:val="auto"/>
        </w:rPr>
        <w:tab/>
      </w:r>
      <w:r>
        <w:rPr>
          <w:rFonts w:ascii="Arial" w:cs="Arial" w:eastAsia="Arial" w:hAnsi="Arial"/>
          <w:sz w:val="12"/>
          <w:szCs w:val="12"/>
          <w:u w:val="single" w:color="auto"/>
          <w:color w:val="auto"/>
        </w:rPr>
        <w:t>Collection of Indebtedness and Suits for Enforcement by Trustee</w:t>
      </w:r>
      <w:r>
        <w:rPr>
          <w:rFonts w:ascii="Arial" w:cs="Arial" w:eastAsia="Arial" w:hAnsi="Arial"/>
          <w:sz w:val="12"/>
          <w:szCs w:val="12"/>
          <w:color w:val="auto"/>
        </w:rPr>
        <w:t>.</w:t>
      </w:r>
    </w:p>
    <w:p>
      <w:pPr>
        <w:spacing w:after="0" w:line="171" w:lineRule="exact"/>
        <w:rPr>
          <w:sz w:val="20"/>
          <w:szCs w:val="20"/>
          <w:color w:val="auto"/>
        </w:rPr>
      </w:pPr>
    </w:p>
    <w:p>
      <w:pPr>
        <w:jc w:val="both"/>
        <w:ind w:right="200" w:firstLine="498"/>
        <w:spacing w:after="0" w:line="254" w:lineRule="auto"/>
        <w:rPr>
          <w:sz w:val="20"/>
          <w:szCs w:val="20"/>
          <w:color w:val="auto"/>
        </w:rPr>
      </w:pPr>
      <w:r>
        <w:rPr>
          <w:rFonts w:ascii="Arial" w:cs="Arial" w:eastAsia="Arial" w:hAnsi="Arial"/>
          <w:sz w:val="14"/>
          <w:szCs w:val="14"/>
          <w:color w:val="auto"/>
        </w:rPr>
        <w:t>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504.</w:t>
      </w:r>
      <w:r>
        <w:rPr>
          <w:sz w:val="20"/>
          <w:szCs w:val="20"/>
          <w:color w:val="auto"/>
        </w:rPr>
        <w:tab/>
      </w:r>
      <w:r>
        <w:rPr>
          <w:rFonts w:ascii="Arial" w:cs="Arial" w:eastAsia="Arial" w:hAnsi="Arial"/>
          <w:sz w:val="12"/>
          <w:szCs w:val="12"/>
          <w:u w:val="single" w:color="auto"/>
          <w:color w:val="auto"/>
        </w:rPr>
        <w:t>Trustee May File Proofs of Claim</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109" w:name="page110"/>
    <w:bookmarkEnd w:id="109"/>
    <w:p>
      <w:pPr>
        <w:spacing w:after="0" w:line="310" w:lineRule="auto"/>
        <w:rPr>
          <w:sz w:val="20"/>
          <w:szCs w:val="20"/>
          <w:color w:val="auto"/>
        </w:rPr>
      </w:pPr>
      <w:r>
        <w:rPr>
          <w:rFonts w:ascii="Arial" w:cs="Arial" w:eastAsia="Arial" w:hAnsi="Arial"/>
          <w:sz w:val="12"/>
          <w:szCs w:val="12"/>
          <w:color w:val="auto"/>
        </w:rPr>
        <w:t>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607.</w:t>
      </w:r>
    </w:p>
    <w:p>
      <w:pPr>
        <w:spacing w:after="0" w:line="117" w:lineRule="exact"/>
        <w:rPr>
          <w:sz w:val="20"/>
          <w:szCs w:val="20"/>
          <w:color w:val="auto"/>
        </w:rPr>
      </w:pPr>
    </w:p>
    <w:p>
      <w:pPr>
        <w:jc w:val="both"/>
        <w:ind w:right="140" w:firstLine="498"/>
        <w:spacing w:after="0" w:line="287" w:lineRule="auto"/>
        <w:rPr>
          <w:sz w:val="20"/>
          <w:szCs w:val="20"/>
          <w:color w:val="auto"/>
        </w:rPr>
      </w:pPr>
      <w:r>
        <w:rPr>
          <w:rFonts w:ascii="Arial" w:cs="Arial" w:eastAsia="Arial" w:hAnsi="Arial"/>
          <w:sz w:val="13"/>
          <w:szCs w:val="13"/>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Trustee may, on behalf of the Holders, vote for the election of a trustee in bankruptcy or similar official and be a member of a creditors’ or other similar committee.</w:t>
      </w:r>
    </w:p>
    <w:p>
      <w:pPr>
        <w:spacing w:after="0" w:line="12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505.</w:t>
      </w:r>
      <w:r>
        <w:rPr>
          <w:sz w:val="20"/>
          <w:szCs w:val="20"/>
          <w:color w:val="auto"/>
        </w:rPr>
        <w:tab/>
      </w:r>
      <w:r>
        <w:rPr>
          <w:rFonts w:ascii="Arial" w:cs="Arial" w:eastAsia="Arial" w:hAnsi="Arial"/>
          <w:sz w:val="12"/>
          <w:szCs w:val="12"/>
          <w:u w:val="single" w:color="auto"/>
          <w:color w:val="auto"/>
        </w:rPr>
        <w:t>Trustee May Enforce Claims Without Possession of Notes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54" w:lineRule="auto"/>
        <w:rPr>
          <w:sz w:val="20"/>
          <w:szCs w:val="20"/>
          <w:color w:val="auto"/>
        </w:rPr>
      </w:pPr>
      <w:r>
        <w:rPr>
          <w:rFonts w:ascii="Arial" w:cs="Arial" w:eastAsia="Arial" w:hAnsi="Arial"/>
          <w:sz w:val="14"/>
          <w:szCs w:val="14"/>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506.</w:t>
      </w:r>
      <w:r>
        <w:rPr>
          <w:sz w:val="20"/>
          <w:szCs w:val="20"/>
          <w:color w:val="auto"/>
        </w:rPr>
        <w:tab/>
      </w:r>
      <w:r>
        <w:rPr>
          <w:rFonts w:ascii="Arial" w:cs="Arial" w:eastAsia="Arial" w:hAnsi="Arial"/>
          <w:sz w:val="13"/>
          <w:szCs w:val="13"/>
          <w:u w:val="single" w:color="auto"/>
          <w:color w:val="auto"/>
        </w:rPr>
        <w:t>Application of Money Collected</w:t>
      </w:r>
      <w:r>
        <w:rPr>
          <w:rFonts w:ascii="Arial" w:cs="Arial" w:eastAsia="Arial" w:hAnsi="Arial"/>
          <w:sz w:val="13"/>
          <w:szCs w:val="13"/>
          <w:color w:val="auto"/>
        </w:rPr>
        <w:t>.</w:t>
      </w:r>
    </w:p>
    <w:p>
      <w:pPr>
        <w:spacing w:after="0" w:line="171" w:lineRule="exact"/>
        <w:rPr>
          <w:sz w:val="20"/>
          <w:szCs w:val="20"/>
          <w:color w:val="auto"/>
        </w:rPr>
      </w:pPr>
    </w:p>
    <w:p>
      <w:pPr>
        <w:ind w:right="60" w:firstLine="498"/>
        <w:spacing w:after="0" w:line="307" w:lineRule="auto"/>
        <w:rPr>
          <w:sz w:val="20"/>
          <w:szCs w:val="20"/>
          <w:color w:val="auto"/>
        </w:rPr>
      </w:pPr>
      <w:r>
        <w:rPr>
          <w:rFonts w:ascii="Arial" w:cs="Arial" w:eastAsia="Arial" w:hAnsi="Arial"/>
          <w:sz w:val="13"/>
          <w:szCs w:val="13"/>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Notes and the notation thereon of the payment if only partially paid and upon surrender thereof if fully paid:</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FIRST: To the payment of all amounts due the Trustee under Section 607;</w:t>
      </w:r>
    </w:p>
    <w:p>
      <w:pPr>
        <w:spacing w:after="0" w:line="171" w:lineRule="exact"/>
        <w:rPr>
          <w:sz w:val="20"/>
          <w:szCs w:val="20"/>
          <w:color w:val="auto"/>
        </w:rPr>
      </w:pPr>
    </w:p>
    <w:p>
      <w:pPr>
        <w:ind w:left="500" w:right="60" w:firstLine="498"/>
        <w:spacing w:after="0" w:line="268" w:lineRule="auto"/>
        <w:rPr>
          <w:sz w:val="20"/>
          <w:szCs w:val="20"/>
          <w:color w:val="auto"/>
        </w:rPr>
      </w:pPr>
      <w:r>
        <w:rPr>
          <w:rFonts w:ascii="Arial" w:cs="Arial" w:eastAsia="Arial" w:hAnsi="Arial"/>
          <w:sz w:val="14"/>
          <w:szCs w:val="14"/>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138" w:lineRule="exact"/>
        <w:rPr>
          <w:sz w:val="20"/>
          <w:szCs w:val="20"/>
          <w:color w:val="auto"/>
        </w:rPr>
      </w:pPr>
    </w:p>
    <w:p>
      <w:pPr>
        <w:ind w:left="500" w:right="420" w:firstLine="498"/>
        <w:spacing w:after="0" w:line="268" w:lineRule="auto"/>
        <w:rPr>
          <w:sz w:val="20"/>
          <w:szCs w:val="20"/>
          <w:color w:val="auto"/>
        </w:rPr>
      </w:pPr>
      <w:r>
        <w:rPr>
          <w:rFonts w:ascii="Arial" w:cs="Arial" w:eastAsia="Arial" w:hAnsi="Arial"/>
          <w:sz w:val="14"/>
          <w:szCs w:val="14"/>
          <w:color w:val="auto"/>
        </w:rPr>
        <w:t>THIRD: The remainder, if any, shall be paid to the Guarantors or the Issuer, as applicable, or to whomsoever may be lawfully entitled to receive the same, or as a court of competent jurisdiction may direct.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10" w:name="page111"/>
    <w:bookmarkEnd w:id="110"/>
    <w:p>
      <w:pPr>
        <w:spacing w:after="0"/>
        <w:tabs>
          <w:tab w:leader="none" w:pos="960" w:val="left"/>
        </w:tabs>
        <w:rPr>
          <w:sz w:val="20"/>
          <w:szCs w:val="20"/>
          <w:color w:val="auto"/>
        </w:rPr>
      </w:pPr>
      <w:r>
        <w:rPr>
          <w:rFonts w:ascii="Arial" w:cs="Arial" w:eastAsia="Arial" w:hAnsi="Arial"/>
          <w:sz w:val="14"/>
          <w:szCs w:val="14"/>
          <w:color w:val="auto"/>
        </w:rPr>
        <w:t>Section 507.</w:t>
      </w:r>
      <w:r>
        <w:rPr>
          <w:sz w:val="20"/>
          <w:szCs w:val="20"/>
          <w:color w:val="auto"/>
        </w:rPr>
        <w:tab/>
      </w:r>
      <w:r>
        <w:rPr>
          <w:rFonts w:ascii="Arial" w:cs="Arial" w:eastAsia="Arial" w:hAnsi="Arial"/>
          <w:sz w:val="13"/>
          <w:szCs w:val="13"/>
          <w:u w:val="single" w:color="auto"/>
          <w:color w:val="auto"/>
        </w:rPr>
        <w:t>Limitation on Suits</w:t>
      </w:r>
      <w:r>
        <w:rPr>
          <w:rFonts w:ascii="Arial" w:cs="Arial" w:eastAsia="Arial" w:hAnsi="Arial"/>
          <w:sz w:val="13"/>
          <w:szCs w:val="13"/>
          <w:color w:val="auto"/>
        </w:rPr>
        <w:t>.</w:t>
      </w:r>
    </w:p>
    <w:p>
      <w:pPr>
        <w:spacing w:after="0" w:line="171" w:lineRule="exact"/>
        <w:rPr>
          <w:sz w:val="20"/>
          <w:szCs w:val="20"/>
          <w:color w:val="auto"/>
        </w:rPr>
      </w:pPr>
    </w:p>
    <w:p>
      <w:pPr>
        <w:ind w:right="540" w:firstLine="498"/>
        <w:spacing w:after="0" w:line="268" w:lineRule="auto"/>
        <w:rPr>
          <w:sz w:val="20"/>
          <w:szCs w:val="20"/>
          <w:color w:val="auto"/>
        </w:rPr>
      </w:pPr>
      <w:r>
        <w:rPr>
          <w:rFonts w:ascii="Arial" w:cs="Arial" w:eastAsia="Arial" w:hAnsi="Arial"/>
          <w:sz w:val="14"/>
          <w:szCs w:val="14"/>
          <w:color w:val="auto"/>
        </w:rPr>
        <w:t>A Holder of Notes may not institute any proceeding, judicial or otherwise, with respect to the Indenture or the Notes, or for the appointment of a receiver or trustee, or for any other remedy hereunder, unless:</w:t>
      </w:r>
    </w:p>
    <w:p>
      <w:pPr>
        <w:spacing w:after="0" w:line="138" w:lineRule="exact"/>
        <w:rPr>
          <w:sz w:val="20"/>
          <w:szCs w:val="20"/>
          <w:color w:val="auto"/>
        </w:rPr>
      </w:pPr>
    </w:p>
    <w:p>
      <w:pPr>
        <w:ind w:left="1480" w:hanging="481"/>
        <w:spacing w:after="0"/>
        <w:tabs>
          <w:tab w:leader="none" w:pos="1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Holder gives to the Trustee written notice of a continuing Event of Default;</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Holder or Holders of at least 25.0% in aggregate principal amount of the Outstanding Notes make a written request to the Trustee to pursue the remedy;</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such Holder or Holders offer the Trustee indemnity satisfactory to the Trustee against any costs, liability or expense;</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Trustee does not comply with the request within 60 days after receipt of the request and the offer of indemnity; and</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during such 60-day period, the Holders of a majority in aggregate principal amount of the Outstanding Notes do not give the Trustee a direction that is inconsistent with the request.</w:t>
      </w:r>
    </w:p>
    <w:p>
      <w:pPr>
        <w:spacing w:after="0" w:line="194" w:lineRule="exact"/>
        <w:rPr>
          <w:sz w:val="20"/>
          <w:szCs w:val="20"/>
          <w:color w:val="auto"/>
        </w:rPr>
      </w:pPr>
    </w:p>
    <w:p>
      <w:pPr>
        <w:ind w:right="560" w:firstLine="498"/>
        <w:spacing w:after="0" w:line="307" w:lineRule="auto"/>
        <w:rPr>
          <w:sz w:val="20"/>
          <w:szCs w:val="20"/>
          <w:color w:val="auto"/>
        </w:rPr>
      </w:pPr>
      <w:r>
        <w:rPr>
          <w:rFonts w:ascii="Arial" w:cs="Arial" w:eastAsia="Arial" w:hAnsi="Arial"/>
          <w:sz w:val="13"/>
          <w:szCs w:val="13"/>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508.</w:t>
      </w:r>
      <w:r>
        <w:rPr>
          <w:sz w:val="20"/>
          <w:szCs w:val="20"/>
          <w:color w:val="auto"/>
        </w:rPr>
        <w:tab/>
      </w:r>
      <w:r>
        <w:rPr>
          <w:rFonts w:ascii="Arial" w:cs="Arial" w:eastAsia="Arial" w:hAnsi="Arial"/>
          <w:sz w:val="12"/>
          <w:szCs w:val="12"/>
          <w:u w:val="single" w:color="auto"/>
          <w:color w:val="auto"/>
        </w:rPr>
        <w:t>Unconditional Right of Holders to Receive Principal, Premium and Interest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21" w:lineRule="auto"/>
        <w:rPr>
          <w:sz w:val="20"/>
          <w:szCs w:val="20"/>
          <w:color w:val="auto"/>
        </w:rPr>
      </w:pPr>
      <w:r>
        <w:rPr>
          <w:rFonts w:ascii="Arial" w:cs="Arial" w:eastAsia="Arial" w:hAnsi="Arial"/>
          <w:sz w:val="12"/>
          <w:szCs w:val="12"/>
          <w:color w:val="auto"/>
        </w:rPr>
        <w:t>Notwithstanding any other provision in the Indenture, the Holder of any Notes shall have the right, which is absolute and unconditional, to receive payment of the principal of and any premium and (subject to Section 307)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110"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509.</w:t>
      </w:r>
      <w:r>
        <w:rPr>
          <w:sz w:val="20"/>
          <w:szCs w:val="20"/>
          <w:color w:val="auto"/>
        </w:rPr>
        <w:tab/>
      </w:r>
      <w:r>
        <w:rPr>
          <w:rFonts w:ascii="Arial" w:cs="Arial" w:eastAsia="Arial" w:hAnsi="Arial"/>
          <w:sz w:val="12"/>
          <w:szCs w:val="12"/>
          <w:u w:val="single" w:color="auto"/>
          <w:color w:val="auto"/>
        </w:rPr>
        <w:t>Restoration of Rights and Remedies</w:t>
      </w:r>
      <w:r>
        <w:rPr>
          <w:rFonts w:ascii="Arial" w:cs="Arial" w:eastAsia="Arial" w:hAnsi="Arial"/>
          <w:sz w:val="12"/>
          <w:szCs w:val="12"/>
          <w:color w:val="auto"/>
        </w:rPr>
        <w:t>.</w:t>
      </w:r>
    </w:p>
    <w:p>
      <w:pPr>
        <w:spacing w:after="0" w:line="171" w:lineRule="exact"/>
        <w:rPr>
          <w:sz w:val="20"/>
          <w:szCs w:val="20"/>
          <w:color w:val="auto"/>
        </w:rPr>
      </w:pPr>
    </w:p>
    <w:p>
      <w:pPr>
        <w:jc w:val="both"/>
        <w:ind w:right="140" w:firstLine="498"/>
        <w:spacing w:after="0" w:line="321" w:lineRule="auto"/>
        <w:rPr>
          <w:sz w:val="20"/>
          <w:szCs w:val="20"/>
          <w:color w:val="auto"/>
        </w:rPr>
      </w:pPr>
      <w:r>
        <w:rPr>
          <w:rFonts w:ascii="Arial" w:cs="Arial" w:eastAsia="Arial" w:hAnsi="Arial"/>
          <w:sz w:val="12"/>
          <w:szCs w:val="12"/>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11" w:name="page112"/>
    <w:bookmarkEnd w:id="111"/>
    <w:p>
      <w:pPr>
        <w:spacing w:after="0"/>
        <w:tabs>
          <w:tab w:leader="none" w:pos="960" w:val="left"/>
        </w:tabs>
        <w:rPr>
          <w:sz w:val="20"/>
          <w:szCs w:val="20"/>
          <w:color w:val="auto"/>
        </w:rPr>
      </w:pPr>
      <w:r>
        <w:rPr>
          <w:rFonts w:ascii="Arial" w:cs="Arial" w:eastAsia="Arial" w:hAnsi="Arial"/>
          <w:sz w:val="14"/>
          <w:szCs w:val="14"/>
          <w:color w:val="auto"/>
        </w:rPr>
        <w:t>Section 510.</w:t>
      </w:r>
      <w:r>
        <w:rPr>
          <w:sz w:val="20"/>
          <w:szCs w:val="20"/>
          <w:color w:val="auto"/>
        </w:rPr>
        <w:tab/>
      </w:r>
      <w:r>
        <w:rPr>
          <w:rFonts w:ascii="Arial" w:cs="Arial" w:eastAsia="Arial" w:hAnsi="Arial"/>
          <w:sz w:val="12"/>
          <w:szCs w:val="12"/>
          <w:u w:val="single" w:color="auto"/>
          <w:color w:val="auto"/>
        </w:rPr>
        <w:t>Rights and Remedies Cumulative</w:t>
      </w:r>
      <w:r>
        <w:rPr>
          <w:rFonts w:ascii="Arial" w:cs="Arial" w:eastAsia="Arial" w:hAnsi="Arial"/>
          <w:sz w:val="12"/>
          <w:szCs w:val="12"/>
          <w:color w:val="auto"/>
        </w:rPr>
        <w:t>.</w:t>
      </w:r>
    </w:p>
    <w:p>
      <w:pPr>
        <w:spacing w:after="0" w:line="171" w:lineRule="exact"/>
        <w:rPr>
          <w:sz w:val="20"/>
          <w:szCs w:val="20"/>
          <w:color w:val="auto"/>
        </w:rPr>
      </w:pPr>
    </w:p>
    <w:p>
      <w:pPr>
        <w:ind w:right="100" w:firstLine="498"/>
        <w:spacing w:after="0" w:line="254" w:lineRule="auto"/>
        <w:rPr>
          <w:sz w:val="20"/>
          <w:szCs w:val="20"/>
          <w:color w:val="auto"/>
        </w:rPr>
      </w:pPr>
      <w:r>
        <w:rPr>
          <w:rFonts w:ascii="Arial" w:cs="Arial" w:eastAsia="Arial" w:hAnsi="Arial"/>
          <w:sz w:val="14"/>
          <w:szCs w:val="14"/>
          <w:color w:val="auto"/>
        </w:rPr>
        <w:t>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511.</w:t>
      </w:r>
      <w:r>
        <w:rPr>
          <w:sz w:val="20"/>
          <w:szCs w:val="20"/>
          <w:color w:val="auto"/>
        </w:rPr>
        <w:tab/>
      </w:r>
      <w:r>
        <w:rPr>
          <w:rFonts w:ascii="Arial" w:cs="Arial" w:eastAsia="Arial" w:hAnsi="Arial"/>
          <w:sz w:val="12"/>
          <w:szCs w:val="12"/>
          <w:u w:val="single" w:color="auto"/>
          <w:color w:val="auto"/>
        </w:rPr>
        <w:t>Delay or Omission Not Waiver</w:t>
      </w:r>
      <w:r>
        <w:rPr>
          <w:rFonts w:ascii="Arial" w:cs="Arial" w:eastAsia="Arial" w:hAnsi="Arial"/>
          <w:sz w:val="12"/>
          <w:szCs w:val="12"/>
          <w:color w:val="auto"/>
        </w:rPr>
        <w:t>.</w:t>
      </w:r>
    </w:p>
    <w:p>
      <w:pPr>
        <w:spacing w:after="0" w:line="171" w:lineRule="exact"/>
        <w:rPr>
          <w:sz w:val="20"/>
          <w:szCs w:val="20"/>
          <w:color w:val="auto"/>
        </w:rPr>
      </w:pPr>
    </w:p>
    <w:p>
      <w:pPr>
        <w:ind w:right="240" w:firstLine="498"/>
        <w:spacing w:after="0" w:line="258" w:lineRule="auto"/>
        <w:rPr>
          <w:sz w:val="20"/>
          <w:szCs w:val="20"/>
          <w:color w:val="auto"/>
        </w:rPr>
      </w:pPr>
      <w:r>
        <w:rPr>
          <w:rFonts w:ascii="Arial" w:cs="Arial" w:eastAsia="Arial" w:hAnsi="Arial"/>
          <w:sz w:val="14"/>
          <w:szCs w:val="14"/>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512.</w:t>
      </w:r>
      <w:r>
        <w:rPr>
          <w:sz w:val="20"/>
          <w:szCs w:val="20"/>
          <w:color w:val="auto"/>
        </w:rPr>
        <w:tab/>
      </w:r>
      <w:r>
        <w:rPr>
          <w:rFonts w:ascii="Arial" w:cs="Arial" w:eastAsia="Arial" w:hAnsi="Arial"/>
          <w:sz w:val="12"/>
          <w:szCs w:val="12"/>
          <w:u w:val="single" w:color="auto"/>
          <w:color w:val="auto"/>
        </w:rPr>
        <w:t>Control by Holders</w:t>
      </w:r>
      <w:r>
        <w:rPr>
          <w:rFonts w:ascii="Arial" w:cs="Arial" w:eastAsia="Arial" w:hAnsi="Arial"/>
          <w:sz w:val="12"/>
          <w:szCs w:val="12"/>
          <w:color w:val="auto"/>
        </w:rPr>
        <w:t>.</w:t>
      </w:r>
    </w:p>
    <w:p>
      <w:pPr>
        <w:spacing w:after="0" w:line="171" w:lineRule="exact"/>
        <w:rPr>
          <w:sz w:val="20"/>
          <w:szCs w:val="20"/>
          <w:color w:val="auto"/>
        </w:rPr>
      </w:pPr>
    </w:p>
    <w:p>
      <w:pPr>
        <w:ind w:right="560" w:firstLine="498"/>
        <w:spacing w:after="0" w:line="268" w:lineRule="auto"/>
        <w:rPr>
          <w:sz w:val="20"/>
          <w:szCs w:val="20"/>
          <w:color w:val="auto"/>
        </w:rPr>
      </w:pPr>
      <w:r>
        <w:rPr>
          <w:rFonts w:ascii="Arial" w:cs="Arial" w:eastAsia="Arial" w:hAnsi="Arial"/>
          <w:sz w:val="14"/>
          <w:szCs w:val="14"/>
          <w:color w:val="auto"/>
        </w:rPr>
        <w:t xml:space="preserve">Subject to Section 603(5), the Holders of a majority in aggregate principal amount of the then Outstanding Notes shall have the right to direct the time, method and place of conducting any proceeding for exercising any remedy available to the Trustee, or exercising any trust or power conferred on the Trustee,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38" w:lineRule="exact"/>
        <w:rPr>
          <w:sz w:val="20"/>
          <w:szCs w:val="20"/>
          <w:color w:val="auto"/>
        </w:rPr>
      </w:pPr>
    </w:p>
    <w:p>
      <w:pPr>
        <w:ind w:left="500" w:right="500" w:firstLine="499"/>
        <w:spacing w:after="0" w:line="268" w:lineRule="auto"/>
        <w:tabs>
          <w:tab w:leader="none" w:pos="148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and</w:t>
      </w:r>
    </w:p>
    <w:p>
      <w:pPr>
        <w:spacing w:after="0" w:line="138" w:lineRule="exact"/>
        <w:rPr>
          <w:rFonts w:ascii="Arial" w:cs="Arial" w:eastAsia="Arial" w:hAnsi="Arial"/>
          <w:sz w:val="14"/>
          <w:szCs w:val="14"/>
          <w:color w:val="auto"/>
        </w:rPr>
      </w:pPr>
    </w:p>
    <w:p>
      <w:pPr>
        <w:ind w:left="1480" w:hanging="481"/>
        <w:spacing w:after="0"/>
        <w:tabs>
          <w:tab w:leader="none" w:pos="1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Trustee may take any other action deemed proper by the Trustee that is not inconsistent with any such direction received from such Holders of Notes.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513.</w:t>
      </w:r>
      <w:r>
        <w:rPr>
          <w:sz w:val="20"/>
          <w:szCs w:val="20"/>
          <w:color w:val="auto"/>
        </w:rPr>
        <w:tab/>
      </w:r>
      <w:r>
        <w:rPr>
          <w:rFonts w:ascii="Arial" w:cs="Arial" w:eastAsia="Arial" w:hAnsi="Arial"/>
          <w:sz w:val="12"/>
          <w:szCs w:val="12"/>
          <w:u w:val="single" w:color="auto"/>
          <w:color w:val="auto"/>
        </w:rPr>
        <w:t>Waiver of Existing Defaults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138" w:lineRule="exact"/>
        <w:rPr>
          <w:sz w:val="20"/>
          <w:szCs w:val="20"/>
          <w:color w:val="auto"/>
        </w:rPr>
      </w:pPr>
    </w:p>
    <w:p>
      <w:pPr>
        <w:ind w:left="500" w:right="420" w:firstLine="499"/>
        <w:spacing w:after="0" w:line="268" w:lineRule="auto"/>
        <w:tabs>
          <w:tab w:leader="none" w:pos="148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138" w:lineRule="exact"/>
        <w:rPr>
          <w:rFonts w:ascii="Arial" w:cs="Arial" w:eastAsia="Arial" w:hAnsi="Arial"/>
          <w:sz w:val="14"/>
          <w:szCs w:val="14"/>
          <w:color w:val="auto"/>
        </w:rPr>
      </w:pPr>
    </w:p>
    <w:p>
      <w:pPr>
        <w:ind w:left="5660" w:right="480" w:hanging="4661"/>
        <w:spacing w:after="0" w:line="516" w:lineRule="auto"/>
        <w:tabs>
          <w:tab w:leader="none" w:pos="1478"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respect of a covenant or provision hereof which under Article Nine cannot be modified or amended without the consent of the Holder of each Outstanding Note affected.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2" w:name="page113"/>
    <w:bookmarkEnd w:id="112"/>
    <w:p>
      <w:pPr>
        <w:ind w:right="140" w:firstLine="498"/>
        <w:spacing w:after="0" w:line="268" w:lineRule="auto"/>
        <w:rPr>
          <w:sz w:val="20"/>
          <w:szCs w:val="20"/>
          <w:color w:val="auto"/>
        </w:rPr>
      </w:pPr>
      <w:r>
        <w:rPr>
          <w:rFonts w:ascii="Arial" w:cs="Arial" w:eastAsia="Arial" w:hAnsi="Arial"/>
          <w:sz w:val="14"/>
          <w:szCs w:val="14"/>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514.</w:t>
      </w:r>
      <w:r>
        <w:rPr>
          <w:sz w:val="20"/>
          <w:szCs w:val="20"/>
          <w:color w:val="auto"/>
        </w:rPr>
        <w:tab/>
      </w:r>
      <w:r>
        <w:rPr>
          <w:rFonts w:ascii="Arial" w:cs="Arial" w:eastAsia="Arial" w:hAnsi="Arial"/>
          <w:sz w:val="12"/>
          <w:szCs w:val="12"/>
          <w:u w:val="single" w:color="auto"/>
          <w:color w:val="auto"/>
        </w:rPr>
        <w:t>Undertaking for Costs</w:t>
      </w:r>
      <w:r>
        <w:rPr>
          <w:rFonts w:ascii="Arial" w:cs="Arial" w:eastAsia="Arial" w:hAnsi="Arial"/>
          <w:sz w:val="12"/>
          <w:szCs w:val="12"/>
          <w:color w:val="auto"/>
        </w:rPr>
        <w:t>.</w:t>
      </w:r>
    </w:p>
    <w:p>
      <w:pPr>
        <w:spacing w:after="0" w:line="171" w:lineRule="exact"/>
        <w:rPr>
          <w:sz w:val="20"/>
          <w:szCs w:val="20"/>
          <w:color w:val="auto"/>
        </w:rPr>
      </w:pPr>
    </w:p>
    <w:p>
      <w:pPr>
        <w:jc w:val="both"/>
        <w:ind w:right="100" w:firstLine="498"/>
        <w:spacing w:after="0" w:line="321" w:lineRule="auto"/>
        <w:rPr>
          <w:sz w:val="20"/>
          <w:szCs w:val="20"/>
          <w:color w:val="auto"/>
        </w:rPr>
      </w:pPr>
      <w:r>
        <w:rPr>
          <w:rFonts w:ascii="Arial" w:cs="Arial" w:eastAsia="Arial" w:hAnsi="Arial"/>
          <w:sz w:val="12"/>
          <w:szCs w:val="12"/>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neither this Section nor the Trust Indenture Act shall be deemed to authorize any court to require such an undertaking or to make such an assessment in any suit instituted by the Issuer.</w:t>
      </w:r>
    </w:p>
    <w:p>
      <w:pPr>
        <w:spacing w:after="0" w:line="110"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515.</w:t>
      </w:r>
      <w:r>
        <w:rPr>
          <w:sz w:val="20"/>
          <w:szCs w:val="20"/>
          <w:color w:val="auto"/>
        </w:rPr>
        <w:tab/>
      </w:r>
      <w:r>
        <w:rPr>
          <w:rFonts w:ascii="Arial" w:cs="Arial" w:eastAsia="Arial" w:hAnsi="Arial"/>
          <w:sz w:val="12"/>
          <w:szCs w:val="12"/>
          <w:u w:val="single" w:color="auto"/>
          <w:color w:val="auto"/>
        </w:rPr>
        <w:t>Waiver of Usury, Stay or Extension Laws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80" w:lineRule="auto"/>
        <w:rPr>
          <w:sz w:val="20"/>
          <w:szCs w:val="20"/>
          <w:color w:val="auto"/>
        </w:rPr>
      </w:pPr>
      <w:r>
        <w:rPr>
          <w:rFonts w:ascii="Arial" w:cs="Arial" w:eastAsia="Arial" w:hAnsi="Arial"/>
          <w:sz w:val="13"/>
          <w:szCs w:val="13"/>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ARTICLE SIX</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THE TRUSTEE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601.</w:t>
      </w:r>
      <w:r>
        <w:rPr>
          <w:sz w:val="20"/>
          <w:szCs w:val="20"/>
          <w:color w:val="auto"/>
        </w:rPr>
        <w:tab/>
      </w:r>
      <w:r>
        <w:rPr>
          <w:rFonts w:ascii="Arial" w:cs="Arial" w:eastAsia="Arial" w:hAnsi="Arial"/>
          <w:sz w:val="12"/>
          <w:szCs w:val="12"/>
          <w:u w:val="single" w:color="auto"/>
          <w:color w:val="auto"/>
        </w:rPr>
        <w:t>Certain Duties and Responsibilities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10" w:lineRule="auto"/>
        <w:rPr>
          <w:sz w:val="20"/>
          <w:szCs w:val="20"/>
          <w:color w:val="auto"/>
        </w:rPr>
      </w:pPr>
      <w:r>
        <w:rPr>
          <w:rFonts w:ascii="Arial" w:cs="Arial" w:eastAsia="Arial" w:hAnsi="Arial"/>
          <w:sz w:val="12"/>
          <w:szCs w:val="12"/>
          <w:color w:val="auto"/>
        </w:rPr>
        <w:t>The duties and responsibilities of the Trustee shall be as provided by the Trust Indenture Act. 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the Indenture relating to the conduct or affecting the liability of or affording protection to the Trustee shall be subject to the provisions of this Section.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602.</w:t>
      </w:r>
      <w:r>
        <w:rPr>
          <w:sz w:val="20"/>
          <w:szCs w:val="20"/>
          <w:color w:val="auto"/>
        </w:rPr>
        <w:tab/>
      </w:r>
      <w:r>
        <w:rPr>
          <w:rFonts w:ascii="Arial" w:cs="Arial" w:eastAsia="Arial" w:hAnsi="Arial"/>
          <w:sz w:val="12"/>
          <w:szCs w:val="12"/>
          <w:u w:val="single" w:color="auto"/>
          <w:color w:val="auto"/>
        </w:rPr>
        <w:t>Notice of Defaults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 xml:space="preserve">If a default occurs hereunder which is actually known to a Responsible Officer of the Trustee, the Trustee shall give the Holders of the Notes notice of such default as and to the extent provided by the Trust Indenture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the case of any default of the character specified in Section 501(4) or 501(5), no such notice to Holders shall be given until at least 30 days after the occurrence thereof. For the purpose of this Section, the term “default”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auto"/>
        </w:rPr>
        <w:t>means any Event of Default and any event which is, or after notice or lapse of time or both would become, an Event of Default.</w:t>
      </w:r>
    </w:p>
    <w:p>
      <w:pPr>
        <w:spacing w:after="0" w:line="171" w:lineRule="exact"/>
        <w:rPr>
          <w:sz w:val="20"/>
          <w:szCs w:val="20"/>
          <w:color w:val="auto"/>
        </w:rPr>
      </w:pPr>
    </w:p>
    <w:p>
      <w:pPr>
        <w:ind w:right="180" w:firstLine="498"/>
        <w:spacing w:after="0" w:line="307" w:lineRule="auto"/>
        <w:rPr>
          <w:sz w:val="20"/>
          <w:szCs w:val="20"/>
          <w:color w:val="auto"/>
        </w:rPr>
      </w:pPr>
      <w:r>
        <w:rPr>
          <w:rFonts w:ascii="Arial" w:cs="Arial" w:eastAsia="Arial" w:hAnsi="Arial"/>
          <w:sz w:val="13"/>
          <w:szCs w:val="13"/>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603.</w:t>
      </w:r>
      <w:r>
        <w:rPr>
          <w:sz w:val="20"/>
          <w:szCs w:val="20"/>
          <w:color w:val="auto"/>
        </w:rPr>
        <w:tab/>
      </w:r>
      <w:r>
        <w:rPr>
          <w:rFonts w:ascii="Arial" w:cs="Arial" w:eastAsia="Arial" w:hAnsi="Arial"/>
          <w:sz w:val="12"/>
          <w:szCs w:val="12"/>
          <w:u w:val="single" w:color="auto"/>
          <w:color w:val="auto"/>
        </w:rPr>
        <w:t>Certain Rights of Trustee</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Subject to the provisions of Section 601:</w:t>
      </w:r>
    </w:p>
    <w:p>
      <w:pPr>
        <w:spacing w:after="0" w:line="171" w:lineRule="exact"/>
        <w:rPr>
          <w:sz w:val="20"/>
          <w:szCs w:val="20"/>
          <w:color w:val="auto"/>
        </w:rPr>
      </w:pPr>
    </w:p>
    <w:p>
      <w:pPr>
        <w:jc w:val="both"/>
        <w:ind w:left="500" w:right="260" w:firstLine="499"/>
        <w:spacing w:after="0" w:line="353" w:lineRule="auto"/>
        <w:tabs>
          <w:tab w:leader="none" w:pos="1482"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91" w:lineRule="exact"/>
        <w:rPr>
          <w:rFonts w:ascii="Arial" w:cs="Arial" w:eastAsia="Arial" w:hAnsi="Arial"/>
          <w:sz w:val="12"/>
          <w:szCs w:val="12"/>
          <w:color w:val="auto"/>
        </w:rPr>
      </w:pPr>
    </w:p>
    <w:p>
      <w:pPr>
        <w:ind w:left="500" w:right="220" w:firstLine="499"/>
        <w:spacing w:after="0" w:line="268" w:lineRule="auto"/>
        <w:tabs>
          <w:tab w:leader="none" w:pos="14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38" w:lineRule="exact"/>
        <w:rPr>
          <w:rFonts w:ascii="Arial" w:cs="Arial" w:eastAsia="Arial" w:hAnsi="Arial"/>
          <w:sz w:val="14"/>
          <w:szCs w:val="14"/>
          <w:color w:val="auto"/>
        </w:rPr>
      </w:pPr>
    </w:p>
    <w:p>
      <w:pPr>
        <w:ind w:left="500" w:right="40" w:firstLine="499"/>
        <w:spacing w:after="0" w:line="268" w:lineRule="auto"/>
        <w:tabs>
          <w:tab w:leader="none" w:pos="14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38" w:lineRule="exact"/>
        <w:rPr>
          <w:rFonts w:ascii="Arial" w:cs="Arial" w:eastAsia="Arial" w:hAnsi="Arial"/>
          <w:sz w:val="14"/>
          <w:szCs w:val="14"/>
          <w:color w:val="auto"/>
        </w:rPr>
      </w:pPr>
    </w:p>
    <w:p>
      <w:pPr>
        <w:ind w:left="500" w:right="240" w:firstLine="499"/>
        <w:spacing w:after="0" w:line="268" w:lineRule="auto"/>
        <w:tabs>
          <w:tab w:leader="none" w:pos="14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38" w:lineRule="exact"/>
        <w:rPr>
          <w:rFonts w:ascii="Arial" w:cs="Arial" w:eastAsia="Arial" w:hAnsi="Arial"/>
          <w:sz w:val="14"/>
          <w:szCs w:val="14"/>
          <w:color w:val="auto"/>
        </w:rPr>
      </w:pPr>
    </w:p>
    <w:p>
      <w:pPr>
        <w:ind w:left="500" w:right="540" w:firstLine="499"/>
        <w:spacing w:after="0" w:line="258" w:lineRule="auto"/>
        <w:tabs>
          <w:tab w:leader="none" w:pos="14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144" w:lineRule="exact"/>
        <w:rPr>
          <w:rFonts w:ascii="Arial" w:cs="Arial" w:eastAsia="Arial" w:hAnsi="Arial"/>
          <w:sz w:val="14"/>
          <w:szCs w:val="14"/>
          <w:color w:val="auto"/>
        </w:rPr>
      </w:pPr>
    </w:p>
    <w:p>
      <w:pPr>
        <w:ind w:left="500" w:firstLine="499"/>
        <w:spacing w:after="0" w:line="254" w:lineRule="auto"/>
        <w:tabs>
          <w:tab w:leader="none" w:pos="14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4" w:name="page115"/>
    <w:bookmarkEnd w:id="114"/>
    <w:p>
      <w:pPr>
        <w:ind w:left="500" w:right="220" w:firstLine="499"/>
        <w:spacing w:after="0" w:line="268" w:lineRule="auto"/>
        <w:tabs>
          <w:tab w:leader="none" w:pos="1539"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8" w:lineRule="exact"/>
        <w:rPr>
          <w:rFonts w:ascii="Arial" w:cs="Arial" w:eastAsia="Arial" w:hAnsi="Arial"/>
          <w:sz w:val="14"/>
          <w:szCs w:val="14"/>
          <w:color w:val="auto"/>
        </w:rPr>
      </w:pPr>
    </w:p>
    <w:p>
      <w:pPr>
        <w:ind w:left="1540" w:hanging="541"/>
        <w:spacing w:after="0"/>
        <w:tabs>
          <w:tab w:leader="none" w:pos="1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Trustee shall not be liable for any action it takes or omits to take in good faith which it believes authorized or within its rights;</w:t>
      </w:r>
    </w:p>
    <w:p>
      <w:pPr>
        <w:spacing w:after="0" w:line="170" w:lineRule="exact"/>
        <w:rPr>
          <w:rFonts w:ascii="Arial" w:cs="Arial" w:eastAsia="Arial" w:hAnsi="Arial"/>
          <w:sz w:val="14"/>
          <w:szCs w:val="14"/>
          <w:color w:val="auto"/>
        </w:rPr>
      </w:pPr>
    </w:p>
    <w:p>
      <w:pPr>
        <w:jc w:val="both"/>
        <w:ind w:left="500" w:firstLine="499"/>
        <w:spacing w:after="0" w:line="287" w:lineRule="auto"/>
        <w:tabs>
          <w:tab w:leader="none" w:pos="1539"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27" w:lineRule="exact"/>
        <w:rPr>
          <w:rFonts w:ascii="Arial" w:cs="Arial" w:eastAsia="Arial" w:hAnsi="Arial"/>
          <w:sz w:val="13"/>
          <w:szCs w:val="13"/>
          <w:color w:val="auto"/>
        </w:rPr>
      </w:pPr>
    </w:p>
    <w:p>
      <w:pPr>
        <w:ind w:left="500" w:right="40" w:firstLine="499"/>
        <w:spacing w:after="0" w:line="254" w:lineRule="auto"/>
        <w:tabs>
          <w:tab w:leader="none" w:pos="1539"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 and</w:t>
      </w:r>
    </w:p>
    <w:p>
      <w:pPr>
        <w:spacing w:after="0" w:line="148" w:lineRule="exact"/>
        <w:rPr>
          <w:rFonts w:ascii="Arial" w:cs="Arial" w:eastAsia="Arial" w:hAnsi="Arial"/>
          <w:sz w:val="14"/>
          <w:szCs w:val="14"/>
          <w:color w:val="auto"/>
        </w:rPr>
      </w:pPr>
    </w:p>
    <w:p>
      <w:pPr>
        <w:ind w:left="500" w:right="140" w:firstLine="499"/>
        <w:spacing w:after="0" w:line="268" w:lineRule="auto"/>
        <w:tabs>
          <w:tab w:leader="none" w:pos="1534"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no event shall the Trustee be responsible or liable for special, indirect, punitive or consequential loss or damage of any kind whatsoever (including, but not limited to, loss of profit) irrespective of whether such Trustee has been advised of the likelihood of such loss or damage and regardless of the form of action.</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604.</w:t>
      </w:r>
      <w:r>
        <w:rPr>
          <w:sz w:val="20"/>
          <w:szCs w:val="20"/>
          <w:color w:val="auto"/>
        </w:rPr>
        <w:tab/>
      </w:r>
      <w:r>
        <w:rPr>
          <w:rFonts w:ascii="Arial" w:cs="Arial" w:eastAsia="Arial" w:hAnsi="Arial"/>
          <w:sz w:val="12"/>
          <w:szCs w:val="12"/>
          <w:u w:val="single" w:color="auto"/>
          <w:color w:val="auto"/>
        </w:rPr>
        <w:t>Not Responsible for Recitals or Issuance of Notes</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58" w:lineRule="auto"/>
        <w:rPr>
          <w:sz w:val="20"/>
          <w:szCs w:val="20"/>
          <w:color w:val="auto"/>
        </w:rPr>
      </w:pPr>
      <w:r>
        <w:rPr>
          <w:rFonts w:ascii="Arial" w:cs="Arial" w:eastAsia="Arial" w:hAnsi="Arial"/>
          <w:sz w:val="14"/>
          <w:szCs w:val="14"/>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or of the Notes. Neither the Trustee nor any Authenticating Agent shall be accountable for the use or application by the Issuer of Notes or the proceeds thereof.</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605.</w:t>
      </w:r>
      <w:r>
        <w:rPr>
          <w:sz w:val="20"/>
          <w:szCs w:val="20"/>
          <w:color w:val="auto"/>
        </w:rPr>
        <w:tab/>
      </w:r>
      <w:r>
        <w:rPr>
          <w:rFonts w:ascii="Arial" w:cs="Arial" w:eastAsia="Arial" w:hAnsi="Arial"/>
          <w:sz w:val="12"/>
          <w:szCs w:val="12"/>
          <w:u w:val="single" w:color="auto"/>
          <w:color w:val="auto"/>
        </w:rPr>
        <w:t>May Hold Notes</w:t>
      </w:r>
      <w:r>
        <w:rPr>
          <w:rFonts w:ascii="Arial" w:cs="Arial" w:eastAsia="Arial" w:hAnsi="Arial"/>
          <w:sz w:val="12"/>
          <w:szCs w:val="12"/>
          <w:color w:val="auto"/>
        </w:rPr>
        <w:t>.</w:t>
      </w:r>
    </w:p>
    <w:p>
      <w:pPr>
        <w:spacing w:after="0" w:line="171" w:lineRule="exact"/>
        <w:rPr>
          <w:sz w:val="20"/>
          <w:szCs w:val="20"/>
          <w:color w:val="auto"/>
        </w:rPr>
      </w:pPr>
    </w:p>
    <w:p>
      <w:pPr>
        <w:ind w:right="240" w:firstLine="498"/>
        <w:spacing w:after="0" w:line="353" w:lineRule="auto"/>
        <w:rPr>
          <w:sz w:val="20"/>
          <w:szCs w:val="20"/>
          <w:color w:val="auto"/>
        </w:rPr>
      </w:pPr>
      <w:r>
        <w:rPr>
          <w:rFonts w:ascii="Arial" w:cs="Arial" w:eastAsia="Arial" w:hAnsi="Arial"/>
          <w:sz w:val="12"/>
          <w:szCs w:val="12"/>
          <w:color w:val="auto"/>
        </w:rPr>
        <w:t>The Trustee, any Authenticating Agent, any Paying Agent, any Registrar or any other agent of the Issuer, in its individual or any other capacity, may become the owner or pledgee of Notes and, subject to Sections 608 and 613, may otherwise deal with the Issuer with the same rights it would have if it were not Trustee, Authenticating Agent, Paying Agent, Registrar or such other agent.</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115" w:name="page116"/>
    <w:bookmarkEnd w:id="115"/>
    <w:p>
      <w:pPr>
        <w:spacing w:after="0"/>
        <w:tabs>
          <w:tab w:leader="none" w:pos="980" w:val="left"/>
        </w:tabs>
        <w:rPr>
          <w:sz w:val="20"/>
          <w:szCs w:val="20"/>
          <w:color w:val="auto"/>
        </w:rPr>
      </w:pPr>
      <w:r>
        <w:rPr>
          <w:rFonts w:ascii="Arial" w:cs="Arial" w:eastAsia="Arial" w:hAnsi="Arial"/>
          <w:sz w:val="14"/>
          <w:szCs w:val="14"/>
          <w:color w:val="auto"/>
        </w:rPr>
        <w:t>Section 606.</w:t>
      </w:r>
      <w:r>
        <w:rPr>
          <w:sz w:val="20"/>
          <w:szCs w:val="20"/>
          <w:color w:val="auto"/>
        </w:rPr>
        <w:tab/>
      </w:r>
      <w:r>
        <w:rPr>
          <w:rFonts w:ascii="Arial" w:cs="Arial" w:eastAsia="Arial" w:hAnsi="Arial"/>
          <w:sz w:val="12"/>
          <w:szCs w:val="12"/>
          <w:u w:val="single" w:color="auto"/>
          <w:color w:val="auto"/>
        </w:rPr>
        <w:t>Money Held in Trust</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607.</w:t>
      </w:r>
      <w:r>
        <w:rPr>
          <w:sz w:val="20"/>
          <w:szCs w:val="20"/>
          <w:color w:val="auto"/>
        </w:rPr>
        <w:tab/>
      </w:r>
      <w:r>
        <w:rPr>
          <w:rFonts w:ascii="Arial" w:cs="Arial" w:eastAsia="Arial" w:hAnsi="Arial"/>
          <w:sz w:val="12"/>
          <w:szCs w:val="12"/>
          <w:u w:val="single" w:color="auto"/>
          <w:color w:val="auto"/>
        </w:rPr>
        <w:t>Compensation and Reimbursement</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Issuer agrees:</w:t>
      </w:r>
    </w:p>
    <w:p>
      <w:pPr>
        <w:spacing w:after="0" w:line="171" w:lineRule="exact"/>
        <w:rPr>
          <w:sz w:val="20"/>
          <w:szCs w:val="20"/>
          <w:color w:val="auto"/>
        </w:rPr>
      </w:pPr>
    </w:p>
    <w:p>
      <w:pPr>
        <w:ind w:left="500" w:right="160" w:firstLine="499"/>
        <w:spacing w:after="0" w:line="268" w:lineRule="auto"/>
        <w:tabs>
          <w:tab w:leader="none" w:pos="1539"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38" w:lineRule="exact"/>
        <w:rPr>
          <w:rFonts w:ascii="Arial" w:cs="Arial" w:eastAsia="Arial" w:hAnsi="Arial"/>
          <w:sz w:val="14"/>
          <w:szCs w:val="14"/>
          <w:color w:val="auto"/>
        </w:rPr>
      </w:pPr>
    </w:p>
    <w:p>
      <w:pPr>
        <w:ind w:left="500" w:right="200" w:firstLine="499"/>
        <w:spacing w:after="0" w:line="258" w:lineRule="auto"/>
        <w:tabs>
          <w:tab w:leader="none" w:pos="1539"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except any such expense, disbursement or advance as may be attributable to its gross negligence or willful misconduct; and</w:t>
      </w:r>
    </w:p>
    <w:p>
      <w:pPr>
        <w:spacing w:after="0" w:line="144" w:lineRule="exact"/>
        <w:rPr>
          <w:rFonts w:ascii="Arial" w:cs="Arial" w:eastAsia="Arial" w:hAnsi="Arial"/>
          <w:sz w:val="14"/>
          <w:szCs w:val="14"/>
          <w:color w:val="auto"/>
        </w:rPr>
      </w:pPr>
    </w:p>
    <w:p>
      <w:pPr>
        <w:jc w:val="both"/>
        <w:ind w:left="500" w:right="60" w:firstLine="499"/>
        <w:spacing w:after="0" w:line="287" w:lineRule="auto"/>
        <w:tabs>
          <w:tab w:leader="none" w:pos="1539"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indemnify the Trustee for, and to hold it harmless against, any loss, liability or expense incurred without gross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When the Trustee incurs expenses or renders services after the occurrence of an Event of Default specified in paragraph</w:t>
      </w:r>
    </w:p>
    <w:p>
      <w:pPr>
        <w:spacing w:after="0" w:line="127" w:lineRule="exact"/>
        <w:rPr>
          <w:rFonts w:ascii="Arial" w:cs="Arial" w:eastAsia="Arial" w:hAnsi="Arial"/>
          <w:sz w:val="13"/>
          <w:szCs w:val="13"/>
          <w:color w:val="auto"/>
        </w:rPr>
      </w:pPr>
    </w:p>
    <w:p>
      <w:pPr>
        <w:ind w:left="500" w:firstLine="499"/>
        <w:spacing w:after="0" w:line="252" w:lineRule="auto"/>
        <w:tabs>
          <w:tab w:leader="none" w:pos="1539" w:val="left"/>
        </w:tabs>
        <w:numPr>
          <w:ilvl w:val="0"/>
          <w:numId w:val="66"/>
        </w:numPr>
        <w:rPr>
          <w:rFonts w:ascii="Arial" w:cs="Arial" w:eastAsia="Arial" w:hAnsi="Arial"/>
          <w:sz w:val="14"/>
          <w:szCs w:val="14"/>
          <w:color w:val="auto"/>
        </w:rPr>
      </w:pPr>
      <w:r>
        <w:rPr>
          <w:rFonts w:ascii="Arial" w:cs="Arial" w:eastAsia="Arial" w:hAnsi="Arial"/>
          <w:sz w:val="14"/>
          <w:szCs w:val="14"/>
          <w:color w:val="auto"/>
        </w:rPr>
        <w:t>or (8) of Section 501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obligations of the Issuer under this Section 607 shall survive the satisfaction and discharge of the Indenture.</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To secure the Issuer’s payment obligations in this Section 607, the Trustee shall have a Lien prior to the Notes on all money or property held or collected by the Trustee, except that held in trust to pay principal and interest on particular Notes. Such Lien shall survive the satisfaction and discharge of the Indenture.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16" w:name="page117"/>
    <w:bookmarkEnd w:id="116"/>
    <w:p>
      <w:pPr>
        <w:spacing w:after="0"/>
        <w:tabs>
          <w:tab w:leader="none" w:pos="980" w:val="left"/>
        </w:tabs>
        <w:rPr>
          <w:sz w:val="20"/>
          <w:szCs w:val="20"/>
          <w:color w:val="auto"/>
        </w:rPr>
      </w:pPr>
      <w:r>
        <w:rPr>
          <w:rFonts w:ascii="Arial" w:cs="Arial" w:eastAsia="Arial" w:hAnsi="Arial"/>
          <w:sz w:val="14"/>
          <w:szCs w:val="14"/>
          <w:color w:val="auto"/>
        </w:rPr>
        <w:t>Section 608.</w:t>
      </w:r>
      <w:r>
        <w:rPr>
          <w:sz w:val="20"/>
          <w:szCs w:val="20"/>
          <w:color w:val="auto"/>
        </w:rPr>
        <w:tab/>
      </w:r>
      <w:r>
        <w:rPr>
          <w:rFonts w:ascii="Arial" w:cs="Arial" w:eastAsia="Arial" w:hAnsi="Arial"/>
          <w:sz w:val="12"/>
          <w:szCs w:val="12"/>
          <w:u w:val="single" w:color="auto"/>
          <w:color w:val="auto"/>
        </w:rPr>
        <w:t>Conflicting Interests</w:t>
      </w:r>
      <w:r>
        <w:rPr>
          <w:rFonts w:ascii="Arial" w:cs="Arial" w:eastAsia="Arial" w:hAnsi="Arial"/>
          <w:sz w:val="12"/>
          <w:szCs w:val="12"/>
          <w:color w:val="auto"/>
        </w:rPr>
        <w:t>.</w:t>
      </w:r>
    </w:p>
    <w:p>
      <w:pPr>
        <w:spacing w:after="0" w:line="171" w:lineRule="exact"/>
        <w:rPr>
          <w:sz w:val="20"/>
          <w:szCs w:val="20"/>
          <w:color w:val="auto"/>
        </w:rPr>
      </w:pPr>
    </w:p>
    <w:p>
      <w:pPr>
        <w:ind w:right="800" w:firstLine="498"/>
        <w:spacing w:after="0" w:line="307" w:lineRule="auto"/>
        <w:rPr>
          <w:sz w:val="20"/>
          <w:szCs w:val="20"/>
          <w:color w:val="auto"/>
        </w:rPr>
      </w:pPr>
      <w:r>
        <w:rPr>
          <w:rFonts w:ascii="Arial" w:cs="Arial" w:eastAsia="Arial" w:hAnsi="Arial"/>
          <w:sz w:val="13"/>
          <w:szCs w:val="13"/>
          <w:color w:val="auto"/>
        </w:rPr>
        <w:t>If the Trustee has or shall acquire a conflicting interest within the meaning of the Trust Indenture Act, the Trustee shall either eliminate such interest or, except as otherwise provided in Section 310(b) of the Trust Indenture Act, resign, to the extent and in the manner provided by, and subject to the provisions of, the Trust Indenture Act and the Indenture.</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609.</w:t>
      </w:r>
      <w:r>
        <w:rPr>
          <w:sz w:val="20"/>
          <w:szCs w:val="20"/>
          <w:color w:val="auto"/>
        </w:rPr>
        <w:tab/>
      </w:r>
      <w:r>
        <w:rPr>
          <w:rFonts w:ascii="Arial" w:cs="Arial" w:eastAsia="Arial" w:hAnsi="Arial"/>
          <w:sz w:val="12"/>
          <w:szCs w:val="12"/>
          <w:u w:val="single" w:color="auto"/>
          <w:color w:val="auto"/>
        </w:rPr>
        <w:t>Corporate Trustee Required; Eligibility</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52" w:lineRule="auto"/>
        <w:rPr>
          <w:sz w:val="20"/>
          <w:szCs w:val="20"/>
          <w:color w:val="auto"/>
        </w:rPr>
      </w:pPr>
      <w:r>
        <w:rPr>
          <w:rFonts w:ascii="Arial" w:cs="Arial" w:eastAsia="Arial" w:hAnsi="Arial"/>
          <w:sz w:val="14"/>
          <w:szCs w:val="14"/>
          <w:color w:val="auto"/>
        </w:rPr>
        <w:t>There shall at all times be one (and only one) Trustee hereunder. Each Trustee shall be a Person that is eligible pursuant to the Trust Indenture Act to act as such, and has a combined capital and surplus of at least $50.0 million.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610.</w:t>
      </w:r>
      <w:r>
        <w:rPr>
          <w:sz w:val="20"/>
          <w:szCs w:val="20"/>
          <w:color w:val="auto"/>
        </w:rPr>
        <w:tab/>
      </w:r>
      <w:r>
        <w:rPr>
          <w:rFonts w:ascii="Arial" w:cs="Arial" w:eastAsia="Arial" w:hAnsi="Arial"/>
          <w:sz w:val="12"/>
          <w:szCs w:val="12"/>
          <w:u w:val="single" w:color="auto"/>
          <w:color w:val="auto"/>
        </w:rPr>
        <w:t>Resignation and Removal; Appointment of Successor</w:t>
      </w:r>
      <w:r>
        <w:rPr>
          <w:rFonts w:ascii="Arial" w:cs="Arial" w:eastAsia="Arial" w:hAnsi="Arial"/>
          <w:sz w:val="12"/>
          <w:szCs w:val="12"/>
          <w:color w:val="auto"/>
        </w:rPr>
        <w:t>.</w:t>
      </w:r>
    </w:p>
    <w:p>
      <w:pPr>
        <w:spacing w:after="0" w:line="17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38" w:lineRule="exact"/>
        <w:rPr>
          <w:sz w:val="20"/>
          <w:szCs w:val="20"/>
          <w:color w:val="auto"/>
        </w:rPr>
      </w:pPr>
    </w:p>
    <w:p>
      <w:pPr>
        <w:ind w:right="80" w:firstLine="498"/>
        <w:spacing w:after="0" w:line="307" w:lineRule="auto"/>
        <w:rPr>
          <w:sz w:val="20"/>
          <w:szCs w:val="20"/>
          <w:color w:val="auto"/>
        </w:rPr>
      </w:pPr>
      <w:r>
        <w:rPr>
          <w:rFonts w:ascii="Arial" w:cs="Arial" w:eastAsia="Arial" w:hAnsi="Arial"/>
          <w:sz w:val="13"/>
          <w:szCs w:val="13"/>
          <w:color w:val="auto"/>
        </w:rPr>
        <w:t>The Trustee may resign at any time by giving written notice thereof to the Issuer.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Trustee may be removed at any time by Act of the Holders of a majority in aggregate principal amount of the Outstanding Notes (voting as a single class), delivered to the Trustee and to the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Issuer.</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at any time:</w:t>
      </w:r>
    </w:p>
    <w:p>
      <w:pPr>
        <w:spacing w:after="0" w:line="171" w:lineRule="exact"/>
        <w:rPr>
          <w:sz w:val="20"/>
          <w:szCs w:val="20"/>
          <w:color w:val="auto"/>
        </w:rPr>
      </w:pPr>
    </w:p>
    <w:p>
      <w:pPr>
        <w:ind w:left="1540" w:hanging="541"/>
        <w:spacing w:after="0"/>
        <w:tabs>
          <w:tab w:leader="none" w:pos="1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Trustee shall fail to comply with Section 608 after written request therefor by the Issuer or by any Holder who has been a bona fide Holder of a Note for at least six months;</w:t>
      </w:r>
    </w:p>
    <w:p>
      <w:pPr>
        <w:spacing w:after="0" w:line="193" w:lineRule="exact"/>
        <w:rPr>
          <w:rFonts w:ascii="Arial" w:cs="Arial" w:eastAsia="Arial" w:hAnsi="Arial"/>
          <w:sz w:val="12"/>
          <w:szCs w:val="12"/>
          <w:color w:val="auto"/>
        </w:rPr>
      </w:pPr>
    </w:p>
    <w:p>
      <w:pPr>
        <w:ind w:left="1540" w:hanging="541"/>
        <w:spacing w:after="0"/>
        <w:tabs>
          <w:tab w:leader="none" w:pos="1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shall cease to be eligible under Section 609 and shall fail to resign after written request therefor by the Issuer or by any such Holder; or</w:t>
      </w:r>
    </w:p>
    <w:p>
      <w:pPr>
        <w:spacing w:after="0" w:line="170" w:lineRule="exact"/>
        <w:rPr>
          <w:rFonts w:ascii="Arial" w:cs="Arial" w:eastAsia="Arial" w:hAnsi="Arial"/>
          <w:sz w:val="14"/>
          <w:szCs w:val="14"/>
          <w:color w:val="auto"/>
        </w:rPr>
      </w:pPr>
    </w:p>
    <w:p>
      <w:pPr>
        <w:ind w:left="500" w:firstLine="499"/>
        <w:spacing w:after="0" w:line="268" w:lineRule="auto"/>
        <w:tabs>
          <w:tab w:leader="none" w:pos="1539"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7" w:name="page118"/>
    <w:bookmarkEnd w:id="117"/>
    <w:p>
      <w:pPr>
        <w:ind w:right="20"/>
        <w:spacing w:after="0" w:line="353" w:lineRule="auto"/>
        <w:rPr>
          <w:sz w:val="20"/>
          <w:szCs w:val="20"/>
          <w:color w:val="auto"/>
        </w:rPr>
      </w:pPr>
      <w:r>
        <w:rPr>
          <w:rFonts w:ascii="Arial" w:cs="Arial" w:eastAsia="Arial" w:hAnsi="Arial"/>
          <w:sz w:val="12"/>
          <w:szCs w:val="12"/>
          <w:color w:val="auto"/>
        </w:rPr>
        <w:t>then, in any such case, (A) the Issuer by a resolution duly passed by its Board of Directors may remove the Trustee, or (B) subject to Section 514,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92" w:lineRule="exact"/>
        <w:rPr>
          <w:sz w:val="20"/>
          <w:szCs w:val="20"/>
          <w:color w:val="auto"/>
        </w:rPr>
      </w:pPr>
    </w:p>
    <w:p>
      <w:pPr>
        <w:ind w:firstLine="498"/>
        <w:spacing w:after="0" w:line="273" w:lineRule="auto"/>
        <w:rPr>
          <w:sz w:val="20"/>
          <w:szCs w:val="20"/>
          <w:color w:val="auto"/>
        </w:rPr>
      </w:pPr>
      <w:r>
        <w:rPr>
          <w:rFonts w:ascii="Arial" w:cs="Arial" w:eastAsia="Arial" w:hAnsi="Arial"/>
          <w:sz w:val="13"/>
          <w:szCs w:val="13"/>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611.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611, become the successor Trustee and to that extent supersede the successor Trustee appointed by the Issuer. If no successor Trustee shall have been so appointed by the Issuer or the Holders and accepted appointment in the manner required by Section 611, any Holder who has been a bona fide Holder of a Note for at least six months may, on behalf of himself and all others similarly situated, petition any court of competent jurisdiction for the appointment of a successor Trustee.</w:t>
      </w:r>
    </w:p>
    <w:p>
      <w:pPr>
        <w:spacing w:after="0" w:line="137" w:lineRule="exact"/>
        <w:rPr>
          <w:sz w:val="20"/>
          <w:szCs w:val="20"/>
          <w:color w:val="auto"/>
        </w:rPr>
      </w:pPr>
    </w:p>
    <w:p>
      <w:pPr>
        <w:ind w:right="220" w:firstLine="498"/>
        <w:spacing w:after="0" w:line="268" w:lineRule="auto"/>
        <w:rPr>
          <w:sz w:val="20"/>
          <w:szCs w:val="20"/>
          <w:color w:val="auto"/>
        </w:rPr>
      </w:pPr>
      <w:r>
        <w:rPr>
          <w:rFonts w:ascii="Arial" w:cs="Arial" w:eastAsia="Arial" w:hAnsi="Arial"/>
          <w:sz w:val="14"/>
          <w:szCs w:val="14"/>
          <w:color w:val="auto"/>
        </w:rPr>
        <w:t>The Issuer shall give notice of each resignation and each removal of the Trustee and each appointment of a successor Trustee to all Holders of Notes in the manner provided in Section 106. Each notice shall include the name of the successor Trustee and the address of its Corporate Trust Office.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611.</w:t>
      </w:r>
      <w:r>
        <w:rPr>
          <w:sz w:val="20"/>
          <w:szCs w:val="20"/>
          <w:color w:val="auto"/>
        </w:rPr>
        <w:tab/>
      </w:r>
      <w:r>
        <w:rPr>
          <w:rFonts w:ascii="Arial" w:cs="Arial" w:eastAsia="Arial" w:hAnsi="Arial"/>
          <w:sz w:val="12"/>
          <w:szCs w:val="12"/>
          <w:u w:val="single" w:color="auto"/>
          <w:color w:val="auto"/>
        </w:rPr>
        <w:t>Acceptance of Appointment by Successor</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5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successor Trustee shall accept its appointment unless at the time of such acceptance such successor Trustee shall be qualified and eligible under this Article.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8" w:name="page119"/>
    <w:bookmarkEnd w:id="118"/>
    <w:p>
      <w:pPr>
        <w:spacing w:after="0"/>
        <w:tabs>
          <w:tab w:leader="none" w:pos="980" w:val="left"/>
        </w:tabs>
        <w:rPr>
          <w:sz w:val="20"/>
          <w:szCs w:val="20"/>
          <w:color w:val="auto"/>
        </w:rPr>
      </w:pPr>
      <w:r>
        <w:rPr>
          <w:rFonts w:ascii="Arial" w:cs="Arial" w:eastAsia="Arial" w:hAnsi="Arial"/>
          <w:sz w:val="14"/>
          <w:szCs w:val="14"/>
          <w:color w:val="auto"/>
        </w:rPr>
        <w:t>Section 612.</w:t>
      </w:r>
      <w:r>
        <w:rPr>
          <w:sz w:val="20"/>
          <w:szCs w:val="20"/>
          <w:color w:val="auto"/>
        </w:rPr>
        <w:tab/>
      </w:r>
      <w:r>
        <w:rPr>
          <w:rFonts w:ascii="Arial" w:cs="Arial" w:eastAsia="Arial" w:hAnsi="Arial"/>
          <w:sz w:val="12"/>
          <w:szCs w:val="12"/>
          <w:u w:val="single" w:color="auto"/>
          <w:color w:val="auto"/>
        </w:rPr>
        <w:t>Merger, Conversion, Consolidation or Succession to Business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52" w:lineRule="auto"/>
        <w:rPr>
          <w:sz w:val="20"/>
          <w:szCs w:val="20"/>
          <w:color w:val="auto"/>
        </w:rPr>
      </w:pPr>
      <w:r>
        <w:rPr>
          <w:rFonts w:ascii="Arial" w:cs="Arial" w:eastAsia="Arial" w:hAnsi="Arial"/>
          <w:sz w:val="14"/>
          <w:szCs w:val="14"/>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613.</w:t>
      </w:r>
      <w:r>
        <w:rPr>
          <w:sz w:val="20"/>
          <w:szCs w:val="20"/>
          <w:color w:val="auto"/>
        </w:rPr>
        <w:tab/>
      </w:r>
      <w:r>
        <w:rPr>
          <w:rFonts w:ascii="Arial" w:cs="Arial" w:eastAsia="Arial" w:hAnsi="Arial"/>
          <w:sz w:val="12"/>
          <w:szCs w:val="12"/>
          <w:u w:val="single" w:color="auto"/>
          <w:color w:val="auto"/>
        </w:rPr>
        <w:t>Preferential Collection of Claims Against Issuer</w:t>
      </w:r>
      <w:r>
        <w:rPr>
          <w:rFonts w:ascii="Arial" w:cs="Arial" w:eastAsia="Arial" w:hAnsi="Arial"/>
          <w:sz w:val="12"/>
          <w:szCs w:val="12"/>
          <w:color w:val="auto"/>
        </w:rPr>
        <w:t>.</w:t>
      </w:r>
    </w:p>
    <w:p>
      <w:pPr>
        <w:spacing w:after="0" w:line="171" w:lineRule="exact"/>
        <w:rPr>
          <w:sz w:val="20"/>
          <w:szCs w:val="20"/>
          <w:color w:val="auto"/>
        </w:rPr>
      </w:pPr>
    </w:p>
    <w:p>
      <w:pPr>
        <w:ind w:right="520" w:firstLine="498"/>
        <w:spacing w:after="0" w:line="268" w:lineRule="auto"/>
        <w:rPr>
          <w:sz w:val="20"/>
          <w:szCs w:val="20"/>
          <w:color w:val="auto"/>
        </w:rPr>
      </w:pPr>
      <w:r>
        <w:rPr>
          <w:rFonts w:ascii="Arial" w:cs="Arial" w:eastAsia="Arial" w:hAnsi="Arial"/>
          <w:sz w:val="14"/>
          <w:szCs w:val="14"/>
          <w:color w:val="auto"/>
        </w:rPr>
        <w:t>If and when the Trustee shall be or become a creditor of the Issuer or any other obligor upon the Notes, the Trustee shall be subject to the provisions of the Trust Indenture Act regarding the collection of claims against the Issuer or any such other obligor.</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614.</w:t>
      </w:r>
      <w:r>
        <w:rPr>
          <w:sz w:val="20"/>
          <w:szCs w:val="20"/>
          <w:color w:val="auto"/>
        </w:rPr>
        <w:tab/>
      </w:r>
      <w:r>
        <w:rPr>
          <w:rFonts w:ascii="Arial" w:cs="Arial" w:eastAsia="Arial" w:hAnsi="Arial"/>
          <w:sz w:val="12"/>
          <w:szCs w:val="12"/>
          <w:u w:val="single" w:color="auto"/>
          <w:color w:val="auto"/>
        </w:rPr>
        <w:t>Appointment of Authenticating Agent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306, and Notes so authenticated shall be entitled to the benefits of the Indenture and shall be valid and obligatory for all purposes as if authenticated by the Trustee hereunder. Wherever reference is made in the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38" w:lineRule="exact"/>
        <w:rPr>
          <w:sz w:val="20"/>
          <w:szCs w:val="20"/>
          <w:color w:val="auto"/>
        </w:rPr>
      </w:pPr>
    </w:p>
    <w:p>
      <w:pPr>
        <w:jc w:val="both"/>
        <w:ind w:right="20" w:firstLine="498"/>
        <w:spacing w:after="0" w:line="258" w:lineRule="auto"/>
        <w:rPr>
          <w:sz w:val="20"/>
          <w:szCs w:val="20"/>
          <w:color w:val="auto"/>
        </w:rPr>
      </w:pPr>
      <w:r>
        <w:rPr>
          <w:rFonts w:ascii="Arial" w:cs="Arial" w:eastAsia="Arial" w:hAnsi="Arial"/>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auto"/>
        </w:rPr>
        <w:t>under this Section, without the execution or filing of any paper or any further act on the part of the Trustee or the Authenticating Agent.</w:t>
      </w:r>
    </w:p>
    <w:p>
      <w:pPr>
        <w:spacing w:after="0" w:line="171"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106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52"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38"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If an appointment is made pursuant to this Section, the Notes may have endorsed thereon, in addition to the Trustee’s certificate of authentication, an alternative certificate of authentication in the following form:</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is one of the Notes designated therein referred to in the within-mentioned Indenture.</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as Trustee</w:t>
      </w:r>
    </w:p>
    <w:p>
      <w:pPr>
        <w:spacing w:after="0" w:line="162"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-101600</wp:posOffset>
            </wp:positionV>
            <wp:extent cx="325374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3740" cy="6350"/>
                    </a:xfrm>
                    <a:prstGeom prst="rect">
                      <a:avLst/>
                    </a:prstGeom>
                    <a:noFill/>
                  </pic:spPr>
                </pic:pic>
              </a:graphicData>
            </a:graphic>
          </wp:anchor>
        </w:drawing>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-101600</wp:posOffset>
            </wp:positionV>
            <wp:extent cx="325374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3740" cy="6350"/>
                    </a:xfrm>
                    <a:prstGeom prst="rect">
                      <a:avLst/>
                    </a:prstGeom>
                    <a:noFill/>
                  </pic:spPr>
                </pic:pic>
              </a:graphicData>
            </a:graphic>
          </wp:anchor>
        </w:drawing>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ARTICLE SEVEN</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HOLDERS’ LISTS AND REPORTS BY TRUSTEE AND ISSUER</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701.</w:t>
      </w:r>
      <w:r>
        <w:rPr>
          <w:sz w:val="20"/>
          <w:szCs w:val="20"/>
          <w:color w:val="auto"/>
        </w:rPr>
        <w:tab/>
      </w:r>
      <w:r>
        <w:rPr>
          <w:rFonts w:ascii="Arial" w:cs="Arial" w:eastAsia="Arial" w:hAnsi="Arial"/>
          <w:sz w:val="12"/>
          <w:szCs w:val="12"/>
          <w:u w:val="single" w:color="auto"/>
          <w:color w:val="auto"/>
        </w:rPr>
        <w:t>Issuer to Furnish Trustee Names and Addresses of Holders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Issuer will furnish or cause to be furnished to the Trustee</w:t>
      </w:r>
    </w:p>
    <w:p>
      <w:pPr>
        <w:spacing w:after="0" w:line="171" w:lineRule="exact"/>
        <w:rPr>
          <w:sz w:val="20"/>
          <w:szCs w:val="20"/>
          <w:color w:val="auto"/>
        </w:rPr>
      </w:pPr>
    </w:p>
    <w:p>
      <w:pPr>
        <w:ind w:left="500" w:right="160" w:firstLine="499"/>
        <w:spacing w:after="0" w:line="268" w:lineRule="auto"/>
        <w:tabs>
          <w:tab w:leader="none" w:pos="1539" w:val="left"/>
        </w:tabs>
        <w:numPr>
          <w:ilvl w:val="0"/>
          <w:numId w:val="68"/>
        </w:numPr>
        <w:rPr>
          <w:rFonts w:ascii="Arial" w:cs="Arial" w:eastAsia="Arial" w:hAnsi="Arial"/>
          <w:sz w:val="14"/>
          <w:szCs w:val="14"/>
          <w:color w:val="auto"/>
        </w:rPr>
      </w:pPr>
      <w:r>
        <w:rPr>
          <w:rFonts w:ascii="Arial" w:cs="Arial" w:eastAsia="Arial" w:hAnsi="Arial"/>
          <w:sz w:val="14"/>
          <w:szCs w:val="14"/>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00"/>
          </w:cols>
          <w:pgMar w:left="220" w:top="295" w:right="379" w:bottom="1440" w:gutter="0" w:footer="0" w:header="0"/>
        </w:sectPr>
      </w:pPr>
    </w:p>
    <w:bookmarkStart w:id="120" w:name="page121"/>
    <w:bookmarkEnd w:id="120"/>
    <w:p>
      <w:pPr>
        <w:ind w:left="500" w:right="80" w:firstLine="499"/>
        <w:spacing w:after="0" w:line="268" w:lineRule="auto"/>
        <w:tabs>
          <w:tab w:leader="none" w:pos="1539" w:val="left"/>
        </w:tabs>
        <w:numPr>
          <w:ilvl w:val="0"/>
          <w:numId w:val="69"/>
        </w:numPr>
        <w:rPr>
          <w:rFonts w:ascii="Arial" w:cs="Arial" w:eastAsia="Arial" w:hAnsi="Arial"/>
          <w:sz w:val="14"/>
          <w:szCs w:val="14"/>
          <w:color w:val="auto"/>
        </w:rPr>
      </w:pPr>
      <w:r>
        <w:rPr>
          <w:rFonts w:ascii="Arial" w:cs="Arial" w:eastAsia="Arial" w:hAnsi="Arial"/>
          <w:sz w:val="14"/>
          <w:szCs w:val="14"/>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excluding from any such list names and addresses received by the Trustee in its capacity as Registrar.</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702.</w:t>
      </w:r>
      <w:r>
        <w:rPr>
          <w:sz w:val="20"/>
          <w:szCs w:val="20"/>
          <w:color w:val="auto"/>
        </w:rPr>
        <w:tab/>
      </w:r>
      <w:r>
        <w:rPr>
          <w:rFonts w:ascii="Arial" w:cs="Arial" w:eastAsia="Arial" w:hAnsi="Arial"/>
          <w:sz w:val="12"/>
          <w:szCs w:val="12"/>
          <w:u w:val="single" w:color="auto"/>
          <w:color w:val="auto"/>
        </w:rPr>
        <w:t>Preservation of Information; Communications to Holders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53" w:lineRule="auto"/>
        <w:rPr>
          <w:sz w:val="20"/>
          <w:szCs w:val="20"/>
          <w:color w:val="auto"/>
        </w:rPr>
      </w:pPr>
      <w:r>
        <w:rPr>
          <w:rFonts w:ascii="Arial" w:cs="Arial" w:eastAsia="Arial" w:hAnsi="Arial"/>
          <w:sz w:val="12"/>
          <w:szCs w:val="12"/>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Registrar. The Trustee may destroy any list furnished to it as provided in Section 701 upon receipt of a new list so furnished.</w:t>
      </w:r>
    </w:p>
    <w:p>
      <w:pPr>
        <w:spacing w:after="0" w:line="92"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The rights of Holders to communicate with other Holders with respect to their rights under the Indenture or under the Notes, and the corresponding rights and privileges of the Trustee, shall be as provided by the Trust Indenture Act.</w:t>
      </w:r>
    </w:p>
    <w:p>
      <w:pPr>
        <w:spacing w:after="0" w:line="138" w:lineRule="exact"/>
        <w:rPr>
          <w:sz w:val="20"/>
          <w:szCs w:val="20"/>
          <w:color w:val="auto"/>
        </w:rPr>
      </w:pPr>
    </w:p>
    <w:p>
      <w:pPr>
        <w:ind w:right="240" w:firstLine="498"/>
        <w:spacing w:after="0" w:line="268" w:lineRule="auto"/>
        <w:rPr>
          <w:sz w:val="20"/>
          <w:szCs w:val="20"/>
          <w:color w:val="auto"/>
        </w:rPr>
      </w:pPr>
      <w:r>
        <w:rPr>
          <w:rFonts w:ascii="Arial" w:cs="Arial" w:eastAsia="Arial" w:hAnsi="Arial"/>
          <w:sz w:val="14"/>
          <w:szCs w:val="14"/>
          <w:color w:val="auto"/>
        </w:rPr>
        <w:t>Every Holder of Notes, by receiving and holding the same, agrees with the Issuer and the Trustee that neither the Issuer nor the Trustee nor any agent of any of them shall be held accountable by reason of any disclosure of information as to names and addresses of Holders made pursuant to the Trust Indenture Act.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703.</w:t>
      </w:r>
      <w:r>
        <w:rPr>
          <w:sz w:val="20"/>
          <w:szCs w:val="20"/>
          <w:color w:val="auto"/>
        </w:rPr>
        <w:tab/>
      </w:r>
      <w:r>
        <w:rPr>
          <w:rFonts w:ascii="Arial" w:cs="Arial" w:eastAsia="Arial" w:hAnsi="Arial"/>
          <w:sz w:val="12"/>
          <w:szCs w:val="12"/>
          <w:u w:val="single" w:color="auto"/>
          <w:color w:val="auto"/>
        </w:rPr>
        <w:t>Reports by Trustee</w:t>
      </w:r>
      <w:r>
        <w:rPr>
          <w:rFonts w:ascii="Arial" w:cs="Arial" w:eastAsia="Arial" w:hAnsi="Arial"/>
          <w:sz w:val="12"/>
          <w:szCs w:val="12"/>
          <w:color w:val="auto"/>
        </w:rPr>
        <w:t>.</w:t>
      </w:r>
    </w:p>
    <w:p>
      <w:pPr>
        <w:spacing w:after="0" w:line="171"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The Trustee shall transmit to Holders such reports concerning the Trustee and its actions under the Indenture as may be required pursuant to the Trust Indenture Act at the times and in the manner provided pursuant thereto.</w:t>
      </w:r>
    </w:p>
    <w:p>
      <w:pPr>
        <w:spacing w:after="0" w:line="138"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A copy of each such report shall, at the time of such transmission to Holders, be filed by the Trustee with each stock exchange upon which the Notes are listed, with the SEC and with the Issuer. The Issuer will notify the Trustee when any Notes are listed on any stock exchange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704.</w:t>
      </w:r>
      <w:r>
        <w:rPr>
          <w:sz w:val="20"/>
          <w:szCs w:val="20"/>
          <w:color w:val="auto"/>
        </w:rPr>
        <w:tab/>
      </w:r>
      <w:r>
        <w:rPr>
          <w:rFonts w:ascii="Arial" w:cs="Arial" w:eastAsia="Arial" w:hAnsi="Arial"/>
          <w:sz w:val="12"/>
          <w:szCs w:val="12"/>
          <w:u w:val="single" w:color="auto"/>
          <w:color w:val="auto"/>
        </w:rPr>
        <w:t>Reports by Issuer</w:t>
      </w:r>
      <w:r>
        <w:rPr>
          <w:rFonts w:ascii="Arial" w:cs="Arial" w:eastAsia="Arial" w:hAnsi="Arial"/>
          <w:sz w:val="12"/>
          <w:szCs w:val="12"/>
          <w:color w:val="auto"/>
        </w:rPr>
        <w:t>.</w:t>
      </w:r>
    </w:p>
    <w:p>
      <w:pPr>
        <w:spacing w:after="0" w:line="171" w:lineRule="exact"/>
        <w:rPr>
          <w:sz w:val="20"/>
          <w:szCs w:val="20"/>
          <w:color w:val="auto"/>
        </w:rPr>
      </w:pPr>
    </w:p>
    <w:p>
      <w:pPr>
        <w:ind w:right="20" w:firstLine="999"/>
        <w:spacing w:after="0" w:line="258" w:lineRule="auto"/>
        <w:tabs>
          <w:tab w:leader="none" w:pos="1529" w:val="left"/>
        </w:tabs>
        <w:numPr>
          <w:ilvl w:val="0"/>
          <w:numId w:val="70"/>
        </w:numPr>
        <w:rPr>
          <w:rFonts w:ascii="Arial" w:cs="Arial" w:eastAsia="Arial" w:hAnsi="Arial"/>
          <w:sz w:val="14"/>
          <w:szCs w:val="14"/>
          <w:color w:val="auto"/>
        </w:rPr>
      </w:pPr>
      <w:r>
        <w:rPr>
          <w:rFonts w:ascii="Arial" w:cs="Arial" w:eastAsia="Arial" w:hAnsi="Arial"/>
          <w:sz w:val="14"/>
          <w:szCs w:val="14"/>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45" w:lineRule="exact"/>
        <w:rPr>
          <w:sz w:val="20"/>
          <w:szCs w:val="20"/>
          <w:color w:val="auto"/>
        </w:rPr>
      </w:pPr>
    </w:p>
    <w:p>
      <w:pPr>
        <w:ind w:left="1540" w:hanging="541"/>
        <w:spacing w:after="0"/>
        <w:tabs>
          <w:tab w:leader="none" w:pos="15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all quarterly and annual reports that would be required to be filed with the SEC on Forms 10-Q and 10-K if the Parent Guarantor were required to file such reports; and</w:t>
      </w:r>
    </w:p>
    <w:p>
      <w:pPr>
        <w:spacing w:after="0" w:line="182" w:lineRule="exact"/>
        <w:rPr>
          <w:rFonts w:ascii="Arial" w:cs="Arial" w:eastAsia="Arial" w:hAnsi="Arial"/>
          <w:sz w:val="13"/>
          <w:szCs w:val="13"/>
          <w:color w:val="auto"/>
        </w:rPr>
      </w:pPr>
    </w:p>
    <w:p>
      <w:pPr>
        <w:ind w:left="1540" w:hanging="541"/>
        <w:spacing w:after="0"/>
        <w:tabs>
          <w:tab w:leader="none" w:pos="1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all current reports that would be required to be filed with the SEC on Form 8-K if the Parent Guarantor were required to file such reports.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1" w:name="page122"/>
    <w:bookmarkEnd w:id="121"/>
    <w:p>
      <w:pPr>
        <w:ind w:firstLine="999"/>
        <w:spacing w:after="0" w:line="254" w:lineRule="auto"/>
        <w:tabs>
          <w:tab w:leader="none" w:pos="1537" w:val="left"/>
        </w:tabs>
        <w:numPr>
          <w:ilvl w:val="0"/>
          <w:numId w:val="72"/>
        </w:numPr>
        <w:rPr>
          <w:rFonts w:ascii="Arial" w:cs="Arial" w:eastAsia="Arial" w:hAnsi="Arial"/>
          <w:sz w:val="14"/>
          <w:szCs w:val="14"/>
          <w:color w:val="auto"/>
        </w:rPr>
      </w:pPr>
      <w:r>
        <w:rPr>
          <w:rFonts w:ascii="Arial" w:cs="Arial" w:eastAsia="Arial" w:hAnsi="Arial"/>
          <w:sz w:val="14"/>
          <w:szCs w:val="14"/>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48" w:lineRule="exact"/>
        <w:rPr>
          <w:rFonts w:ascii="Arial" w:cs="Arial" w:eastAsia="Arial" w:hAnsi="Arial"/>
          <w:sz w:val="14"/>
          <w:szCs w:val="14"/>
          <w:color w:val="auto"/>
        </w:rPr>
      </w:pPr>
    </w:p>
    <w:p>
      <w:pPr>
        <w:ind w:right="100" w:firstLine="999"/>
        <w:spacing w:after="0" w:line="268" w:lineRule="auto"/>
        <w:tabs>
          <w:tab w:leader="none" w:pos="1529"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38" w:lineRule="exact"/>
        <w:rPr>
          <w:rFonts w:ascii="Arial" w:cs="Arial" w:eastAsia="Arial" w:hAnsi="Arial"/>
          <w:sz w:val="14"/>
          <w:szCs w:val="14"/>
          <w:color w:val="auto"/>
        </w:rPr>
      </w:pPr>
    </w:p>
    <w:p>
      <w:pPr>
        <w:ind w:right="440" w:firstLine="999"/>
        <w:spacing w:after="0" w:line="268" w:lineRule="auto"/>
        <w:tabs>
          <w:tab w:leader="none" w:pos="1537" w:val="left"/>
        </w:tabs>
        <w:numPr>
          <w:ilvl w:val="0"/>
          <w:numId w:val="72"/>
        </w:numPr>
        <w:rPr>
          <w:rFonts w:ascii="Arial" w:cs="Arial" w:eastAsia="Arial" w:hAnsi="Arial"/>
          <w:sz w:val="14"/>
          <w:szCs w:val="14"/>
          <w:color w:val="auto"/>
        </w:rPr>
      </w:pPr>
      <w:r>
        <w:rPr>
          <w:rFonts w:ascii="Arial" w:cs="Arial" w:eastAsia="Arial" w:hAnsi="Arial"/>
          <w:sz w:val="14"/>
          <w:szCs w:val="14"/>
          <w:color w:val="auto"/>
        </w:rPr>
        <w:t>Delivery of reports, information and documents to the Trustee under this Section 704 is for informational purposes only and the Trustee’s receipt of the foregoing shall not constitute constructive notice of any information contained therein or determinable from information contained therein.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EIGHT</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CONSOLIDATION, MERGER, CONVEYANCE, TRANSFER OR LEASE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801.</w:t>
      </w:r>
      <w:r>
        <w:rPr>
          <w:sz w:val="20"/>
          <w:szCs w:val="20"/>
          <w:color w:val="auto"/>
        </w:rPr>
        <w:tab/>
      </w:r>
      <w:r>
        <w:rPr>
          <w:rFonts w:ascii="Arial" w:cs="Arial" w:eastAsia="Arial" w:hAnsi="Arial"/>
          <w:sz w:val="12"/>
          <w:szCs w:val="12"/>
          <w:u w:val="single" w:color="auto"/>
          <w:color w:val="auto"/>
        </w:rPr>
        <w:t>Issuer and Guarantors May Consolidate, Etc., Only on Certain Terms</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Neither the Issuer nor any Guarantor shall consolidate or amalgamate with, or merge into, any other Person, or convey, transfer or lease its properties and assets as, or substantially as, an entirety to any Person unless:</w:t>
      </w:r>
    </w:p>
    <w:p>
      <w:pPr>
        <w:spacing w:after="0" w:line="138" w:lineRule="exact"/>
        <w:rPr>
          <w:sz w:val="20"/>
          <w:szCs w:val="20"/>
          <w:color w:val="auto"/>
        </w:rPr>
      </w:pPr>
    </w:p>
    <w:p>
      <w:pPr>
        <w:ind w:left="500" w:firstLine="499"/>
        <w:spacing w:after="0" w:line="274" w:lineRule="auto"/>
        <w:tabs>
          <w:tab w:leader="none" w:pos="1539"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then in effect on the part of the Issuer to be performed or observed or (b) in the case of a Successor Person to such Guarantor, all of the obligations of such Guarantor under the Guarantee of such Guarantor and the performance or observance of every covenant of the Indenture then in effect on the part of such Guarantor to be performed or observed;</w:t>
      </w:r>
    </w:p>
    <w:p>
      <w:pPr>
        <w:spacing w:after="0" w:line="137" w:lineRule="exact"/>
        <w:rPr>
          <w:rFonts w:ascii="Arial" w:cs="Arial" w:eastAsia="Arial" w:hAnsi="Arial"/>
          <w:sz w:val="13"/>
          <w:szCs w:val="13"/>
          <w:color w:val="auto"/>
        </w:rPr>
      </w:pPr>
    </w:p>
    <w:p>
      <w:pPr>
        <w:ind w:left="1540" w:hanging="541"/>
        <w:spacing w:after="0"/>
        <w:tabs>
          <w:tab w:leader="none" w:pos="1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immediately after giving effect to such transaction, no Event of Default and no Default shall have occurred and be continuing; and</w:t>
      </w:r>
    </w:p>
    <w:p>
      <w:pPr>
        <w:spacing w:after="0" w:line="170" w:lineRule="exact"/>
        <w:rPr>
          <w:rFonts w:ascii="Arial" w:cs="Arial" w:eastAsia="Arial" w:hAnsi="Arial"/>
          <w:sz w:val="14"/>
          <w:szCs w:val="14"/>
          <w:color w:val="auto"/>
        </w:rPr>
      </w:pPr>
    </w:p>
    <w:p>
      <w:pPr>
        <w:ind w:left="500" w:right="340" w:firstLine="499"/>
        <w:spacing w:after="0" w:line="268" w:lineRule="auto"/>
        <w:tabs>
          <w:tab w:leader="none" w:pos="1539"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22" w:name="page123"/>
    <w:bookmarkEnd w:id="122"/>
    <w:p>
      <w:pPr>
        <w:ind w:left="500"/>
        <w:spacing w:after="0"/>
        <w:rPr>
          <w:sz w:val="20"/>
          <w:szCs w:val="20"/>
          <w:color w:val="auto"/>
        </w:rPr>
      </w:pPr>
      <w:r>
        <w:rPr>
          <w:rFonts w:ascii="Arial" w:cs="Arial" w:eastAsia="Arial" w:hAnsi="Arial"/>
          <w:sz w:val="14"/>
          <w:szCs w:val="14"/>
          <w:color w:val="auto"/>
        </w:rPr>
        <w:t>precedent provided for in the Indenture relating to such transaction have been complied with.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However, clause (1) of this Section 801 shall not apply in circumstances under which Section 1404 provides for the release of the Guarantee of such Guarantor.</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802.</w:t>
      </w:r>
      <w:r>
        <w:rPr>
          <w:sz w:val="20"/>
          <w:szCs w:val="20"/>
          <w:color w:val="auto"/>
        </w:rPr>
        <w:tab/>
      </w:r>
      <w:r>
        <w:rPr>
          <w:rFonts w:ascii="Arial" w:cs="Arial" w:eastAsia="Arial" w:hAnsi="Arial"/>
          <w:sz w:val="12"/>
          <w:szCs w:val="12"/>
          <w:u w:val="single" w:color="auto"/>
          <w:color w:val="auto"/>
        </w:rPr>
        <w:t>Successor Substituted</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801,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NINE</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SUPPLEMENTAL INDENTURES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901.</w:t>
      </w:r>
      <w:r>
        <w:rPr>
          <w:sz w:val="20"/>
          <w:szCs w:val="20"/>
          <w:color w:val="auto"/>
        </w:rPr>
        <w:tab/>
      </w:r>
      <w:r>
        <w:rPr>
          <w:rFonts w:ascii="Arial" w:cs="Arial" w:eastAsia="Arial" w:hAnsi="Arial"/>
          <w:sz w:val="12"/>
          <w:szCs w:val="12"/>
          <w:u w:val="single" w:color="auto"/>
          <w:color w:val="auto"/>
        </w:rPr>
        <w:t>Supplemental Indentures Without Consent of Holders</w:t>
      </w:r>
      <w:r>
        <w:rPr>
          <w:rFonts w:ascii="Arial" w:cs="Arial" w:eastAsia="Arial" w:hAnsi="Arial"/>
          <w:sz w:val="12"/>
          <w:szCs w:val="12"/>
          <w:color w:val="auto"/>
        </w:rPr>
        <w:t>.</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Without the consent of any Holders, the Issuer, the Guarantors and the Trustee, at any time and from time to time, may enter into one or more indentures supplemental hereto in order to amend or supplement the Indenture, the Guarantees or the Notes for any of the following purposes:</w:t>
      </w:r>
    </w:p>
    <w:p>
      <w:pPr>
        <w:spacing w:after="0" w:line="138" w:lineRule="exact"/>
        <w:rPr>
          <w:sz w:val="20"/>
          <w:szCs w:val="20"/>
          <w:color w:val="auto"/>
        </w:rPr>
      </w:pPr>
    </w:p>
    <w:p>
      <w:pPr>
        <w:ind w:left="1540" w:hanging="541"/>
        <w:spacing w:after="0"/>
        <w:tabs>
          <w:tab w:leader="none" w:pos="1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cure any ambiguity, defect or inconsistency;</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provide for uncertificated Notes in addition to or in place of certificated Notes (provided, that, any such Note will be in registered form for U.S. federal income tax purposes);</w:t>
      </w:r>
    </w:p>
    <w:p>
      <w:pPr>
        <w:spacing w:after="0" w:line="193" w:lineRule="exact"/>
        <w:rPr>
          <w:rFonts w:ascii="Arial" w:cs="Arial" w:eastAsia="Arial" w:hAnsi="Arial"/>
          <w:sz w:val="12"/>
          <w:szCs w:val="12"/>
          <w:color w:val="auto"/>
        </w:rPr>
      </w:pPr>
    </w:p>
    <w:p>
      <w:pPr>
        <w:ind w:left="1540" w:hanging="541"/>
        <w:spacing w:after="0"/>
        <w:tabs>
          <w:tab w:leader="none" w:pos="15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provide for the assumption of the Issuer’s or a Guarantor’s obligations to the Holders in the case of a consolidation, amalgamation, merger or other transaction in compliance</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with Article Eight;</w:t>
      </w:r>
    </w:p>
    <w:p>
      <w:pPr>
        <w:spacing w:after="0" w:line="161" w:lineRule="exact"/>
        <w:rPr>
          <w:rFonts w:ascii="Arial" w:cs="Arial" w:eastAsia="Arial" w:hAnsi="Arial"/>
          <w:sz w:val="12"/>
          <w:szCs w:val="12"/>
          <w:color w:val="auto"/>
        </w:rPr>
      </w:pPr>
    </w:p>
    <w:p>
      <w:pPr>
        <w:ind w:left="500" w:right="240" w:firstLine="499"/>
        <w:spacing w:after="0" w:line="268" w:lineRule="auto"/>
        <w:tabs>
          <w:tab w:leader="none" w:pos="1539"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add any Guarantor or to acknowledge the release of any Guarantor from any of its obligations under its Guarantee and the other provisions of the Indenture (to the extent in accordance with the Indenture);</w:t>
      </w:r>
    </w:p>
    <w:p>
      <w:pPr>
        <w:spacing w:after="0" w:line="138" w:lineRule="exact"/>
        <w:rPr>
          <w:rFonts w:ascii="Arial" w:cs="Arial" w:eastAsia="Arial" w:hAnsi="Arial"/>
          <w:sz w:val="14"/>
          <w:szCs w:val="14"/>
          <w:color w:val="auto"/>
        </w:rPr>
      </w:pPr>
    </w:p>
    <w:p>
      <w:pPr>
        <w:ind w:left="1540" w:hanging="541"/>
        <w:spacing w:after="0"/>
        <w:tabs>
          <w:tab w:leader="none" w:pos="1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make any change that would provide any additional rights or benefits to the Holders or that does not materially adversely affect the rights of any Holder;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23" w:name="page124"/>
    <w:bookmarkEnd w:id="123"/>
    <w:p>
      <w:pPr>
        <w:ind w:left="1540" w:hanging="541"/>
        <w:spacing w:after="0"/>
        <w:tabs>
          <w:tab w:leader="none" w:pos="1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effect or maintain the qualification of the Indenture under the Trust Indenture Act;</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secure the Notes or any Guarantees or any other obligation under the Indenture;</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evidence and provide for the acceptance of appointment by a successor trustee; or</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38"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Any supplemental indenture authorized by the provisions of this Section 901 may be executed by the Issuer, the Guarantors and the Trustee without the consent of the Holders, notwithstanding any of the provisions of Section 902.</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902.</w:t>
      </w:r>
      <w:r>
        <w:rPr>
          <w:sz w:val="20"/>
          <w:szCs w:val="20"/>
          <w:color w:val="auto"/>
        </w:rPr>
        <w:tab/>
      </w:r>
      <w:r>
        <w:rPr>
          <w:rFonts w:ascii="Arial" w:cs="Arial" w:eastAsia="Arial" w:hAnsi="Arial"/>
          <w:sz w:val="12"/>
          <w:szCs w:val="12"/>
          <w:u w:val="single" w:color="auto"/>
          <w:color w:val="auto"/>
        </w:rPr>
        <w:t>Supplemental Indentures With Consent of Holders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10" w:lineRule="auto"/>
        <w:rPr>
          <w:sz w:val="20"/>
          <w:szCs w:val="20"/>
          <w:color w:val="auto"/>
        </w:rPr>
      </w:pPr>
      <w:r>
        <w:rPr>
          <w:rFonts w:ascii="Arial" w:cs="Arial" w:eastAsia="Arial" w:hAnsi="Arial"/>
          <w:sz w:val="12"/>
          <w:szCs w:val="12"/>
          <w:color w:val="auto"/>
        </w:rPr>
        <w:t>With the consent of the Holders of a majority in aggregate principal amount of the Outstanding Notes affected thereby (voting as a separate class), including, without limitation, consents obtained in connection with a purchase of, or tender offer or exchange offer for, the Notes, the Issuer, the Guarantors and the Trustee may amend or supplement the Indenture, the Notes or any Guarantees or, subject to Section 513, waive any existing Default or Event of Default or compliance with any provision of the Indenture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117" w:lineRule="exact"/>
        <w:rPr>
          <w:sz w:val="20"/>
          <w:szCs w:val="20"/>
          <w:color w:val="auto"/>
        </w:rPr>
      </w:pPr>
    </w:p>
    <w:p>
      <w:pPr>
        <w:ind w:left="1540" w:hanging="541"/>
        <w:spacing w:after="0"/>
        <w:tabs>
          <w:tab w:leader="none" w:pos="1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reduce, or change the maturity of, the principal of any Note;</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reduce the rate of or extend the time for payment of interest on any Note;</w:t>
      </w:r>
    </w:p>
    <w:p>
      <w:pPr>
        <w:spacing w:after="0" w:line="170" w:lineRule="exact"/>
        <w:rPr>
          <w:rFonts w:ascii="Arial" w:cs="Arial" w:eastAsia="Arial" w:hAnsi="Arial"/>
          <w:sz w:val="14"/>
          <w:szCs w:val="14"/>
          <w:color w:val="auto"/>
        </w:rPr>
      </w:pPr>
    </w:p>
    <w:p>
      <w:pPr>
        <w:ind w:left="500" w:right="160" w:firstLine="499"/>
        <w:spacing w:after="0" w:line="258" w:lineRule="auto"/>
        <w:tabs>
          <w:tab w:leader="none" w:pos="1539"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solely for the avoidance of doubt, and without any other implication, any purchase or repurchase of Notes (including pursuant to Section 1007) shall not be deemed a redemption of the Notes;</w:t>
      </w:r>
    </w:p>
    <w:p>
      <w:pPr>
        <w:spacing w:after="0" w:line="144" w:lineRule="exact"/>
        <w:rPr>
          <w:rFonts w:ascii="Arial" w:cs="Arial" w:eastAsia="Arial" w:hAnsi="Arial"/>
          <w:sz w:val="14"/>
          <w:szCs w:val="14"/>
          <w:color w:val="auto"/>
        </w:rPr>
      </w:pPr>
    </w:p>
    <w:p>
      <w:pPr>
        <w:ind w:left="1540" w:hanging="541"/>
        <w:spacing w:after="0"/>
        <w:tabs>
          <w:tab w:leader="none" w:pos="1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make any Note payable in money or currency other than that stated in the Notes;</w:t>
      </w:r>
    </w:p>
    <w:p>
      <w:pPr>
        <w:spacing w:after="0" w:line="170" w:lineRule="exact"/>
        <w:rPr>
          <w:rFonts w:ascii="Arial" w:cs="Arial" w:eastAsia="Arial" w:hAnsi="Arial"/>
          <w:sz w:val="14"/>
          <w:szCs w:val="14"/>
          <w:color w:val="auto"/>
        </w:rPr>
      </w:pPr>
    </w:p>
    <w:p>
      <w:pPr>
        <w:ind w:left="5660" w:right="360" w:hanging="4661"/>
        <w:spacing w:after="0" w:line="516" w:lineRule="auto"/>
        <w:tabs>
          <w:tab w:leader="none" w:pos="1535" w:val="left"/>
        </w:tabs>
        <w:numPr>
          <w:ilvl w:val="0"/>
          <w:numId w:val="76"/>
        </w:numPr>
        <w:rPr>
          <w:rFonts w:ascii="Arial" w:cs="Arial" w:eastAsia="Arial" w:hAnsi="Arial"/>
          <w:sz w:val="14"/>
          <w:szCs w:val="14"/>
          <w:color w:val="auto"/>
        </w:rPr>
      </w:pPr>
      <w:r>
        <w:rPr>
          <w:rFonts w:ascii="Arial" w:cs="Arial" w:eastAsia="Arial" w:hAnsi="Arial"/>
          <w:sz w:val="14"/>
          <w:szCs w:val="14"/>
          <w:color w:val="auto"/>
        </w:rPr>
        <w:t>modify or change any provision of the Indenture or the related definitions to affect the ranking of the Notes or any Guarantee in a manner that adversely affects the Holders;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24" w:name="page125"/>
    <w:bookmarkEnd w:id="124"/>
    <w:p>
      <w:pPr>
        <w:ind w:left="1480" w:hanging="481"/>
        <w:spacing w:after="0"/>
        <w:tabs>
          <w:tab w:leader="none" w:pos="1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reduce the percentage of Holders necessary to consent to an amendment, supplement or waiver to the Indenture, the Guarantees or the Notes;</w:t>
      </w:r>
    </w:p>
    <w:p>
      <w:pPr>
        <w:spacing w:after="0" w:line="170" w:lineRule="exact"/>
        <w:rPr>
          <w:rFonts w:ascii="Arial" w:cs="Arial" w:eastAsia="Arial" w:hAnsi="Arial"/>
          <w:sz w:val="14"/>
          <w:szCs w:val="14"/>
          <w:color w:val="auto"/>
        </w:rPr>
      </w:pPr>
    </w:p>
    <w:p>
      <w:pPr>
        <w:ind w:left="500" w:right="140" w:firstLine="499"/>
        <w:spacing w:after="0" w:line="268" w:lineRule="auto"/>
        <w:tabs>
          <w:tab w:leader="none" w:pos="1482" w:val="left"/>
        </w:tabs>
        <w:numPr>
          <w:ilvl w:val="0"/>
          <w:numId w:val="77"/>
        </w:numPr>
        <w:rPr>
          <w:rFonts w:ascii="Arial" w:cs="Arial" w:eastAsia="Arial" w:hAnsi="Arial"/>
          <w:sz w:val="14"/>
          <w:szCs w:val="14"/>
          <w:color w:val="auto"/>
        </w:rPr>
      </w:pPr>
      <w:r>
        <w:rPr>
          <w:rFonts w:ascii="Arial" w:cs="Arial" w:eastAsia="Arial" w:hAnsi="Arial"/>
          <w:sz w:val="14"/>
          <w:szCs w:val="14"/>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38" w:lineRule="exact"/>
        <w:rPr>
          <w:rFonts w:ascii="Arial" w:cs="Arial" w:eastAsia="Arial" w:hAnsi="Arial"/>
          <w:sz w:val="14"/>
          <w:szCs w:val="14"/>
          <w:color w:val="auto"/>
        </w:rPr>
      </w:pPr>
    </w:p>
    <w:p>
      <w:pPr>
        <w:ind w:left="500" w:right="120" w:firstLine="499"/>
        <w:spacing w:after="0" w:line="268" w:lineRule="auto"/>
        <w:tabs>
          <w:tab w:leader="none" w:pos="1482" w:val="left"/>
        </w:tabs>
        <w:numPr>
          <w:ilvl w:val="0"/>
          <w:numId w:val="77"/>
        </w:numPr>
        <w:rPr>
          <w:rFonts w:ascii="Arial" w:cs="Arial" w:eastAsia="Arial" w:hAnsi="Arial"/>
          <w:sz w:val="14"/>
          <w:szCs w:val="14"/>
          <w:color w:val="auto"/>
        </w:rPr>
      </w:pPr>
      <w:r>
        <w:rPr>
          <w:rFonts w:ascii="Arial" w:cs="Arial" w:eastAsia="Arial" w:hAnsi="Arial"/>
          <w:sz w:val="14"/>
          <w:szCs w:val="14"/>
          <w:color w:val="auto"/>
        </w:rPr>
        <w:t>impair the rights of Holders to receive payments of principal of or interest or premium, if any, on the Notes on or after the due date therefor or to institute suit for the enforcement of any payment on the Notes;</w:t>
      </w:r>
    </w:p>
    <w:p>
      <w:pPr>
        <w:spacing w:after="0" w:line="138" w:lineRule="exact"/>
        <w:rPr>
          <w:rFonts w:ascii="Arial" w:cs="Arial" w:eastAsia="Arial" w:hAnsi="Arial"/>
          <w:sz w:val="14"/>
          <w:szCs w:val="14"/>
          <w:color w:val="auto"/>
        </w:rPr>
      </w:pPr>
    </w:p>
    <w:p>
      <w:pPr>
        <w:ind w:left="1480" w:hanging="481"/>
        <w:spacing w:after="0"/>
        <w:tabs>
          <w:tab w:leader="none" w:pos="1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release any Guarantor from any of its obligations under its Guarantee or the Indenture, except as permitted by the Indenture; or</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make any change in these amendment, supplement and waiver provisions.</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38"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After an amendment or supplement under this Section 902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903.</w:t>
      </w:r>
      <w:r>
        <w:rPr>
          <w:sz w:val="20"/>
          <w:szCs w:val="20"/>
          <w:color w:val="auto"/>
        </w:rPr>
        <w:tab/>
      </w:r>
      <w:r>
        <w:rPr>
          <w:rFonts w:ascii="Arial" w:cs="Arial" w:eastAsia="Arial" w:hAnsi="Arial"/>
          <w:sz w:val="12"/>
          <w:szCs w:val="12"/>
          <w:u w:val="single" w:color="auto"/>
          <w:color w:val="auto"/>
        </w:rPr>
        <w:t>Execution of Supplemental Indentures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21" w:lineRule="auto"/>
        <w:rPr>
          <w:sz w:val="20"/>
          <w:szCs w:val="20"/>
          <w:color w:val="auto"/>
        </w:rPr>
      </w:pPr>
      <w:r>
        <w:rPr>
          <w:rFonts w:ascii="Arial" w:cs="Arial" w:eastAsia="Arial" w:hAnsi="Arial"/>
          <w:sz w:val="12"/>
          <w:szCs w:val="12"/>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The Trustee may, but shall not be obligated to, enter into any such supplemental indenture which affects the Trustee’s own rights, duties or immunities under the Indenture or otherwise.</w:t>
      </w:r>
    </w:p>
    <w:p>
      <w:pPr>
        <w:spacing w:after="0" w:line="110"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904.</w:t>
      </w:r>
      <w:r>
        <w:rPr>
          <w:sz w:val="20"/>
          <w:szCs w:val="20"/>
          <w:color w:val="auto"/>
        </w:rPr>
        <w:tab/>
      </w:r>
      <w:r>
        <w:rPr>
          <w:rFonts w:ascii="Arial" w:cs="Arial" w:eastAsia="Arial" w:hAnsi="Arial"/>
          <w:sz w:val="12"/>
          <w:szCs w:val="12"/>
          <w:u w:val="single" w:color="auto"/>
          <w:color w:val="auto"/>
        </w:rPr>
        <w:t>Effect of Supplemental Indentures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905.</w:t>
      </w:r>
      <w:r>
        <w:rPr>
          <w:sz w:val="20"/>
          <w:szCs w:val="20"/>
          <w:color w:val="auto"/>
        </w:rPr>
        <w:tab/>
      </w:r>
      <w:r>
        <w:rPr>
          <w:rFonts w:ascii="Arial" w:cs="Arial" w:eastAsia="Arial" w:hAnsi="Arial"/>
          <w:sz w:val="13"/>
          <w:szCs w:val="13"/>
          <w:u w:val="single" w:color="auto"/>
          <w:color w:val="auto"/>
        </w:rPr>
        <w:t>Conformity with Trust Indenture Act</w:t>
      </w:r>
      <w:r>
        <w:rPr>
          <w:rFonts w:ascii="Arial" w:cs="Arial" w:eastAsia="Arial" w:hAnsi="Arial"/>
          <w:sz w:val="13"/>
          <w:szCs w:val="13"/>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Subject to Section 312, every supplemental indenture executed pursuant to this Article shall conform to the requirements of the Trust Indenture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5" w:name="page126"/>
    <w:bookmarkEnd w:id="125"/>
    <w:p>
      <w:pPr>
        <w:spacing w:after="0"/>
        <w:tabs>
          <w:tab w:leader="none" w:pos="960" w:val="left"/>
        </w:tabs>
        <w:rPr>
          <w:sz w:val="20"/>
          <w:szCs w:val="20"/>
          <w:color w:val="auto"/>
        </w:rPr>
      </w:pPr>
      <w:r>
        <w:rPr>
          <w:rFonts w:ascii="Arial" w:cs="Arial" w:eastAsia="Arial" w:hAnsi="Arial"/>
          <w:sz w:val="14"/>
          <w:szCs w:val="14"/>
          <w:color w:val="auto"/>
        </w:rPr>
        <w:t>Section 906.</w:t>
      </w:r>
      <w:r>
        <w:rPr>
          <w:sz w:val="20"/>
          <w:szCs w:val="20"/>
          <w:color w:val="auto"/>
        </w:rPr>
        <w:tab/>
      </w:r>
      <w:r>
        <w:rPr>
          <w:rFonts w:ascii="Arial" w:cs="Arial" w:eastAsia="Arial" w:hAnsi="Arial"/>
          <w:sz w:val="12"/>
          <w:szCs w:val="12"/>
          <w:u w:val="single" w:color="auto"/>
          <w:color w:val="auto"/>
        </w:rPr>
        <w:t>Reference in Notes to Supplemental Indentures</w:t>
      </w:r>
      <w:r>
        <w:rPr>
          <w:rFonts w:ascii="Arial" w:cs="Arial" w:eastAsia="Arial" w:hAnsi="Arial"/>
          <w:sz w:val="12"/>
          <w:szCs w:val="12"/>
          <w:color w:val="auto"/>
        </w:rPr>
        <w:t>.</w:t>
      </w:r>
    </w:p>
    <w:p>
      <w:pPr>
        <w:spacing w:after="0" w:line="171" w:lineRule="exact"/>
        <w:rPr>
          <w:sz w:val="20"/>
          <w:szCs w:val="20"/>
          <w:color w:val="auto"/>
        </w:rPr>
      </w:pPr>
    </w:p>
    <w:p>
      <w:pPr>
        <w:ind w:right="300" w:firstLine="498"/>
        <w:spacing w:after="0" w:line="321" w:lineRule="auto"/>
        <w:rPr>
          <w:sz w:val="20"/>
          <w:szCs w:val="20"/>
          <w:color w:val="auto"/>
        </w:rPr>
      </w:pPr>
      <w:r>
        <w:rPr>
          <w:rFonts w:ascii="Arial" w:cs="Arial" w:eastAsia="Arial" w:hAnsi="Arial"/>
          <w:sz w:val="12"/>
          <w:szCs w:val="12"/>
          <w:color w:val="auto"/>
        </w:rPr>
        <w:t>Notes authenticated and delivered after the execution of any supplemental indenture pursuant to this Article may, and shall if so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w:t>
      </w:r>
    </w:p>
    <w:p>
      <w:pPr>
        <w:spacing w:after="0" w:line="106"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TEN</w:t>
      </w:r>
    </w:p>
    <w:p>
      <w:pPr>
        <w:spacing w:after="0" w:line="18"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COVENANTS</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1001.</w:t>
      </w:r>
      <w:r>
        <w:rPr>
          <w:sz w:val="20"/>
          <w:szCs w:val="20"/>
          <w:color w:val="auto"/>
        </w:rPr>
        <w:tab/>
      </w:r>
      <w:r>
        <w:rPr>
          <w:rFonts w:ascii="Arial" w:cs="Arial" w:eastAsia="Arial" w:hAnsi="Arial"/>
          <w:sz w:val="12"/>
          <w:szCs w:val="12"/>
          <w:u w:val="single" w:color="auto"/>
          <w:color w:val="auto"/>
        </w:rPr>
        <w:t>Payment of Principal, Premium and Interest</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321" w:lineRule="auto"/>
        <w:rPr>
          <w:sz w:val="20"/>
          <w:szCs w:val="20"/>
          <w:color w:val="auto"/>
        </w:rPr>
      </w:pPr>
      <w:r>
        <w:rPr>
          <w:rFonts w:ascii="Arial" w:cs="Arial" w:eastAsia="Arial" w:hAnsi="Arial"/>
          <w:sz w:val="12"/>
          <w:szCs w:val="12"/>
          <w:color w:val="auto"/>
        </w:rPr>
        <w:t>The Issuer covenants and agrees for the benefit of the Holders of the Notes that it will duly and punctually pay the principal of and any premium and interest on the Notes in accordance with the terms of the Notes and the Indenture.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10" w:lineRule="exact"/>
        <w:rPr>
          <w:sz w:val="20"/>
          <w:szCs w:val="20"/>
          <w:color w:val="auto"/>
        </w:rPr>
      </w:pPr>
    </w:p>
    <w:p>
      <w:pPr>
        <w:ind w:right="100" w:firstLine="498"/>
        <w:spacing w:after="0" w:line="287" w:lineRule="auto"/>
        <w:rPr>
          <w:sz w:val="20"/>
          <w:szCs w:val="20"/>
          <w:color w:val="auto"/>
        </w:rPr>
      </w:pPr>
      <w:r>
        <w:rPr>
          <w:rFonts w:ascii="Arial" w:cs="Arial" w:eastAsia="Arial" w:hAnsi="Arial"/>
          <w:sz w:val="13"/>
          <w:szCs w:val="13"/>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2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1002.</w:t>
      </w:r>
      <w:r>
        <w:rPr>
          <w:sz w:val="20"/>
          <w:szCs w:val="20"/>
          <w:color w:val="auto"/>
        </w:rPr>
        <w:tab/>
      </w:r>
      <w:r>
        <w:rPr>
          <w:rFonts w:ascii="Arial" w:cs="Arial" w:eastAsia="Arial" w:hAnsi="Arial"/>
          <w:sz w:val="12"/>
          <w:szCs w:val="12"/>
          <w:u w:val="single" w:color="auto"/>
          <w:color w:val="auto"/>
        </w:rPr>
        <w:t>Maintenance of Office or Agency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01" w:lineRule="auto"/>
        <w:rPr>
          <w:sz w:val="20"/>
          <w:szCs w:val="20"/>
          <w:color w:val="auto"/>
        </w:rPr>
      </w:pPr>
      <w:r>
        <w:rPr>
          <w:rFonts w:ascii="Arial" w:cs="Arial" w:eastAsia="Arial" w:hAnsi="Arial"/>
          <w:sz w:val="12"/>
          <w:szCs w:val="12"/>
          <w:color w:val="auto"/>
        </w:rPr>
        <w:t>The Issuer will maintain, in the City and State of New York and in any other Place of Payment, an office or agency where Notes may be presented or surrendered for payment, and it will maintain an office or agency in the continental United States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The Issuer hereby irrevocably designates as a Place of Payment for the Notes the City and State of New York, and initially appoints [·] as the Issuer’s office or agency in such city where the Notes may be presented or surrendered for payment.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6" w:name="page127"/>
    <w:bookmarkEnd w:id="126"/>
    <w:p>
      <w:pPr>
        <w:ind w:right="40" w:firstLine="498"/>
        <w:spacing w:after="0" w:line="254" w:lineRule="auto"/>
        <w:rPr>
          <w:sz w:val="20"/>
          <w:szCs w:val="20"/>
          <w:color w:val="auto"/>
        </w:rPr>
      </w:pPr>
      <w:r>
        <w:rPr>
          <w:rFonts w:ascii="Arial" w:cs="Arial" w:eastAsia="Arial" w:hAnsi="Arial"/>
          <w:sz w:val="14"/>
          <w:szCs w:val="14"/>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Issuer will maintain a Paying Agent and Registrar in the City and State of New York so long as any Notes are Outstanding. The Issuer will give prompt written notice to the Trustee of any such designation or rescission and of any change in the location of any such other office or agency.</w:t>
      </w:r>
    </w:p>
    <w:p>
      <w:pPr>
        <w:spacing w:after="0" w:line="14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1003.</w:t>
      </w:r>
      <w:r>
        <w:rPr>
          <w:sz w:val="20"/>
          <w:szCs w:val="20"/>
          <w:color w:val="auto"/>
        </w:rPr>
        <w:tab/>
      </w:r>
      <w:r>
        <w:rPr>
          <w:rFonts w:ascii="Arial" w:cs="Arial" w:eastAsia="Arial" w:hAnsi="Arial"/>
          <w:sz w:val="12"/>
          <w:szCs w:val="12"/>
          <w:u w:val="single" w:color="auto"/>
          <w:color w:val="auto"/>
        </w:rPr>
        <w:t>Money for Notes Payments to Be Held in Trust</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45" w:lineRule="exact"/>
        <w:rPr>
          <w:sz w:val="20"/>
          <w:szCs w:val="20"/>
          <w:color w:val="auto"/>
        </w:rPr>
      </w:pPr>
    </w:p>
    <w:p>
      <w:pPr>
        <w:ind w:right="160" w:firstLine="498"/>
        <w:spacing w:after="0" w:line="258" w:lineRule="auto"/>
        <w:rPr>
          <w:sz w:val="20"/>
          <w:szCs w:val="20"/>
          <w:color w:val="auto"/>
        </w:rPr>
      </w:pPr>
      <w:r>
        <w:rPr>
          <w:rFonts w:ascii="Arial" w:cs="Arial" w:eastAsia="Arial" w:hAnsi="Arial"/>
          <w:sz w:val="14"/>
          <w:szCs w:val="14"/>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as provided by the Trust Indenture Act, and (unless such Paying Agent is the Trustee) the Issuer will promptly notify the Trustee of its action or failure so to act.</w:t>
      </w:r>
    </w:p>
    <w:p>
      <w:pPr>
        <w:spacing w:after="0" w:line="145" w:lineRule="exact"/>
        <w:rPr>
          <w:sz w:val="20"/>
          <w:szCs w:val="20"/>
          <w:color w:val="auto"/>
        </w:rPr>
      </w:pPr>
    </w:p>
    <w:p>
      <w:pPr>
        <w:ind w:right="60" w:firstLine="498"/>
        <w:spacing w:after="0" w:line="254" w:lineRule="auto"/>
        <w:rPr>
          <w:sz w:val="20"/>
          <w:szCs w:val="20"/>
          <w:color w:val="auto"/>
        </w:rPr>
      </w:pPr>
      <w:r>
        <w:rPr>
          <w:rFonts w:ascii="Arial" w:cs="Arial" w:eastAsia="Arial" w:hAnsi="Arial"/>
          <w:sz w:val="14"/>
          <w:szCs w:val="14"/>
          <w:color w:val="auto"/>
        </w:rPr>
        <w:t>The Issuer will cause each Paying Agent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48" w:lineRule="exact"/>
        <w:rPr>
          <w:sz w:val="20"/>
          <w:szCs w:val="20"/>
          <w:color w:val="auto"/>
        </w:rPr>
      </w:pPr>
    </w:p>
    <w:p>
      <w:pPr>
        <w:ind w:right="40" w:firstLine="498"/>
        <w:spacing w:after="0" w:line="287" w:lineRule="auto"/>
        <w:rPr>
          <w:sz w:val="20"/>
          <w:szCs w:val="20"/>
          <w:color w:val="auto"/>
        </w:rPr>
      </w:pPr>
      <w:r>
        <w:rPr>
          <w:rFonts w:ascii="Arial" w:cs="Arial" w:eastAsia="Arial" w:hAnsi="Arial"/>
          <w:sz w:val="13"/>
          <w:szCs w:val="13"/>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28" w:lineRule="exact"/>
        <w:rPr>
          <w:sz w:val="20"/>
          <w:szCs w:val="20"/>
          <w:color w:val="auto"/>
        </w:rPr>
      </w:pPr>
    </w:p>
    <w:p>
      <w:pPr>
        <w:ind w:firstLine="498"/>
        <w:spacing w:after="0" w:line="280" w:lineRule="auto"/>
        <w:rPr>
          <w:sz w:val="20"/>
          <w:szCs w:val="20"/>
          <w:color w:val="auto"/>
        </w:rPr>
      </w:pPr>
      <w:r>
        <w:rPr>
          <w:rFonts w:ascii="Arial" w:cs="Arial" w:eastAsia="Arial" w:hAnsi="Arial"/>
          <w:sz w:val="13"/>
          <w:szCs w:val="13"/>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there are then Outstanding any Notes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7" w:name="page128"/>
    <w:bookmarkEnd w:id="127"/>
    <w:p>
      <w:pPr>
        <w:spacing w:after="0" w:line="287" w:lineRule="auto"/>
        <w:rPr>
          <w:sz w:val="20"/>
          <w:szCs w:val="20"/>
          <w:color w:val="auto"/>
        </w:rPr>
      </w:pPr>
      <w:r>
        <w:rPr>
          <w:rFonts w:ascii="Arial" w:cs="Arial" w:eastAsia="Arial" w:hAnsi="Arial"/>
          <w:sz w:val="13"/>
          <w:szCs w:val="13"/>
          <w:color w:val="auto"/>
        </w:rPr>
        <w:t>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2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1004.</w:t>
      </w:r>
      <w:r>
        <w:rPr>
          <w:sz w:val="20"/>
          <w:szCs w:val="20"/>
          <w:color w:val="auto"/>
        </w:rPr>
        <w:tab/>
      </w:r>
      <w:r>
        <w:rPr>
          <w:rFonts w:ascii="Arial" w:cs="Arial" w:eastAsia="Arial" w:hAnsi="Arial"/>
          <w:sz w:val="12"/>
          <w:szCs w:val="12"/>
          <w:u w:val="single" w:color="auto"/>
          <w:color w:val="auto"/>
        </w:rPr>
        <w:t>Annual Compliance Certificate; Statement by Officers as to Default</w:t>
      </w:r>
      <w:r>
        <w:rPr>
          <w:rFonts w:ascii="Arial" w:cs="Arial" w:eastAsia="Arial" w:hAnsi="Arial"/>
          <w:sz w:val="12"/>
          <w:szCs w:val="12"/>
          <w:color w:val="auto"/>
        </w:rPr>
        <w:t>.</w:t>
      </w:r>
    </w:p>
    <w:p>
      <w:pPr>
        <w:spacing w:after="0" w:line="171" w:lineRule="exact"/>
        <w:rPr>
          <w:sz w:val="20"/>
          <w:szCs w:val="20"/>
          <w:color w:val="auto"/>
        </w:rPr>
      </w:pPr>
    </w:p>
    <w:p>
      <w:pPr>
        <w:ind w:right="80" w:firstLine="999"/>
        <w:spacing w:after="0" w:line="252" w:lineRule="auto"/>
        <w:tabs>
          <w:tab w:leader="none" w:pos="1472"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Issuer shall deliver to the Trustee within 120 days after the end of each fiscal year of the Issuer ending after the Issue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50" w:lineRule="exact"/>
        <w:rPr>
          <w:rFonts w:ascii="Arial" w:cs="Arial" w:eastAsia="Arial" w:hAnsi="Arial"/>
          <w:sz w:val="14"/>
          <w:szCs w:val="14"/>
          <w:color w:val="auto"/>
        </w:rPr>
      </w:pPr>
    </w:p>
    <w:p>
      <w:pPr>
        <w:ind w:right="520" w:firstLine="999"/>
        <w:spacing w:after="0" w:line="268" w:lineRule="auto"/>
        <w:tabs>
          <w:tab w:leader="none" w:pos="14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3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1005.</w:t>
      </w:r>
      <w:r>
        <w:rPr>
          <w:sz w:val="20"/>
          <w:szCs w:val="20"/>
          <w:color w:val="auto"/>
        </w:rPr>
        <w:tab/>
      </w:r>
      <w:r>
        <w:rPr>
          <w:rFonts w:ascii="Arial" w:cs="Arial" w:eastAsia="Arial" w:hAnsi="Arial"/>
          <w:sz w:val="12"/>
          <w:szCs w:val="12"/>
          <w:u w:val="single" w:color="auto"/>
          <w:color w:val="auto"/>
        </w:rPr>
        <w:t>Existence</w:t>
      </w:r>
      <w:r>
        <w:rPr>
          <w:rFonts w:ascii="Arial" w:cs="Arial" w:eastAsia="Arial" w:hAnsi="Arial"/>
          <w:sz w:val="12"/>
          <w:szCs w:val="12"/>
          <w:color w:val="auto"/>
        </w:rPr>
        <w:t>.</w:t>
      </w:r>
    </w:p>
    <w:p>
      <w:pPr>
        <w:spacing w:after="0" w:line="171" w:lineRule="exact"/>
        <w:rPr>
          <w:sz w:val="20"/>
          <w:szCs w:val="20"/>
          <w:color w:val="auto"/>
        </w:rPr>
      </w:pPr>
    </w:p>
    <w:p>
      <w:pPr>
        <w:jc w:val="both"/>
        <w:ind w:right="220" w:firstLine="498"/>
        <w:spacing w:after="0" w:line="258" w:lineRule="auto"/>
        <w:rPr>
          <w:sz w:val="20"/>
          <w:szCs w:val="20"/>
          <w:color w:val="auto"/>
        </w:rPr>
      </w:pPr>
      <w:r>
        <w:rPr>
          <w:rFonts w:ascii="Arial" w:cs="Arial" w:eastAsia="Arial" w:hAnsi="Arial"/>
          <w:sz w:val="14"/>
          <w:szCs w:val="14"/>
          <w:color w:val="auto"/>
        </w:rPr>
        <w:t xml:space="preserve">Subject to Article Eight, the Issuer and each Guarantor will do or cause to be done all things necessary to preserve and keep in full force and effect its existence, rights (charter and statutory) and franchises;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145"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1006.</w:t>
      </w:r>
      <w:r>
        <w:rPr>
          <w:sz w:val="20"/>
          <w:szCs w:val="20"/>
          <w:color w:val="auto"/>
        </w:rPr>
        <w:tab/>
      </w:r>
      <w:r>
        <w:rPr>
          <w:rFonts w:ascii="Arial" w:cs="Arial" w:eastAsia="Arial" w:hAnsi="Arial"/>
          <w:sz w:val="12"/>
          <w:szCs w:val="12"/>
          <w:u w:val="single" w:color="auto"/>
          <w:color w:val="auto"/>
        </w:rPr>
        <w:t>Limitation on Designation of Unrestricted Subsidiaries</w:t>
      </w:r>
      <w:r>
        <w:rPr>
          <w:rFonts w:ascii="Arial" w:cs="Arial" w:eastAsia="Arial" w:hAnsi="Arial"/>
          <w:sz w:val="12"/>
          <w:szCs w:val="12"/>
          <w:color w:val="auto"/>
        </w:rPr>
        <w:t>.</w:t>
      </w:r>
    </w:p>
    <w:p>
      <w:pPr>
        <w:spacing w:after="0" w:line="171" w:lineRule="exact"/>
        <w:rPr>
          <w:sz w:val="20"/>
          <w:szCs w:val="20"/>
          <w:color w:val="auto"/>
        </w:rPr>
      </w:pPr>
    </w:p>
    <w:p>
      <w:pPr>
        <w:ind w:right="300" w:firstLine="498"/>
        <w:spacing w:after="0" w:line="268" w:lineRule="auto"/>
        <w:rPr>
          <w:sz w:val="20"/>
          <w:szCs w:val="20"/>
          <w:color w:val="auto"/>
        </w:rPr>
      </w:pPr>
      <w:r>
        <w:rPr>
          <w:rFonts w:ascii="Arial" w:cs="Arial" w:eastAsia="Arial" w:hAnsi="Arial"/>
          <w:sz w:val="14"/>
          <w:szCs w:val="14"/>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38" w:lineRule="exact"/>
        <w:rPr>
          <w:sz w:val="20"/>
          <w:szCs w:val="20"/>
          <w:color w:val="auto"/>
        </w:rPr>
      </w:pPr>
    </w:p>
    <w:p>
      <w:pPr>
        <w:ind w:left="1480" w:hanging="481"/>
        <w:spacing w:after="0"/>
        <w:tabs>
          <w:tab w:leader="none" w:pos="1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 Default shall have occurred and be continuing at the time of or after giving effect to such Designation; and</w:t>
      </w:r>
    </w:p>
    <w:p>
      <w:pPr>
        <w:spacing w:after="0" w:line="170" w:lineRule="exact"/>
        <w:rPr>
          <w:rFonts w:ascii="Arial" w:cs="Arial" w:eastAsia="Arial" w:hAnsi="Arial"/>
          <w:sz w:val="14"/>
          <w:szCs w:val="14"/>
          <w:color w:val="auto"/>
        </w:rPr>
      </w:pPr>
    </w:p>
    <w:p>
      <w:pPr>
        <w:ind w:left="500" w:right="160" w:firstLine="499"/>
        <w:spacing w:after="0" w:line="268" w:lineRule="auto"/>
        <w:tabs>
          <w:tab w:leader="none" w:pos="1482"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Parent Guarantor would be permitted to make, at the time of such Designation, (a) a Permitted Investment or (b) an Investment pursuant to Section 1009, in either case, in an amount (the “Designation Amount”) equal to the Fair Market Value of the Parent Guarantor’s proportionate interest in such Subsidiary on such date.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28" w:name="page129"/>
    <w:bookmarkEnd w:id="128"/>
    <w:p>
      <w:pPr>
        <w:ind w:left="500"/>
        <w:spacing w:after="0"/>
        <w:rPr>
          <w:sz w:val="20"/>
          <w:szCs w:val="20"/>
          <w:color w:val="auto"/>
        </w:rPr>
      </w:pPr>
      <w:r>
        <w:rPr>
          <w:rFonts w:ascii="Arial" w:cs="Arial" w:eastAsia="Arial" w:hAnsi="Arial"/>
          <w:sz w:val="14"/>
          <w:szCs w:val="14"/>
          <w:color w:val="auto"/>
        </w:rPr>
        <w:t>No Subsidiary shall be Designated as an “Unrestricted Subsidiary” unless:</w:t>
      </w:r>
    </w:p>
    <w:p>
      <w:pPr>
        <w:spacing w:after="0" w:line="171" w:lineRule="exact"/>
        <w:rPr>
          <w:sz w:val="20"/>
          <w:szCs w:val="20"/>
          <w:color w:val="auto"/>
        </w:rPr>
      </w:pPr>
    </w:p>
    <w:p>
      <w:pPr>
        <w:ind w:left="500" w:right="100" w:firstLine="499"/>
        <w:spacing w:after="0" w:line="280" w:lineRule="auto"/>
        <w:tabs>
          <w:tab w:leader="none" w:pos="1482" w:val="left"/>
        </w:tabs>
        <w:numPr>
          <w:ilvl w:val="0"/>
          <w:numId w:val="80"/>
        </w:numPr>
        <w:rPr>
          <w:rFonts w:ascii="Arial" w:cs="Arial" w:eastAsia="Arial" w:hAnsi="Arial"/>
          <w:sz w:val="13"/>
          <w:szCs w:val="13"/>
          <w:color w:val="auto"/>
        </w:rPr>
      </w:pPr>
      <w:r>
        <w:rPr>
          <w:rFonts w:ascii="Arial" w:cs="Arial" w:eastAsia="Arial" w:hAnsi="Arial"/>
          <w:sz w:val="13"/>
          <w:szCs w:val="13"/>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1008;</w:t>
      </w:r>
    </w:p>
    <w:p>
      <w:pPr>
        <w:spacing w:after="0" w:line="132" w:lineRule="exact"/>
        <w:rPr>
          <w:rFonts w:ascii="Arial" w:cs="Arial" w:eastAsia="Arial" w:hAnsi="Arial"/>
          <w:sz w:val="13"/>
          <w:szCs w:val="13"/>
          <w:color w:val="auto"/>
        </w:rPr>
      </w:pPr>
    </w:p>
    <w:p>
      <w:pPr>
        <w:ind w:left="500" w:right="40" w:firstLine="499"/>
        <w:spacing w:after="0" w:line="321" w:lineRule="auto"/>
        <w:tabs>
          <w:tab w:leader="none" w:pos="1482" w:val="left"/>
        </w:tabs>
        <w:numPr>
          <w:ilvl w:val="0"/>
          <w:numId w:val="80"/>
        </w:numPr>
        <w:rPr>
          <w:rFonts w:ascii="Arial" w:cs="Arial" w:eastAsia="Arial" w:hAnsi="Arial"/>
          <w:sz w:val="12"/>
          <w:szCs w:val="12"/>
          <w:color w:val="auto"/>
        </w:rPr>
      </w:pPr>
      <w:r>
        <w:rPr>
          <w:rFonts w:ascii="Arial" w:cs="Arial" w:eastAsia="Arial" w:hAnsi="Arial"/>
          <w:sz w:val="12"/>
          <w:szCs w:val="12"/>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10" w:lineRule="exact"/>
        <w:rPr>
          <w:rFonts w:ascii="Arial" w:cs="Arial" w:eastAsia="Arial" w:hAnsi="Arial"/>
          <w:sz w:val="12"/>
          <w:szCs w:val="12"/>
          <w:color w:val="auto"/>
        </w:rPr>
      </w:pPr>
    </w:p>
    <w:p>
      <w:pPr>
        <w:ind w:left="500" w:right="480" w:firstLine="499"/>
        <w:spacing w:after="0" w:line="268" w:lineRule="auto"/>
        <w:tabs>
          <w:tab w:leader="none" w:pos="1482" w:val="left"/>
        </w:tabs>
        <w:numPr>
          <w:ilvl w:val="0"/>
          <w:numId w:val="80"/>
        </w:numPr>
        <w:rPr>
          <w:rFonts w:ascii="Arial" w:cs="Arial" w:eastAsia="Arial" w:hAnsi="Arial"/>
          <w:sz w:val="14"/>
          <w:szCs w:val="14"/>
          <w:color w:val="auto"/>
        </w:rPr>
      </w:pPr>
      <w:r>
        <w:rPr>
          <w:rFonts w:ascii="Arial" w:cs="Arial" w:eastAsia="Arial" w:hAnsi="Arial"/>
          <w:sz w:val="14"/>
          <w:szCs w:val="14"/>
          <w:color w:val="auto"/>
        </w:rPr>
        <w:t>such Subsidiary is a Person with respect to which neither the Parent Guarantor nor any of its Restricted Subsidiaries has any direct or indirect obligation (a) to subscribe for additional Equity Interests of such Person or</w:t>
      </w:r>
    </w:p>
    <w:p>
      <w:pPr>
        <w:spacing w:after="0" w:line="138" w:lineRule="exact"/>
        <w:rPr>
          <w:rFonts w:ascii="Arial" w:cs="Arial" w:eastAsia="Arial" w:hAnsi="Arial"/>
          <w:sz w:val="14"/>
          <w:szCs w:val="14"/>
          <w:color w:val="auto"/>
        </w:rPr>
      </w:pPr>
    </w:p>
    <w:p>
      <w:pPr>
        <w:ind w:left="1000" w:right="60" w:firstLine="497"/>
        <w:spacing w:after="0" w:line="321" w:lineRule="auto"/>
        <w:tabs>
          <w:tab w:leader="none" w:pos="1974" w:val="left"/>
        </w:tabs>
        <w:numPr>
          <w:ilvl w:val="1"/>
          <w:numId w:val="80"/>
        </w:numPr>
        <w:rPr>
          <w:rFonts w:ascii="Arial" w:cs="Arial" w:eastAsia="Arial" w:hAnsi="Arial"/>
          <w:sz w:val="12"/>
          <w:szCs w:val="12"/>
          <w:color w:val="auto"/>
        </w:rPr>
      </w:pPr>
      <w:r>
        <w:rPr>
          <w:rFonts w:ascii="Arial" w:cs="Arial" w:eastAsia="Arial" w:hAnsi="Arial"/>
          <w:sz w:val="12"/>
          <w:szCs w:val="12"/>
          <w:color w:val="auto"/>
        </w:rPr>
        <w:t>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10"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1008 or the Lien is not permitted under Section 1010, the Parent Guarantor shall be in default of the applicable covenant.</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Board of Directors of the Parent Guarantor may redesignate an Unrestricted Subsidiary as a Restricted Subsidiary (a “Redesignation”) only if: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29" w:name="page130"/>
    <w:bookmarkEnd w:id="129"/>
    <w:p>
      <w:pPr>
        <w:ind w:left="1480" w:hanging="481"/>
        <w:spacing w:after="0"/>
        <w:tabs>
          <w:tab w:leader="none" w:pos="1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 Default shall have occurred and be continuing at the time of and after giving effect to such Redesignation; and</w:t>
      </w:r>
    </w:p>
    <w:p>
      <w:pPr>
        <w:spacing w:after="0" w:line="170" w:lineRule="exact"/>
        <w:rPr>
          <w:rFonts w:ascii="Arial" w:cs="Arial" w:eastAsia="Arial" w:hAnsi="Arial"/>
          <w:sz w:val="14"/>
          <w:szCs w:val="14"/>
          <w:color w:val="auto"/>
        </w:rPr>
      </w:pPr>
    </w:p>
    <w:p>
      <w:pPr>
        <w:ind w:left="500" w:right="20" w:firstLine="499"/>
        <w:spacing w:after="0" w:line="268" w:lineRule="auto"/>
        <w:tabs>
          <w:tab w:leader="none" w:pos="1482" w:val="left"/>
        </w:tabs>
        <w:numPr>
          <w:ilvl w:val="0"/>
          <w:numId w:val="81"/>
        </w:numPr>
        <w:rPr>
          <w:rFonts w:ascii="Arial" w:cs="Arial" w:eastAsia="Arial" w:hAnsi="Arial"/>
          <w:sz w:val="14"/>
          <w:szCs w:val="14"/>
          <w:color w:val="auto"/>
        </w:rPr>
      </w:pPr>
      <w:r>
        <w:rPr>
          <w:rFonts w:ascii="Arial" w:cs="Arial" w:eastAsia="Arial" w:hAnsi="Arial"/>
          <w:sz w:val="14"/>
          <w:szCs w:val="14"/>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38" w:lineRule="exact"/>
        <w:rPr>
          <w:sz w:val="20"/>
          <w:szCs w:val="20"/>
          <w:color w:val="auto"/>
        </w:rPr>
      </w:pPr>
    </w:p>
    <w:p>
      <w:pPr>
        <w:ind w:right="460" w:firstLine="498"/>
        <w:spacing w:after="0" w:line="268" w:lineRule="auto"/>
        <w:rPr>
          <w:sz w:val="20"/>
          <w:szCs w:val="20"/>
          <w:color w:val="auto"/>
        </w:rPr>
      </w:pPr>
      <w:r>
        <w:rPr>
          <w:rFonts w:ascii="Arial" w:cs="Arial" w:eastAsia="Arial" w:hAnsi="Arial"/>
          <w:sz w:val="14"/>
          <w:szCs w:val="14"/>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3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1007.</w:t>
      </w:r>
      <w:r>
        <w:rPr>
          <w:sz w:val="20"/>
          <w:szCs w:val="20"/>
          <w:color w:val="auto"/>
        </w:rPr>
        <w:tab/>
      </w:r>
      <w:r>
        <w:rPr>
          <w:rFonts w:ascii="Arial" w:cs="Arial" w:eastAsia="Arial" w:hAnsi="Arial"/>
          <w:sz w:val="12"/>
          <w:szCs w:val="12"/>
          <w:u w:val="single" w:color="auto"/>
          <w:color w:val="auto"/>
        </w:rPr>
        <w:t>Purchase of Notes Upon a Change of Control</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87" w:lineRule="auto"/>
        <w:rPr>
          <w:sz w:val="20"/>
          <w:szCs w:val="20"/>
          <w:color w:val="auto"/>
        </w:rPr>
      </w:pPr>
      <w:r>
        <w:rPr>
          <w:rFonts w:ascii="Arial" w:cs="Arial" w:eastAsia="Arial" w:hAnsi="Arial"/>
          <w:sz w:val="13"/>
          <w:szCs w:val="13"/>
          <w:color w:val="auto"/>
        </w:rPr>
        <w:t>Upon the occurrence of a Change of Control, unless the Issuer has previously or concurrently exercised its right to redeem all of the Notes under Section 1103, each Holder of Notes will have the right, except as provided below, to require that the Issuer purchase all or any part (equal to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later than 30 days following any Change of Control, the Issuer will deliver, or cause to be delivered, to the Holders, with a copy to the Trustee, a notice:</w:t>
      </w:r>
    </w:p>
    <w:p>
      <w:pPr>
        <w:spacing w:after="0" w:line="171" w:lineRule="exact"/>
        <w:rPr>
          <w:sz w:val="20"/>
          <w:szCs w:val="20"/>
          <w:color w:val="auto"/>
        </w:rPr>
      </w:pPr>
    </w:p>
    <w:p>
      <w:pPr>
        <w:ind w:left="1480" w:hanging="481"/>
        <w:spacing w:after="0"/>
        <w:tabs>
          <w:tab w:leader="none" w:pos="1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describing the transaction or transactions that constitute the Change of Control;</w:t>
      </w:r>
    </w:p>
    <w:p>
      <w:pPr>
        <w:spacing w:after="0" w:line="170" w:lineRule="exact"/>
        <w:rPr>
          <w:rFonts w:ascii="Arial" w:cs="Arial" w:eastAsia="Arial" w:hAnsi="Arial"/>
          <w:sz w:val="14"/>
          <w:szCs w:val="14"/>
          <w:color w:val="auto"/>
        </w:rPr>
      </w:pPr>
    </w:p>
    <w:p>
      <w:pPr>
        <w:ind w:left="500" w:firstLine="499"/>
        <w:spacing w:after="0" w:line="254" w:lineRule="auto"/>
        <w:tabs>
          <w:tab w:leader="none" w:pos="1482" w:val="left"/>
        </w:tabs>
        <w:numPr>
          <w:ilvl w:val="0"/>
          <w:numId w:val="82"/>
        </w:numPr>
        <w:rPr>
          <w:rFonts w:ascii="Arial" w:cs="Arial" w:eastAsia="Arial" w:hAnsi="Arial"/>
          <w:sz w:val="14"/>
          <w:szCs w:val="14"/>
          <w:color w:val="auto"/>
        </w:rPr>
      </w:pPr>
      <w:r>
        <w:rPr>
          <w:rFonts w:ascii="Arial" w:cs="Arial" w:eastAsia="Arial" w:hAnsi="Arial"/>
          <w:sz w:val="14"/>
          <w:szCs w:val="14"/>
          <w:color w:val="auto"/>
        </w:rPr>
        <w:t>offering to purchase, pursuant to the procedures required hereby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148" w:lineRule="exact"/>
        <w:rPr>
          <w:rFonts w:ascii="Arial" w:cs="Arial" w:eastAsia="Arial" w:hAnsi="Arial"/>
          <w:sz w:val="14"/>
          <w:szCs w:val="14"/>
          <w:color w:val="auto"/>
        </w:rPr>
      </w:pPr>
    </w:p>
    <w:p>
      <w:pPr>
        <w:ind w:left="1480" w:hanging="481"/>
        <w:spacing w:after="0"/>
        <w:tabs>
          <w:tab w:leader="none" w:pos="1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describing the procedures, as determined by the Issuer, consistent with the Indenture, that Holders must follow to accept the Change of Control Offer.</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the Change of Control Payment Date, the Issuer will, to the extent lawful:</w:t>
      </w:r>
    </w:p>
    <w:p>
      <w:pPr>
        <w:spacing w:after="0" w:line="171" w:lineRule="exact"/>
        <w:rPr>
          <w:sz w:val="20"/>
          <w:szCs w:val="20"/>
          <w:color w:val="auto"/>
        </w:rPr>
      </w:pPr>
    </w:p>
    <w:p>
      <w:pPr>
        <w:ind w:left="5660" w:right="320" w:hanging="4661"/>
        <w:spacing w:after="0" w:line="516" w:lineRule="auto"/>
        <w:tabs>
          <w:tab w:leader="none" w:pos="1478" w:val="left"/>
        </w:tabs>
        <w:numPr>
          <w:ilvl w:val="0"/>
          <w:numId w:val="83"/>
        </w:numPr>
        <w:rPr>
          <w:rFonts w:ascii="Arial" w:cs="Arial" w:eastAsia="Arial" w:hAnsi="Arial"/>
          <w:sz w:val="14"/>
          <w:szCs w:val="14"/>
          <w:color w:val="auto"/>
        </w:rPr>
      </w:pPr>
      <w:r>
        <w:rPr>
          <w:rFonts w:ascii="Arial" w:cs="Arial" w:eastAsia="Arial" w:hAnsi="Arial"/>
          <w:sz w:val="14"/>
          <w:szCs w:val="14"/>
          <w:color w:val="auto"/>
        </w:rPr>
        <w:t>accept for payment all Notes or portions of Notes (of $2,000 or integral multiples of $1,000 in excess thereof) properly tendered pursuant to the Change of Control Offer; and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4" w:right="259" w:bottom="1440" w:gutter="0" w:footer="0" w:header="0"/>
        </w:sectPr>
      </w:pPr>
    </w:p>
    <w:bookmarkStart w:id="130" w:name="page131"/>
    <w:bookmarkEnd w:id="130"/>
    <w:p>
      <w:pPr>
        <w:ind w:left="500" w:right="280" w:firstLine="499"/>
        <w:spacing w:after="0" w:line="268" w:lineRule="auto"/>
        <w:tabs>
          <w:tab w:leader="none" w:pos="1482" w:val="left"/>
        </w:tabs>
        <w:numPr>
          <w:ilvl w:val="0"/>
          <w:numId w:val="84"/>
        </w:numPr>
        <w:rPr>
          <w:rFonts w:ascii="Arial" w:cs="Arial" w:eastAsia="Arial" w:hAnsi="Arial"/>
          <w:sz w:val="14"/>
          <w:szCs w:val="14"/>
          <w:color w:val="auto"/>
        </w:rPr>
      </w:pPr>
      <w:r>
        <w:rPr>
          <w:rFonts w:ascii="Arial" w:cs="Arial" w:eastAsia="Arial" w:hAnsi="Arial"/>
          <w:sz w:val="14"/>
          <w:szCs w:val="14"/>
          <w:color w:val="auto"/>
        </w:rPr>
        <w:t>deliver or cause to be delivered to the Trustee the Notes so accepted together with an Officers’ Certificate stating the aggregate principal amount of Notes or portions of Notes being purchased by the Issuer.</w:t>
      </w:r>
    </w:p>
    <w:p>
      <w:pPr>
        <w:spacing w:after="0" w:line="138" w:lineRule="exact"/>
        <w:rPr>
          <w:sz w:val="20"/>
          <w:szCs w:val="20"/>
          <w:color w:val="auto"/>
        </w:rPr>
      </w:pPr>
    </w:p>
    <w:p>
      <w:pPr>
        <w:ind w:right="80" w:firstLine="498"/>
        <w:spacing w:after="0" w:line="258" w:lineRule="auto"/>
        <w:rPr>
          <w:sz w:val="20"/>
          <w:szCs w:val="20"/>
          <w:color w:val="auto"/>
        </w:rPr>
      </w:pPr>
      <w:r>
        <w:rPr>
          <w:rFonts w:ascii="Arial" w:cs="Arial" w:eastAsia="Arial" w:hAnsi="Arial"/>
          <w:sz w:val="14"/>
          <w:szCs w:val="14"/>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each such new Note will be in a principal amount of $2,000 or integral multiples of $1,000 in excess thereof.</w:t>
      </w:r>
    </w:p>
    <w:p>
      <w:pPr>
        <w:spacing w:after="0" w:line="145"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38"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38"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The Issuer will not be required to make a Change of Control Offer upon a Change of Control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1103, unless and until there is a default in the payment of the applicable Redemption Price.</w:t>
      </w:r>
    </w:p>
    <w:p>
      <w:pPr>
        <w:spacing w:after="0" w:line="148"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If Holders of not less than 90.0%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51" w:lineRule="exact"/>
        <w:rPr>
          <w:sz w:val="20"/>
          <w:szCs w:val="20"/>
          <w:color w:val="auto"/>
        </w:rPr>
      </w:pPr>
    </w:p>
    <w:p>
      <w:pPr>
        <w:ind w:right="120" w:firstLine="498"/>
        <w:spacing w:after="0" w:line="321" w:lineRule="auto"/>
        <w:rPr>
          <w:sz w:val="20"/>
          <w:szCs w:val="20"/>
          <w:color w:val="auto"/>
        </w:rPr>
      </w:pPr>
      <w:r>
        <w:rPr>
          <w:rFonts w:ascii="Arial" w:cs="Arial" w:eastAsia="Arial" w:hAnsi="Arial"/>
          <w:sz w:val="12"/>
          <w:szCs w:val="12"/>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1007, the Issuer shall comply with the applicable securities laws and regulations and will not be deemed to have breached its obligations under this Section 1007 by virtue of such compliance.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31" w:name="page132"/>
    <w:bookmarkEnd w:id="131"/>
    <w:p>
      <w:pPr>
        <w:ind w:right="320" w:firstLine="498"/>
        <w:spacing w:after="0" w:line="268" w:lineRule="auto"/>
        <w:rPr>
          <w:sz w:val="20"/>
          <w:szCs w:val="20"/>
          <w:color w:val="auto"/>
        </w:rPr>
      </w:pPr>
      <w:r>
        <w:rPr>
          <w:rFonts w:ascii="Arial" w:cs="Arial" w:eastAsia="Arial" w:hAnsi="Arial"/>
          <w:sz w:val="14"/>
          <w:szCs w:val="14"/>
          <w:color w:val="auto"/>
        </w:rPr>
        <w:t>Notwithstanding anything to the contrary contained herein, a Change of Control Offer may be made in advance of a Change of Control, conditional upon such Change of Control, if a definitive agreement is in place for the Change of Control at the time of making of the Change of Control Offer.</w:t>
      </w:r>
    </w:p>
    <w:p>
      <w:pPr>
        <w:spacing w:after="0" w:line="13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1008.</w:t>
      </w:r>
      <w:r>
        <w:rPr>
          <w:sz w:val="20"/>
          <w:szCs w:val="20"/>
          <w:color w:val="auto"/>
        </w:rPr>
        <w:tab/>
      </w:r>
      <w:r>
        <w:rPr>
          <w:rFonts w:ascii="Arial" w:cs="Arial" w:eastAsia="Arial" w:hAnsi="Arial"/>
          <w:sz w:val="12"/>
          <w:szCs w:val="12"/>
          <w:u w:val="single" w:color="auto"/>
          <w:color w:val="auto"/>
        </w:rPr>
        <w:t>Limitation on Additional Indebtedness</w:t>
      </w:r>
      <w:r>
        <w:rPr>
          <w:rFonts w:ascii="Arial" w:cs="Arial" w:eastAsia="Arial" w:hAnsi="Arial"/>
          <w:sz w:val="12"/>
          <w:szCs w:val="12"/>
          <w:color w:val="auto"/>
        </w:rPr>
        <w:t>.</w:t>
      </w:r>
    </w:p>
    <w:p>
      <w:pPr>
        <w:spacing w:after="0" w:line="171" w:lineRule="exact"/>
        <w:rPr>
          <w:sz w:val="20"/>
          <w:szCs w:val="20"/>
          <w:color w:val="auto"/>
        </w:rPr>
      </w:pPr>
    </w:p>
    <w:p>
      <w:pPr>
        <w:ind w:right="100" w:firstLine="498"/>
        <w:spacing w:after="0" w:line="287" w:lineRule="auto"/>
        <w:rPr>
          <w:sz w:val="20"/>
          <w:szCs w:val="20"/>
          <w:color w:val="auto"/>
        </w:rPr>
      </w:pPr>
      <w:r>
        <w:rPr>
          <w:rFonts w:ascii="Arial" w:cs="Arial" w:eastAsia="Arial" w:hAnsi="Arial"/>
          <w:sz w:val="13"/>
          <w:szCs w:val="13"/>
          <w:color w:val="auto"/>
        </w:rPr>
        <w:t xml:space="preserve">The Parent Guarantor will not, and will not permit any Restricted Subsidiary to, directly or indirectly, incur any Indebtedness (including Acquired Indebtedness);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Notwithstanding the above, each of the following incurrences of Indebtedness shall be permitted (the “Permitted Indebtedness”):</w:t>
      </w:r>
    </w:p>
    <w:p>
      <w:pPr>
        <w:spacing w:after="0" w:line="171" w:lineRule="exact"/>
        <w:rPr>
          <w:sz w:val="20"/>
          <w:szCs w:val="20"/>
          <w:color w:val="auto"/>
        </w:rPr>
      </w:pPr>
    </w:p>
    <w:p>
      <w:pPr>
        <w:jc w:val="both"/>
        <w:ind w:left="500" w:right="340" w:firstLine="499"/>
        <w:spacing w:after="0" w:line="258" w:lineRule="auto"/>
        <w:tabs>
          <w:tab w:leader="none" w:pos="1482" w:val="left"/>
        </w:tabs>
        <w:numPr>
          <w:ilvl w:val="1"/>
          <w:numId w:val="85"/>
        </w:numPr>
        <w:rPr>
          <w:rFonts w:ascii="Arial" w:cs="Arial" w:eastAsia="Arial" w:hAnsi="Arial"/>
          <w:sz w:val="14"/>
          <w:szCs w:val="14"/>
          <w:color w:val="auto"/>
        </w:rPr>
      </w:pPr>
      <w:r>
        <w:rPr>
          <w:rFonts w:ascii="Arial" w:cs="Arial" w:eastAsia="Arial" w:hAnsi="Arial"/>
          <w:sz w:val="14"/>
          <w:szCs w:val="14"/>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$1,000.0 million;</w:t>
      </w:r>
    </w:p>
    <w:p>
      <w:pPr>
        <w:spacing w:after="0" w:line="144" w:lineRule="exact"/>
        <w:rPr>
          <w:rFonts w:ascii="Arial" w:cs="Arial" w:eastAsia="Arial" w:hAnsi="Arial"/>
          <w:sz w:val="14"/>
          <w:szCs w:val="14"/>
          <w:color w:val="auto"/>
        </w:rPr>
      </w:pPr>
    </w:p>
    <w:p>
      <w:pPr>
        <w:ind w:left="1480" w:hanging="481"/>
        <w:spacing w:after="0"/>
        <w:tabs>
          <w:tab w:leader="none" w:pos="1480" w:val="left"/>
        </w:tabs>
        <w:numPr>
          <w:ilvl w:val="1"/>
          <w:numId w:val="85"/>
        </w:numPr>
        <w:rPr>
          <w:rFonts w:ascii="Arial" w:cs="Arial" w:eastAsia="Arial" w:hAnsi="Arial"/>
          <w:sz w:val="14"/>
          <w:szCs w:val="14"/>
          <w:color w:val="auto"/>
        </w:rPr>
      </w:pPr>
      <w:r>
        <w:rPr>
          <w:rFonts w:ascii="Arial" w:cs="Arial" w:eastAsia="Arial" w:hAnsi="Arial"/>
          <w:sz w:val="14"/>
          <w:szCs w:val="14"/>
          <w:color w:val="auto"/>
        </w:rPr>
        <w:t>Indebtedness under (a) the Notes and (b) the Guarantees of the Notes;</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1"/>
          <w:numId w:val="85"/>
        </w:numPr>
        <w:rPr>
          <w:rFonts w:ascii="Arial" w:cs="Arial" w:eastAsia="Arial" w:hAnsi="Arial"/>
          <w:sz w:val="12"/>
          <w:szCs w:val="12"/>
          <w:color w:val="auto"/>
        </w:rPr>
      </w:pPr>
      <w:r>
        <w:rPr>
          <w:rFonts w:ascii="Arial" w:cs="Arial" w:eastAsia="Arial" w:hAnsi="Arial"/>
          <w:sz w:val="12"/>
          <w:szCs w:val="12"/>
          <w:color w:val="auto"/>
        </w:rPr>
        <w:t>Indebtedness of the Parent Guarantor and its Restricted Subsidiaries to the extent outstanding on the Issue Date (other than Indebtedness referred to in clauses (1), (2) and (6) of this</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paragraph);</w:t>
      </w:r>
    </w:p>
    <w:p>
      <w:pPr>
        <w:spacing w:after="0" w:line="161" w:lineRule="exact"/>
        <w:rPr>
          <w:rFonts w:ascii="Arial" w:cs="Arial" w:eastAsia="Arial" w:hAnsi="Arial"/>
          <w:sz w:val="12"/>
          <w:szCs w:val="12"/>
          <w:color w:val="auto"/>
        </w:rPr>
      </w:pPr>
    </w:p>
    <w:p>
      <w:pPr>
        <w:ind w:left="500" w:right="360" w:firstLine="499"/>
        <w:spacing w:after="0" w:line="296" w:lineRule="auto"/>
        <w:tabs>
          <w:tab w:leader="none" w:pos="1482" w:val="left"/>
        </w:tabs>
        <w:numPr>
          <w:ilvl w:val="1"/>
          <w:numId w:val="85"/>
        </w:numPr>
        <w:rPr>
          <w:rFonts w:ascii="Arial" w:cs="Arial" w:eastAsia="Arial" w:hAnsi="Arial"/>
          <w:sz w:val="12"/>
          <w:szCs w:val="12"/>
          <w:color w:val="auto"/>
        </w:rPr>
      </w:pPr>
      <w:r>
        <w:rPr>
          <w:rFonts w:ascii="Arial" w:cs="Arial" w:eastAsia="Arial" w:hAnsi="Arial"/>
          <w:sz w:val="12"/>
          <w:szCs w:val="12"/>
          <w:color w:val="auto"/>
        </w:rPr>
        <w:t xml:space="preserve">(a) guarantees by the Issuer or any Guarantor of Indebtedness permitted to be incurred in accordance with the provisions of the Indenture;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event such Indebtedness that is being guaranteed is Subordinated Indebtedness, then the related guarantee shall be subordinated in right of payment to the Notes or the Guarantees, as the case may be, and</w:t>
      </w:r>
    </w:p>
    <w:p>
      <w:pPr>
        <w:ind w:left="700" w:hanging="199"/>
        <w:spacing w:after="0"/>
        <w:tabs>
          <w:tab w:leader="none" w:pos="7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guarantees of Indebtedness incurred by Restricted Subsidiaries that are not Guarantors;</w:t>
      </w:r>
    </w:p>
    <w:p>
      <w:pPr>
        <w:spacing w:after="0" w:line="161" w:lineRule="exact"/>
        <w:rPr>
          <w:rFonts w:ascii="Arial" w:cs="Arial" w:eastAsia="Arial" w:hAnsi="Arial"/>
          <w:sz w:val="14"/>
          <w:szCs w:val="14"/>
          <w:color w:val="auto"/>
        </w:rPr>
      </w:pPr>
    </w:p>
    <w:p>
      <w:pPr>
        <w:ind w:left="1480" w:hanging="481"/>
        <w:spacing w:after="0"/>
        <w:tabs>
          <w:tab w:leader="none" w:pos="1480" w:val="left"/>
        </w:tabs>
        <w:numPr>
          <w:ilvl w:val="1"/>
          <w:numId w:val="86"/>
        </w:numPr>
        <w:rPr>
          <w:rFonts w:ascii="Arial" w:cs="Arial" w:eastAsia="Arial" w:hAnsi="Arial"/>
          <w:sz w:val="12"/>
          <w:szCs w:val="12"/>
          <w:color w:val="auto"/>
        </w:rPr>
      </w:pPr>
      <w:r>
        <w:rPr>
          <w:rFonts w:ascii="Arial" w:cs="Arial" w:eastAsia="Arial" w:hAnsi="Arial"/>
          <w:sz w:val="12"/>
          <w:szCs w:val="12"/>
          <w:color w:val="auto"/>
        </w:rPr>
        <w:t>Indebtedness under Hedging Obligations entered into for bona fide hedging purposes of the Parent Guarantor or any Restricted Subsidiary and not for the purpose of speculation;</w:t>
      </w:r>
    </w:p>
    <w:p>
      <w:pPr>
        <w:spacing w:after="0" w:line="193" w:lineRule="exact"/>
        <w:rPr>
          <w:rFonts w:ascii="Arial" w:cs="Arial" w:eastAsia="Arial" w:hAnsi="Arial"/>
          <w:sz w:val="12"/>
          <w:szCs w:val="12"/>
          <w:color w:val="auto"/>
        </w:rPr>
      </w:pPr>
    </w:p>
    <w:p>
      <w:pPr>
        <w:ind w:left="500" w:right="40" w:firstLine="499"/>
        <w:spacing w:after="0" w:line="254" w:lineRule="auto"/>
        <w:tabs>
          <w:tab w:leader="none" w:pos="1482" w:val="left"/>
        </w:tabs>
        <w:numPr>
          <w:ilvl w:val="1"/>
          <w:numId w:val="86"/>
        </w:numPr>
        <w:rPr>
          <w:rFonts w:ascii="Arial" w:cs="Arial" w:eastAsia="Arial" w:hAnsi="Arial"/>
          <w:sz w:val="14"/>
          <w:szCs w:val="14"/>
          <w:color w:val="auto"/>
        </w:rPr>
      </w:pPr>
      <w:r>
        <w:rPr>
          <w:rFonts w:ascii="Arial" w:cs="Arial" w:eastAsia="Arial" w:hAnsi="Arial"/>
          <w:sz w:val="14"/>
          <w:szCs w:val="14"/>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32" w:name="page133"/>
    <w:bookmarkEnd w:id="132"/>
    <w:p>
      <w:pPr>
        <w:ind w:left="497"/>
        <w:spacing w:after="0"/>
        <w:rPr>
          <w:sz w:val="20"/>
          <w:szCs w:val="20"/>
          <w:color w:val="auto"/>
        </w:rPr>
      </w:pPr>
      <w:r>
        <w:rPr>
          <w:rFonts w:ascii="Arial" w:cs="Arial" w:eastAsia="Arial" w:hAnsi="Arial"/>
          <w:sz w:val="14"/>
          <w:szCs w:val="14"/>
          <w:color w:val="auto"/>
        </w:rPr>
        <w:t>deemed, in each case of this proviso, to constitute an incurrence of such Indebtedness not permitted by this clause (6);</w:t>
      </w:r>
    </w:p>
    <w:p>
      <w:pPr>
        <w:spacing w:after="0" w:line="171" w:lineRule="exact"/>
        <w:rPr>
          <w:sz w:val="20"/>
          <w:szCs w:val="20"/>
          <w:color w:val="auto"/>
        </w:rPr>
      </w:pPr>
    </w:p>
    <w:p>
      <w:pPr>
        <w:ind w:left="497" w:right="40" w:firstLine="499"/>
        <w:spacing w:after="0" w:line="304" w:lineRule="auto"/>
        <w:tabs>
          <w:tab w:leader="none" w:pos="1479" w:val="left"/>
        </w:tabs>
        <w:numPr>
          <w:ilvl w:val="1"/>
          <w:numId w:val="87"/>
        </w:numPr>
        <w:rPr>
          <w:rFonts w:ascii="Arial" w:cs="Arial" w:eastAsia="Arial" w:hAnsi="Arial"/>
          <w:sz w:val="12"/>
          <w:szCs w:val="12"/>
          <w:color w:val="auto"/>
        </w:rPr>
      </w:pPr>
      <w:r>
        <w:rPr>
          <w:rFonts w:ascii="Arial" w:cs="Arial" w:eastAsia="Arial" w:hAnsi="Arial"/>
          <w:sz w:val="12"/>
          <w:szCs w:val="12"/>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21" w:lineRule="exact"/>
        <w:rPr>
          <w:rFonts w:ascii="Arial" w:cs="Arial" w:eastAsia="Arial" w:hAnsi="Arial"/>
          <w:sz w:val="12"/>
          <w:szCs w:val="12"/>
          <w:color w:val="auto"/>
        </w:rPr>
      </w:pPr>
    </w:p>
    <w:p>
      <w:pPr>
        <w:ind w:left="497" w:firstLine="499"/>
        <w:spacing w:after="0" w:line="258" w:lineRule="auto"/>
        <w:tabs>
          <w:tab w:leader="none" w:pos="1479" w:val="left"/>
        </w:tabs>
        <w:numPr>
          <w:ilvl w:val="1"/>
          <w:numId w:val="87"/>
        </w:numPr>
        <w:rPr>
          <w:rFonts w:ascii="Arial" w:cs="Arial" w:eastAsia="Arial" w:hAnsi="Arial"/>
          <w:sz w:val="14"/>
          <w:szCs w:val="14"/>
          <w:color w:val="auto"/>
        </w:rPr>
      </w:pPr>
      <w:r>
        <w:rPr>
          <w:rFonts w:ascii="Arial" w:cs="Arial" w:eastAsia="Arial" w:hAnsi="Arial"/>
          <w:sz w:val="14"/>
          <w:szCs w:val="14"/>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$250 million and (b) [·]% of the Parent Guarantor’s Consolidated Tangible Assets determined at the time of incurrence;(7)</w:t>
      </w:r>
    </w:p>
    <w:p>
      <w:pPr>
        <w:spacing w:after="0" w:line="144" w:lineRule="exact"/>
        <w:rPr>
          <w:rFonts w:ascii="Arial" w:cs="Arial" w:eastAsia="Arial" w:hAnsi="Arial"/>
          <w:sz w:val="14"/>
          <w:szCs w:val="14"/>
          <w:color w:val="auto"/>
        </w:rPr>
      </w:pPr>
    </w:p>
    <w:p>
      <w:pPr>
        <w:ind w:left="497" w:right="180" w:firstLine="499"/>
        <w:spacing w:after="0" w:line="268" w:lineRule="auto"/>
        <w:tabs>
          <w:tab w:leader="none" w:pos="1479" w:val="left"/>
        </w:tabs>
        <w:numPr>
          <w:ilvl w:val="1"/>
          <w:numId w:val="87"/>
        </w:numPr>
        <w:rPr>
          <w:rFonts w:ascii="Arial" w:cs="Arial" w:eastAsia="Arial" w:hAnsi="Arial"/>
          <w:sz w:val="14"/>
          <w:szCs w:val="14"/>
          <w:color w:val="auto"/>
        </w:rPr>
      </w:pPr>
      <w:r>
        <w:rPr>
          <w:rFonts w:ascii="Arial" w:cs="Arial" w:eastAsia="Arial" w:hAnsi="Arial"/>
          <w:sz w:val="14"/>
          <w:szCs w:val="14"/>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38" w:lineRule="exact"/>
        <w:rPr>
          <w:rFonts w:ascii="Arial" w:cs="Arial" w:eastAsia="Arial" w:hAnsi="Arial"/>
          <w:sz w:val="14"/>
          <w:szCs w:val="14"/>
          <w:color w:val="auto"/>
        </w:rPr>
      </w:pPr>
    </w:p>
    <w:p>
      <w:pPr>
        <w:ind w:left="1497" w:hanging="501"/>
        <w:spacing w:after="0"/>
        <w:tabs>
          <w:tab w:leader="none" w:pos="1497" w:val="left"/>
        </w:tabs>
        <w:numPr>
          <w:ilvl w:val="1"/>
          <w:numId w:val="87"/>
        </w:numPr>
        <w:rPr>
          <w:rFonts w:ascii="Arial" w:cs="Arial" w:eastAsia="Arial" w:hAnsi="Arial"/>
          <w:sz w:val="13"/>
          <w:szCs w:val="13"/>
          <w:color w:val="auto"/>
        </w:rPr>
      </w:pPr>
      <w:r>
        <w:rPr>
          <w:rFonts w:ascii="Arial" w:cs="Arial" w:eastAsia="Arial" w:hAnsi="Arial"/>
          <w:sz w:val="13"/>
          <w:szCs w:val="13"/>
          <w:color w:val="auto"/>
        </w:rPr>
        <w:t>Indebtedness of the Parent Guarantor or any Restricted Subsidiary arising in connection with endorsement of instruments for deposit in the ordinary course of business;</w:t>
      </w:r>
    </w:p>
    <w:p>
      <w:pPr>
        <w:spacing w:after="0" w:line="182" w:lineRule="exact"/>
        <w:rPr>
          <w:rFonts w:ascii="Arial" w:cs="Arial" w:eastAsia="Arial" w:hAnsi="Arial"/>
          <w:sz w:val="13"/>
          <w:szCs w:val="13"/>
          <w:color w:val="auto"/>
        </w:rPr>
      </w:pPr>
    </w:p>
    <w:p>
      <w:pPr>
        <w:ind w:left="1477" w:hanging="481"/>
        <w:spacing w:after="0"/>
        <w:tabs>
          <w:tab w:leader="none" w:pos="1477" w:val="left"/>
        </w:tabs>
        <w:numPr>
          <w:ilvl w:val="1"/>
          <w:numId w:val="87"/>
        </w:numPr>
        <w:rPr>
          <w:rFonts w:ascii="Arial" w:cs="Arial" w:eastAsia="Arial" w:hAnsi="Arial"/>
          <w:sz w:val="12"/>
          <w:szCs w:val="12"/>
          <w:color w:val="auto"/>
        </w:rPr>
      </w:pPr>
      <w:r>
        <w:rPr>
          <w:rFonts w:ascii="Arial" w:cs="Arial" w:eastAsia="Arial" w:hAnsi="Arial"/>
          <w:sz w:val="12"/>
          <w:szCs w:val="12"/>
          <w:color w:val="auto"/>
        </w:rPr>
        <w:t>Refinancing Indebtedness with respect to Indebtedness incurred pursuant to the Coverage Ratio Exception or with respect to Indebtedness incurred pursuant to clause (2), (3) or</w:t>
      </w:r>
    </w:p>
    <w:p>
      <w:pPr>
        <w:spacing w:after="0" w:line="37" w:lineRule="exact"/>
        <w:rPr>
          <w:rFonts w:ascii="Arial" w:cs="Arial" w:eastAsia="Arial" w:hAnsi="Arial"/>
          <w:sz w:val="12"/>
          <w:szCs w:val="12"/>
          <w:color w:val="auto"/>
        </w:rPr>
      </w:pPr>
    </w:p>
    <w:p>
      <w:pPr>
        <w:ind w:left="697" w:hanging="199"/>
        <w:spacing w:after="0"/>
        <w:tabs>
          <w:tab w:leader="none" w:pos="697" w:val="left"/>
        </w:tabs>
        <w:numPr>
          <w:ilvl w:val="0"/>
          <w:numId w:val="88"/>
        </w:numPr>
        <w:rPr>
          <w:rFonts w:ascii="Arial" w:cs="Arial" w:eastAsia="Arial" w:hAnsi="Arial"/>
          <w:sz w:val="14"/>
          <w:szCs w:val="14"/>
          <w:color w:val="auto"/>
        </w:rPr>
      </w:pPr>
      <w:r>
        <w:rPr>
          <w:rFonts w:ascii="Arial" w:cs="Arial" w:eastAsia="Arial" w:hAnsi="Arial"/>
          <w:sz w:val="14"/>
          <w:szCs w:val="14"/>
          <w:color w:val="auto"/>
        </w:rPr>
        <w:t>above, this clause (11), or clause (13) below;</w:t>
      </w:r>
    </w:p>
    <w:p>
      <w:pPr>
        <w:spacing w:after="0" w:line="161" w:lineRule="exact"/>
        <w:rPr>
          <w:rFonts w:ascii="Arial" w:cs="Arial" w:eastAsia="Arial" w:hAnsi="Arial"/>
          <w:sz w:val="14"/>
          <w:szCs w:val="14"/>
          <w:color w:val="auto"/>
        </w:rPr>
      </w:pPr>
    </w:p>
    <w:p>
      <w:pPr>
        <w:jc w:val="both"/>
        <w:ind w:left="497" w:firstLine="499"/>
        <w:spacing w:after="0" w:line="258" w:lineRule="auto"/>
        <w:tabs>
          <w:tab w:leader="none" w:pos="1490" w:val="left"/>
        </w:tabs>
        <w:numPr>
          <w:ilvl w:val="1"/>
          <w:numId w:val="88"/>
        </w:numPr>
        <w:rPr>
          <w:rFonts w:ascii="Arial" w:cs="Arial" w:eastAsia="Arial" w:hAnsi="Arial"/>
          <w:sz w:val="14"/>
          <w:szCs w:val="14"/>
          <w:color w:val="auto"/>
        </w:rPr>
      </w:pPr>
      <w:r>
        <w:rPr>
          <w:rFonts w:ascii="Arial" w:cs="Arial" w:eastAsia="Arial" w:hAnsi="Arial"/>
          <w:sz w:val="14"/>
          <w:szCs w:val="14"/>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44" w:lineRule="exact"/>
        <w:rPr>
          <w:rFonts w:ascii="Arial" w:cs="Arial" w:eastAsia="Arial" w:hAnsi="Arial"/>
          <w:sz w:val="14"/>
          <w:szCs w:val="14"/>
          <w:color w:val="auto"/>
        </w:rPr>
      </w:pPr>
    </w:p>
    <w:p>
      <w:pPr>
        <w:ind w:left="497" w:right="180" w:firstLine="499"/>
        <w:spacing w:after="0" w:line="268" w:lineRule="auto"/>
        <w:tabs>
          <w:tab w:leader="none" w:pos="1490" w:val="left"/>
        </w:tabs>
        <w:numPr>
          <w:ilvl w:val="1"/>
          <w:numId w:val="88"/>
        </w:numPr>
        <w:rPr>
          <w:rFonts w:ascii="Arial" w:cs="Arial" w:eastAsia="Arial" w:hAnsi="Arial"/>
          <w:sz w:val="14"/>
          <w:szCs w:val="14"/>
          <w:color w:val="auto"/>
        </w:rPr>
      </w:pPr>
      <w:r>
        <w:rPr>
          <w:rFonts w:ascii="Arial" w:cs="Arial" w:eastAsia="Arial" w:hAnsi="Arial"/>
          <w:sz w:val="14"/>
          <w:szCs w:val="14"/>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83134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95" w:lineRule="exact"/>
        <w:rPr>
          <w:sz w:val="20"/>
          <w:szCs w:val="20"/>
          <w:color w:val="auto"/>
        </w:rPr>
      </w:pPr>
    </w:p>
    <w:p>
      <w:pPr>
        <w:ind w:left="5657" w:right="5200" w:hanging="5657"/>
        <w:spacing w:after="0" w:line="441" w:lineRule="auto"/>
        <w:tabs>
          <w:tab w:leader="none" w:pos="226" w:val="left"/>
        </w:tabs>
        <w:numPr>
          <w:ilvl w:val="0"/>
          <w:numId w:val="89"/>
        </w:numPr>
        <w:rPr>
          <w:rFonts w:ascii="Arial" w:cs="Arial" w:eastAsia="Arial" w:hAnsi="Arial"/>
          <w:sz w:val="12"/>
          <w:szCs w:val="12"/>
          <w:color w:val="auto"/>
        </w:rPr>
      </w:pPr>
      <w:r>
        <w:rPr>
          <w:rFonts w:ascii="Arial" w:cs="Arial" w:eastAsia="Arial" w:hAnsi="Arial"/>
          <w:sz w:val="12"/>
          <w:szCs w:val="12"/>
          <w:color w:val="auto"/>
        </w:rPr>
        <w:t>NTD: CTA grower component of basket to be set to corresponding percentage after “fresh start accounting.”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72974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37"/>
          </w:cols>
          <w:pgMar w:left="223" w:top="295" w:right="239" w:bottom="1440" w:gutter="0" w:footer="0" w:header="0"/>
        </w:sectPr>
      </w:pPr>
    </w:p>
    <w:bookmarkStart w:id="133" w:name="page134"/>
    <w:bookmarkEnd w:id="133"/>
    <w:p>
      <w:pPr>
        <w:ind w:left="500"/>
        <w:spacing w:after="0"/>
        <w:rPr>
          <w:sz w:val="20"/>
          <w:szCs w:val="20"/>
          <w:color w:val="auto"/>
        </w:rPr>
      </w:pPr>
      <w:r>
        <w:rPr>
          <w:rFonts w:ascii="Arial" w:cs="Arial" w:eastAsia="Arial" w:hAnsi="Arial"/>
          <w:sz w:val="14"/>
          <w:szCs w:val="14"/>
          <w:color w:val="auto"/>
        </w:rPr>
        <w:t>$500 million and (b) [·]% of the Parent Guarantor’s Consolidated Tangible Assets determined at the time of incurrence;(8)</w:t>
      </w:r>
    </w:p>
    <w:p>
      <w:pPr>
        <w:spacing w:after="0" w:line="171" w:lineRule="exact"/>
        <w:rPr>
          <w:sz w:val="20"/>
          <w:szCs w:val="20"/>
          <w:color w:val="auto"/>
        </w:rPr>
      </w:pPr>
    </w:p>
    <w:p>
      <w:pPr>
        <w:ind w:left="1500" w:hanging="501"/>
        <w:spacing w:after="0"/>
        <w:tabs>
          <w:tab w:leader="none" w:pos="15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Indebtedness in respect of Specified Cash Management Agreements entered into in the ordinary course of business;</w:t>
      </w:r>
    </w:p>
    <w:p>
      <w:pPr>
        <w:spacing w:after="0" w:line="170" w:lineRule="exact"/>
        <w:rPr>
          <w:rFonts w:ascii="Arial" w:cs="Arial" w:eastAsia="Arial" w:hAnsi="Arial"/>
          <w:sz w:val="14"/>
          <w:szCs w:val="14"/>
          <w:color w:val="auto"/>
        </w:rPr>
      </w:pPr>
    </w:p>
    <w:p>
      <w:pPr>
        <w:ind w:left="500" w:right="580" w:firstLine="499"/>
        <w:spacing w:after="0" w:line="268" w:lineRule="auto"/>
        <w:tabs>
          <w:tab w:leader="none" w:pos="1493"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Indebtedness incurred in connection with a Permitted Factoring Transaction that is not recourse to the Parent Guarantor or any Restricted Subsidiary (except for Standard Securitization Undertakings); and</w:t>
      </w:r>
    </w:p>
    <w:p>
      <w:pPr>
        <w:spacing w:after="0" w:line="138" w:lineRule="exact"/>
        <w:rPr>
          <w:rFonts w:ascii="Arial" w:cs="Arial" w:eastAsia="Arial" w:hAnsi="Arial"/>
          <w:sz w:val="14"/>
          <w:szCs w:val="14"/>
          <w:color w:val="auto"/>
        </w:rPr>
      </w:pPr>
    </w:p>
    <w:p>
      <w:pPr>
        <w:ind w:left="500" w:right="60" w:firstLine="499"/>
        <w:spacing w:after="0" w:line="274" w:lineRule="auto"/>
        <w:tabs>
          <w:tab w:leader="none" w:pos="1493"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at the time such Person or its assets are acquired by the Parent Guarantor or a Restricted Subsidiary, or merged or consolidated with the Parent Guarantor or any Restricted 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38" w:lineRule="exact"/>
        <w:rPr>
          <w:sz w:val="20"/>
          <w:szCs w:val="20"/>
          <w:color w:val="auto"/>
        </w:rPr>
      </w:pPr>
    </w:p>
    <w:p>
      <w:pPr>
        <w:ind w:right="20" w:firstLine="498"/>
        <w:spacing w:after="0" w:line="292" w:lineRule="auto"/>
        <w:rPr>
          <w:sz w:val="20"/>
          <w:szCs w:val="20"/>
          <w:color w:val="auto"/>
        </w:rPr>
      </w:pPr>
      <w:r>
        <w:rPr>
          <w:rFonts w:ascii="Arial" w:cs="Arial" w:eastAsia="Arial" w:hAnsi="Arial"/>
          <w:sz w:val="12"/>
          <w:szCs w:val="12"/>
          <w:color w:val="auto"/>
        </w:rPr>
        <w:t>For purposes of determining compliance with this Section 1008,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w:t>
      </w:r>
    </w:p>
    <w:p>
      <w:pPr>
        <w:spacing w:after="0" w:line="2" w:lineRule="exact"/>
        <w:rPr>
          <w:sz w:val="20"/>
          <w:szCs w:val="20"/>
          <w:color w:val="auto"/>
        </w:rPr>
      </w:pPr>
    </w:p>
    <w:p>
      <w:pPr>
        <w:ind w:right="120" w:firstLine="3"/>
        <w:spacing w:after="0" w:line="249" w:lineRule="auto"/>
        <w:tabs>
          <w:tab w:leader="none" w:pos="265" w:val="left"/>
        </w:tabs>
        <w:numPr>
          <w:ilvl w:val="0"/>
          <w:numId w:val="91"/>
        </w:numPr>
        <w:rPr>
          <w:rFonts w:ascii="Arial" w:cs="Arial" w:eastAsia="Arial" w:hAnsi="Arial"/>
          <w:sz w:val="14"/>
          <w:szCs w:val="14"/>
          <w:color w:val="auto"/>
        </w:rPr>
      </w:pPr>
      <w:r>
        <w:rPr>
          <w:rFonts w:ascii="Arial" w:cs="Arial" w:eastAsia="Arial" w:hAnsi="Arial"/>
          <w:sz w:val="14"/>
          <w:szCs w:val="14"/>
          <w:color w:val="auto"/>
        </w:rPr>
        <w:t>above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52"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accrual of interest, the accretion or amortization of original issue discount and the payment of interest on any Indebtedness, including in the form of additional Indebtedness with the same terms, will not be deemed to be an incurrence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183134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95" w:lineRule="exact"/>
        <w:rPr>
          <w:sz w:val="20"/>
          <w:szCs w:val="20"/>
          <w:color w:val="auto"/>
        </w:rPr>
      </w:pPr>
    </w:p>
    <w:p>
      <w:pPr>
        <w:ind w:left="5660" w:right="5200" w:hanging="5657"/>
        <w:spacing w:after="0" w:line="441" w:lineRule="auto"/>
        <w:tabs>
          <w:tab w:leader="none" w:pos="229" w:val="left"/>
        </w:tabs>
        <w:numPr>
          <w:ilvl w:val="0"/>
          <w:numId w:val="92"/>
        </w:numPr>
        <w:rPr>
          <w:rFonts w:ascii="Arial" w:cs="Arial" w:eastAsia="Arial" w:hAnsi="Arial"/>
          <w:sz w:val="12"/>
          <w:szCs w:val="12"/>
          <w:color w:val="auto"/>
        </w:rPr>
      </w:pPr>
      <w:r>
        <w:rPr>
          <w:rFonts w:ascii="Arial" w:cs="Arial" w:eastAsia="Arial" w:hAnsi="Arial"/>
          <w:sz w:val="12"/>
          <w:szCs w:val="12"/>
          <w:color w:val="auto"/>
        </w:rPr>
        <w:t>NTD: CTA grower component of basket to be set to corresponding percentage after “fresh start accounting.”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211455</wp:posOffset>
            </wp:positionV>
            <wp:extent cx="72974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 xml:space="preserve">of this Section 1008; </w:t>
      </w:r>
      <w:r>
        <w:rPr>
          <w:rFonts w:ascii="Arial" w:cs="Arial" w:eastAsia="Arial" w:hAnsi="Arial"/>
          <w:sz w:val="14"/>
          <w:szCs w:val="14"/>
          <w:i w:val="1"/>
          <w:iCs w:val="1"/>
          <w:color w:val="auto"/>
        </w:rPr>
        <w:t>provided</w:t>
      </w:r>
      <w:r>
        <w:rPr>
          <w:rFonts w:ascii="Arial" w:cs="Arial" w:eastAsia="Arial" w:hAnsi="Arial"/>
          <w:sz w:val="14"/>
          <w:szCs w:val="14"/>
          <w:color w:val="auto"/>
        </w:rPr>
        <w:t>, in each such case, that the amount thereof is included in Consolidated Interest Expense of the Parent Guarantor as accrued.</w:t>
      </w:r>
    </w:p>
    <w:p>
      <w:pPr>
        <w:spacing w:after="0" w:line="171" w:lineRule="exact"/>
        <w:rPr>
          <w:sz w:val="20"/>
          <w:szCs w:val="20"/>
          <w:color w:val="auto"/>
        </w:rPr>
      </w:pPr>
    </w:p>
    <w:p>
      <w:pPr>
        <w:ind w:right="60" w:firstLine="498"/>
        <w:spacing w:after="0" w:line="299" w:lineRule="auto"/>
        <w:rPr>
          <w:sz w:val="20"/>
          <w:szCs w:val="20"/>
          <w:color w:val="auto"/>
        </w:rPr>
      </w:pPr>
      <w:r>
        <w:rPr>
          <w:rFonts w:ascii="Arial" w:cs="Arial" w:eastAsia="Arial" w:hAnsi="Arial"/>
          <w:sz w:val="12"/>
          <w:szCs w:val="12"/>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24"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1008, the Issuer shall be in Default of this covenant).</w:t>
      </w:r>
    </w:p>
    <w:p>
      <w:pPr>
        <w:spacing w:after="0" w:line="13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Section 1009.</w:t>
      </w:r>
      <w:r>
        <w:rPr>
          <w:sz w:val="20"/>
          <w:szCs w:val="20"/>
          <w:color w:val="auto"/>
        </w:rPr>
        <w:tab/>
      </w:r>
      <w:r>
        <w:rPr>
          <w:rFonts w:ascii="Arial" w:cs="Arial" w:eastAsia="Arial" w:hAnsi="Arial"/>
          <w:sz w:val="12"/>
          <w:szCs w:val="12"/>
          <w:u w:val="single" w:color="auto"/>
          <w:color w:val="auto"/>
        </w:rPr>
        <w:t>Limitation on Restricted Payments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Parent Guarantor will not, and will not permit any Restricted Subsidiary to, directly or indirectly, make any Restricted Payment if at the time of such Restricted Payment:</w:t>
      </w:r>
    </w:p>
    <w:p>
      <w:pPr>
        <w:spacing w:after="0" w:line="171" w:lineRule="exact"/>
        <w:rPr>
          <w:sz w:val="20"/>
          <w:szCs w:val="20"/>
          <w:color w:val="auto"/>
        </w:rPr>
      </w:pPr>
    </w:p>
    <w:p>
      <w:pPr>
        <w:ind w:left="1480" w:hanging="481"/>
        <w:spacing w:after="0"/>
        <w:tabs>
          <w:tab w:leader="none" w:pos="1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 Default shall have occurred and be continuing or shall occur as a consequence thereof;</w:t>
      </w:r>
    </w:p>
    <w:p>
      <w:pPr>
        <w:spacing w:after="0" w:line="170" w:lineRule="exact"/>
        <w:rPr>
          <w:rFonts w:ascii="Arial" w:cs="Arial" w:eastAsia="Arial" w:hAnsi="Arial"/>
          <w:sz w:val="14"/>
          <w:szCs w:val="14"/>
          <w:color w:val="auto"/>
        </w:rPr>
      </w:pPr>
    </w:p>
    <w:p>
      <w:pPr>
        <w:ind w:left="1480" w:hanging="481"/>
        <w:spacing w:after="0"/>
        <w:tabs>
          <w:tab w:leader="none" w:pos="1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Parent Guarantor is not able to incur at least $1.00 of additional Indebtedness pursuant to the Coverage Ratio Exception; or</w:t>
      </w:r>
    </w:p>
    <w:p>
      <w:pPr>
        <w:spacing w:after="0" w:line="170" w:lineRule="exact"/>
        <w:rPr>
          <w:rFonts w:ascii="Arial" w:cs="Arial" w:eastAsia="Arial" w:hAnsi="Arial"/>
          <w:sz w:val="14"/>
          <w:szCs w:val="14"/>
          <w:color w:val="auto"/>
        </w:rPr>
      </w:pPr>
    </w:p>
    <w:p>
      <w:pPr>
        <w:ind w:left="500" w:right="320" w:firstLine="499"/>
        <w:spacing w:after="0" w:line="268" w:lineRule="auto"/>
        <w:tabs>
          <w:tab w:leader="none" w:pos="1482"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138" w:lineRule="exact"/>
        <w:rPr>
          <w:rFonts w:ascii="Arial" w:cs="Arial" w:eastAsia="Arial" w:hAnsi="Arial"/>
          <w:sz w:val="14"/>
          <w:szCs w:val="14"/>
          <w:color w:val="auto"/>
        </w:rPr>
      </w:pPr>
    </w:p>
    <w:p>
      <w:pPr>
        <w:ind w:left="1000" w:right="20" w:firstLine="497"/>
        <w:spacing w:after="0" w:line="258" w:lineRule="auto"/>
        <w:tabs>
          <w:tab w:leader="none" w:pos="1974" w:val="left"/>
        </w:tabs>
        <w:numPr>
          <w:ilvl w:val="1"/>
          <w:numId w:val="93"/>
        </w:numPr>
        <w:rPr>
          <w:rFonts w:ascii="Arial" w:cs="Arial" w:eastAsia="Arial" w:hAnsi="Arial"/>
          <w:sz w:val="14"/>
          <w:szCs w:val="14"/>
          <w:color w:val="auto"/>
        </w:rPr>
      </w:pPr>
      <w:r>
        <w:rPr>
          <w:rFonts w:ascii="Arial" w:cs="Arial" w:eastAsia="Arial" w:hAnsi="Arial"/>
          <w:sz w:val="14"/>
          <w:szCs w:val="14"/>
          <w:color w:val="auto"/>
        </w:rPr>
        <w:t>50.0% of Consolidated Net Income of the Parent Guarantor and the Restricted Subsidiaries for the period (taken as one accounting period) commencing on [·], 2019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35" w:name="page136"/>
    <w:bookmarkEnd w:id="135"/>
    <w:p>
      <w:pPr>
        <w:ind w:left="1540" w:hanging="543"/>
        <w:spacing w:after="0"/>
        <w:tabs>
          <w:tab w:leader="none" w:pos="1540" w:val="left"/>
        </w:tabs>
        <w:numPr>
          <w:ilvl w:val="1"/>
          <w:numId w:val="94"/>
        </w:numPr>
        <w:rPr>
          <w:rFonts w:ascii="Arial" w:cs="Arial" w:eastAsia="Arial" w:hAnsi="Arial"/>
          <w:sz w:val="12"/>
          <w:szCs w:val="12"/>
          <w:color w:val="auto"/>
        </w:rPr>
      </w:pPr>
      <w:r>
        <w:rPr>
          <w:rFonts w:ascii="Arial" w:cs="Arial" w:eastAsia="Arial" w:hAnsi="Arial"/>
          <w:sz w:val="12"/>
          <w:szCs w:val="12"/>
          <w:color w:val="auto"/>
        </w:rPr>
        <w:t>100.0% of (A) (i) the aggregate net cash proceeds and (ii) the Fair Market Value of (x) marketable securities (other than marketable securities of the Parent Guarantor),</w:t>
      </w:r>
    </w:p>
    <w:p>
      <w:pPr>
        <w:spacing w:after="0" w:line="37" w:lineRule="exact"/>
        <w:rPr>
          <w:rFonts w:ascii="Arial" w:cs="Arial" w:eastAsia="Arial" w:hAnsi="Arial"/>
          <w:sz w:val="12"/>
          <w:szCs w:val="12"/>
          <w:color w:val="auto"/>
        </w:rPr>
      </w:pPr>
    </w:p>
    <w:p>
      <w:pPr>
        <w:ind w:left="500" w:hanging="1"/>
        <w:spacing w:after="0" w:line="248" w:lineRule="auto"/>
        <w:tabs>
          <w:tab w:leader="none" w:pos="696" w:val="left"/>
        </w:tabs>
        <w:numPr>
          <w:ilvl w:val="0"/>
          <w:numId w:val="95"/>
        </w:numPr>
        <w:rPr>
          <w:rFonts w:ascii="Arial" w:cs="Arial" w:eastAsia="Arial" w:hAnsi="Arial"/>
          <w:sz w:val="14"/>
          <w:szCs w:val="14"/>
          <w:color w:val="auto"/>
        </w:rPr>
      </w:pPr>
      <w:r>
        <w:rPr>
          <w:rFonts w:ascii="Arial" w:cs="Arial" w:eastAsia="Arial" w:hAnsi="Arial"/>
          <w:sz w:val="14"/>
          <w:szCs w:val="14"/>
          <w:color w:val="auto"/>
        </w:rPr>
        <w:t>Equity Interests of a Person (other than the Parent Guarantor or a Subsidiary of the Parent Guarantor) engaged in a Permitted Business and (z) other assets used in any Permitted Business, received by the Parent Guarantor or its Restricted Subsidiaries after the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54" w:lineRule="exact"/>
        <w:rPr>
          <w:rFonts w:ascii="Arial" w:cs="Arial" w:eastAsia="Arial" w:hAnsi="Arial"/>
          <w:sz w:val="14"/>
          <w:szCs w:val="14"/>
          <w:color w:val="auto"/>
        </w:rPr>
      </w:pPr>
    </w:p>
    <w:p>
      <w:pPr>
        <w:ind w:left="500" w:right="60" w:firstLine="497"/>
        <w:spacing w:after="0" w:line="258" w:lineRule="auto"/>
        <w:tabs>
          <w:tab w:leader="none" w:pos="1532" w:val="left"/>
        </w:tabs>
        <w:numPr>
          <w:ilvl w:val="1"/>
          <w:numId w:val="95"/>
        </w:numPr>
        <w:rPr>
          <w:rFonts w:ascii="Arial" w:cs="Arial" w:eastAsia="Arial" w:hAnsi="Arial"/>
          <w:sz w:val="14"/>
          <w:szCs w:val="14"/>
          <w:color w:val="auto"/>
        </w:rPr>
      </w:pPr>
      <w:r>
        <w:rPr>
          <w:rFonts w:ascii="Arial" w:cs="Arial" w:eastAsia="Arial" w:hAnsi="Arial"/>
          <w:sz w:val="14"/>
          <w:szCs w:val="14"/>
          <w:color w:val="auto"/>
        </w:rPr>
        <w:t>in the case of the disposition or repayment of or return on any Investment that was treated as a Restricted Payment after the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44" w:lineRule="exact"/>
        <w:rPr>
          <w:rFonts w:ascii="Arial" w:cs="Arial" w:eastAsia="Arial" w:hAnsi="Arial"/>
          <w:sz w:val="14"/>
          <w:szCs w:val="14"/>
          <w:color w:val="auto"/>
        </w:rPr>
      </w:pPr>
    </w:p>
    <w:p>
      <w:pPr>
        <w:ind w:left="500" w:right="40" w:firstLine="497"/>
        <w:spacing w:after="0" w:line="321" w:lineRule="auto"/>
        <w:tabs>
          <w:tab w:leader="none" w:pos="1539" w:val="left"/>
        </w:tabs>
        <w:numPr>
          <w:ilvl w:val="1"/>
          <w:numId w:val="95"/>
        </w:numPr>
        <w:rPr>
          <w:rFonts w:ascii="Arial" w:cs="Arial" w:eastAsia="Arial" w:hAnsi="Arial"/>
          <w:sz w:val="12"/>
          <w:szCs w:val="12"/>
          <w:color w:val="auto"/>
        </w:rPr>
      </w:pPr>
      <w:r>
        <w:rPr>
          <w:rFonts w:ascii="Arial" w:cs="Arial" w:eastAsia="Arial" w:hAnsi="Arial"/>
          <w:sz w:val="12"/>
          <w:szCs w:val="12"/>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the provisions set forth in the immediately preceding paragraph will not prohibit:</w:t>
      </w:r>
    </w:p>
    <w:p>
      <w:pPr>
        <w:spacing w:after="0" w:line="171" w:lineRule="exact"/>
        <w:rPr>
          <w:sz w:val="20"/>
          <w:szCs w:val="20"/>
          <w:color w:val="auto"/>
        </w:rPr>
      </w:pPr>
    </w:p>
    <w:p>
      <w:pPr>
        <w:ind w:right="460" w:firstLine="499"/>
        <w:spacing w:after="0" w:line="268" w:lineRule="auto"/>
        <w:tabs>
          <w:tab w:leader="none" w:pos="10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38" w:lineRule="exact"/>
        <w:rPr>
          <w:rFonts w:ascii="Arial" w:cs="Arial" w:eastAsia="Arial" w:hAnsi="Arial"/>
          <w:sz w:val="14"/>
          <w:szCs w:val="14"/>
          <w:color w:val="auto"/>
        </w:rPr>
      </w:pPr>
    </w:p>
    <w:p>
      <w:pPr>
        <w:ind w:left="1040" w:hanging="541"/>
        <w:spacing w:after="0"/>
        <w:tabs>
          <w:tab w:leader="none" w:pos="10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any Restricted Payment made in exchange for, or out of the proceeds of, the substantially concurrent issuance and sale of Qualified Equity Interests;</w:t>
      </w:r>
    </w:p>
    <w:p>
      <w:pPr>
        <w:spacing w:after="0" w:line="170" w:lineRule="exact"/>
        <w:rPr>
          <w:rFonts w:ascii="Arial" w:cs="Arial" w:eastAsia="Arial" w:hAnsi="Arial"/>
          <w:sz w:val="14"/>
          <w:szCs w:val="14"/>
          <w:color w:val="auto"/>
        </w:rPr>
      </w:pPr>
    </w:p>
    <w:p>
      <w:pPr>
        <w:ind w:firstLine="499"/>
        <w:spacing w:after="0" w:line="268" w:lineRule="auto"/>
        <w:tabs>
          <w:tab w:leader="none" w:pos="10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purchase, repurchase, redemption, defeasance or other acquisition or retirement for value of Subordinated Indebtedness of the Parent Guarantor or any Restricted Subsidiary in exchange for, or out of the proceeds of, the substantially</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20"/>
          </w:cols>
          <w:pgMar w:left="720" w:top="295" w:right="25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concurrent incurrence of, Refinancing Indebtedness permitted to be incurred under Section 1008 and the other terms of the Indenture;</w:t>
      </w:r>
    </w:p>
    <w:p>
      <w:pPr>
        <w:spacing w:after="0" w:line="171" w:lineRule="exact"/>
        <w:rPr>
          <w:sz w:val="20"/>
          <w:szCs w:val="20"/>
          <w:color w:val="auto"/>
        </w:rPr>
      </w:pPr>
    </w:p>
    <w:p>
      <w:pPr>
        <w:ind w:firstLine="499"/>
        <w:spacing w:after="0" w:line="280" w:lineRule="auto"/>
        <w:tabs>
          <w:tab w:leader="none" w:pos="1039" w:val="left"/>
        </w:tabs>
        <w:numPr>
          <w:ilvl w:val="1"/>
          <w:numId w:val="97"/>
        </w:numPr>
        <w:rPr>
          <w:rFonts w:ascii="Arial" w:cs="Arial" w:eastAsia="Arial" w:hAnsi="Arial"/>
          <w:sz w:val="13"/>
          <w:szCs w:val="13"/>
          <w:color w:val="auto"/>
        </w:rPr>
      </w:pPr>
      <w:r>
        <w:rPr>
          <w:rFonts w:ascii="Arial" w:cs="Arial" w:eastAsia="Arial" w:hAnsi="Arial"/>
          <w:sz w:val="13"/>
          <w:szCs w:val="13"/>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1007;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prior to or simultaneously with such purchase, repurchase, redemption, defeasance or other acquisition or retirement, the Issuer has made the Change of Control Offer as provided in</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1007 and has completed the repurchase or redemption of all Notes validly tendered for payment in connection with such Change of Control Offer;</w:t>
      </w:r>
    </w:p>
    <w:p>
      <w:pPr>
        <w:spacing w:after="0" w:line="132" w:lineRule="exact"/>
        <w:rPr>
          <w:rFonts w:ascii="Arial" w:cs="Arial" w:eastAsia="Arial" w:hAnsi="Arial"/>
          <w:sz w:val="13"/>
          <w:szCs w:val="13"/>
          <w:color w:val="auto"/>
        </w:rPr>
      </w:pPr>
    </w:p>
    <w:p>
      <w:pPr>
        <w:ind w:right="220" w:firstLine="499"/>
        <w:spacing w:after="0" w:line="296" w:lineRule="auto"/>
        <w:tabs>
          <w:tab w:leader="none" w:pos="1039" w:val="left"/>
        </w:tabs>
        <w:numPr>
          <w:ilvl w:val="1"/>
          <w:numId w:val="97"/>
        </w:numPr>
        <w:rPr>
          <w:rFonts w:ascii="Arial" w:cs="Arial" w:eastAsia="Arial" w:hAnsi="Arial"/>
          <w:sz w:val="12"/>
          <w:szCs w:val="12"/>
          <w:color w:val="auto"/>
        </w:rPr>
      </w:pPr>
      <w:r>
        <w:rPr>
          <w:rFonts w:ascii="Arial" w:cs="Arial" w:eastAsia="Arial" w:hAnsi="Arial"/>
          <w:sz w:val="12"/>
          <w:szCs w:val="12"/>
          <w:color w:val="auto"/>
        </w:rPr>
        <w:t>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w:t>
      </w:r>
    </w:p>
    <w:p>
      <w:pPr>
        <w:ind w:right="40" w:firstLine="1"/>
        <w:spacing w:after="0" w:line="270" w:lineRule="auto"/>
        <w:tabs>
          <w:tab w:leader="none" w:pos="196"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3"/>
          <w:szCs w:val="13"/>
          <w:i w:val="1"/>
          <w:iCs w:val="1"/>
          <w:color w:val="auto"/>
        </w:rPr>
        <w:t>provided</w:t>
      </w:r>
      <w:r>
        <w:rPr>
          <w:rFonts w:ascii="Arial" w:cs="Arial" w:eastAsia="Arial" w:hAnsi="Arial"/>
          <w:sz w:val="13"/>
          <w:szCs w:val="13"/>
          <w:color w:val="auto"/>
        </w:rPr>
        <w:t>, in any case, that the aggregate cash consideration paid for all such redemptions, repurchases or other acquisitions or retirements shall not exceed (A) $25.0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provided further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139" w:lineRule="exact"/>
        <w:rPr>
          <w:rFonts w:ascii="Arial" w:cs="Arial" w:eastAsia="Arial" w:hAnsi="Arial"/>
          <w:sz w:val="13"/>
          <w:szCs w:val="13"/>
          <w:color w:val="auto"/>
        </w:rPr>
      </w:pPr>
    </w:p>
    <w:p>
      <w:pPr>
        <w:ind w:right="220" w:firstLine="499"/>
        <w:spacing w:after="0" w:line="310" w:lineRule="auto"/>
        <w:tabs>
          <w:tab w:leader="none" w:pos="1039" w:val="left"/>
        </w:tabs>
        <w:numPr>
          <w:ilvl w:val="1"/>
          <w:numId w:val="98"/>
        </w:numPr>
        <w:rPr>
          <w:rFonts w:ascii="Arial" w:cs="Arial" w:eastAsia="Arial" w:hAnsi="Arial"/>
          <w:sz w:val="12"/>
          <w:szCs w:val="12"/>
          <w:color w:val="auto"/>
        </w:rPr>
      </w:pPr>
      <w:r>
        <w:rPr>
          <w:rFonts w:ascii="Arial" w:cs="Arial" w:eastAsia="Arial" w:hAnsi="Arial"/>
          <w:sz w:val="12"/>
          <w:szCs w:val="12"/>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16" w:lineRule="exact"/>
        <w:rPr>
          <w:rFonts w:ascii="Arial" w:cs="Arial" w:eastAsia="Arial" w:hAnsi="Arial"/>
          <w:sz w:val="12"/>
          <w:szCs w:val="12"/>
          <w:color w:val="auto"/>
        </w:rPr>
      </w:pPr>
    </w:p>
    <w:p>
      <w:pPr>
        <w:ind w:left="1040" w:hanging="541"/>
        <w:spacing w:after="0"/>
        <w:tabs>
          <w:tab w:leader="none" w:pos="1040" w:val="left"/>
        </w:tabs>
        <w:numPr>
          <w:ilvl w:val="1"/>
          <w:numId w:val="98"/>
        </w:numPr>
        <w:rPr>
          <w:rFonts w:ascii="Arial" w:cs="Arial" w:eastAsia="Arial" w:hAnsi="Arial"/>
          <w:sz w:val="14"/>
          <w:szCs w:val="14"/>
          <w:color w:val="auto"/>
        </w:rPr>
      </w:pPr>
      <w:r>
        <w:rPr>
          <w:rFonts w:ascii="Arial" w:cs="Arial" w:eastAsia="Arial" w:hAnsi="Arial"/>
          <w:sz w:val="14"/>
          <w:szCs w:val="14"/>
          <w:color w:val="auto"/>
        </w:rPr>
        <w:t>dividends or distributions on Disqualified Equity Interests of the Parent Guarantor or on any Preferred Stock of any Restricted Subsidiary, in each</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20"/>
          </w:cols>
          <w:pgMar w:left="720" w:top="295" w:right="259" w:bottom="1440" w:gutter="0" w:footer="0" w:header="0"/>
        </w:sectPr>
      </w:pPr>
    </w:p>
    <w:bookmarkStart w:id="137" w:name="page138"/>
    <w:bookmarkEnd w:id="137"/>
    <w:p>
      <w:pPr>
        <w:ind w:left="500"/>
        <w:spacing w:after="0"/>
        <w:rPr>
          <w:sz w:val="20"/>
          <w:szCs w:val="20"/>
          <w:color w:val="auto"/>
        </w:rPr>
      </w:pPr>
      <w:r>
        <w:rPr>
          <w:rFonts w:ascii="Arial" w:cs="Arial" w:eastAsia="Arial" w:hAnsi="Arial"/>
          <w:sz w:val="14"/>
          <w:szCs w:val="14"/>
          <w:color w:val="auto"/>
        </w:rPr>
        <w:t>case issued in compliance with Section 1008 to the extent such dividends or distributions are included in the definition of Consolidated Interest Expense;</w:t>
      </w:r>
    </w:p>
    <w:p>
      <w:pPr>
        <w:spacing w:after="0" w:line="171" w:lineRule="exact"/>
        <w:rPr>
          <w:sz w:val="20"/>
          <w:szCs w:val="20"/>
          <w:color w:val="auto"/>
        </w:rPr>
      </w:pPr>
    </w:p>
    <w:p>
      <w:pPr>
        <w:ind w:left="1540" w:hanging="541"/>
        <w:spacing w:after="0"/>
        <w:tabs>
          <w:tab w:leader="none" w:pos="1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payment of cash in lieu of fractional Equity Interests;</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payments or distributions to dissenting stockholders pursuant to applicable law in connection with a merger, consolidation or amalgamation that complies with the provisions of</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Section 801;</w:t>
      </w:r>
    </w:p>
    <w:p>
      <w:pPr>
        <w:spacing w:after="0" w:line="161" w:lineRule="exact"/>
        <w:rPr>
          <w:rFonts w:ascii="Arial" w:cs="Arial" w:eastAsia="Arial" w:hAnsi="Arial"/>
          <w:sz w:val="12"/>
          <w:szCs w:val="12"/>
          <w:color w:val="auto"/>
        </w:rPr>
      </w:pPr>
    </w:p>
    <w:p>
      <w:pPr>
        <w:ind w:left="1540" w:hanging="541"/>
        <w:spacing w:after="0"/>
        <w:tabs>
          <w:tab w:leader="none" w:pos="15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purchases of receivables pursuant to a Receivables Repurchase Obligation in connection with a Permitted Factoring Transaction and the payment or distribution of fees related</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thereto;</w:t>
      </w:r>
    </w:p>
    <w:p>
      <w:pPr>
        <w:spacing w:after="0" w:line="161" w:lineRule="exact"/>
        <w:rPr>
          <w:rFonts w:ascii="Arial" w:cs="Arial" w:eastAsia="Arial" w:hAnsi="Arial"/>
          <w:sz w:val="12"/>
          <w:szCs w:val="12"/>
          <w:color w:val="auto"/>
        </w:rPr>
      </w:pPr>
    </w:p>
    <w:p>
      <w:pPr>
        <w:ind w:left="500" w:firstLine="499"/>
        <w:spacing w:after="0" w:line="268" w:lineRule="auto"/>
        <w:tabs>
          <w:tab w:leader="none" w:pos="1534" w:val="left"/>
        </w:tabs>
        <w:numPr>
          <w:ilvl w:val="0"/>
          <w:numId w:val="99"/>
        </w:numPr>
        <w:rPr>
          <w:rFonts w:ascii="Arial" w:cs="Arial" w:eastAsia="Arial" w:hAnsi="Arial"/>
          <w:sz w:val="14"/>
          <w:szCs w:val="14"/>
          <w:color w:val="auto"/>
        </w:rPr>
      </w:pPr>
      <w:r>
        <w:rPr>
          <w:rFonts w:ascii="Arial" w:cs="Arial" w:eastAsia="Arial" w:hAnsi="Arial"/>
          <w:sz w:val="14"/>
          <w:szCs w:val="14"/>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38" w:lineRule="exact"/>
        <w:rPr>
          <w:rFonts w:ascii="Arial" w:cs="Arial" w:eastAsia="Arial" w:hAnsi="Arial"/>
          <w:sz w:val="14"/>
          <w:szCs w:val="14"/>
          <w:color w:val="auto"/>
        </w:rPr>
      </w:pPr>
    </w:p>
    <w:p>
      <w:pPr>
        <w:ind w:left="500" w:right="280" w:firstLine="499"/>
        <w:spacing w:after="0" w:line="268" w:lineRule="auto"/>
        <w:tabs>
          <w:tab w:leader="none" w:pos="1539" w:val="left"/>
        </w:tabs>
        <w:numPr>
          <w:ilvl w:val="0"/>
          <w:numId w:val="99"/>
        </w:numPr>
        <w:rPr>
          <w:rFonts w:ascii="Arial" w:cs="Arial" w:eastAsia="Arial" w:hAnsi="Arial"/>
          <w:sz w:val="14"/>
          <w:szCs w:val="14"/>
          <w:color w:val="auto"/>
        </w:rPr>
      </w:pPr>
      <w:r>
        <w:rPr>
          <w:rFonts w:ascii="Arial" w:cs="Arial" w:eastAsia="Arial" w:hAnsi="Arial"/>
          <w:sz w:val="14"/>
          <w:szCs w:val="14"/>
          <w:color w:val="auto"/>
        </w:rPr>
        <w:t>payment of other Restricted Payments from time to time in an aggregate amount since the Issue Date not to exceed the greater of (i) $200 million and (ii) [·]% of the Parent Guarantor’s Consolidated Tangible Assets determined at the time made;(9) or</w:t>
      </w:r>
    </w:p>
    <w:p>
      <w:pPr>
        <w:spacing w:after="0" w:line="138" w:lineRule="exact"/>
        <w:rPr>
          <w:rFonts w:ascii="Arial" w:cs="Arial" w:eastAsia="Arial" w:hAnsi="Arial"/>
          <w:sz w:val="14"/>
          <w:szCs w:val="14"/>
          <w:color w:val="auto"/>
        </w:rPr>
      </w:pPr>
    </w:p>
    <w:p>
      <w:pPr>
        <w:ind w:left="500" w:right="20" w:firstLine="499"/>
        <w:spacing w:after="0" w:line="268" w:lineRule="auto"/>
        <w:tabs>
          <w:tab w:leader="none" w:pos="1539" w:val="left"/>
        </w:tabs>
        <w:numPr>
          <w:ilvl w:val="0"/>
          <w:numId w:val="99"/>
        </w:numPr>
        <w:rPr>
          <w:rFonts w:ascii="Arial" w:cs="Arial" w:eastAsia="Arial" w:hAnsi="Arial"/>
          <w:sz w:val="14"/>
          <w:szCs w:val="14"/>
          <w:color w:val="auto"/>
        </w:rPr>
      </w:pPr>
      <w:r>
        <w:rPr>
          <w:rFonts w:ascii="Arial" w:cs="Arial" w:eastAsia="Arial" w:hAnsi="Arial"/>
          <w:sz w:val="14"/>
          <w:szCs w:val="14"/>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 issuance and sale of Qualified Equity Interests used to make a payment pursuant to clauses (2) or (5)(B) above shall increase the Restricted Payments Basket to the extent of such payment.</w:t>
      </w:r>
    </w:p>
    <w:p>
      <w:pPr>
        <w:spacing w:after="0" w:line="194"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4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1010.</w:t>
      </w:r>
      <w:r>
        <w:rPr>
          <w:sz w:val="20"/>
          <w:szCs w:val="20"/>
          <w:color w:val="auto"/>
        </w:rPr>
        <w:tab/>
      </w:r>
      <w:r>
        <w:rPr>
          <w:rFonts w:ascii="Arial" w:cs="Arial" w:eastAsia="Arial" w:hAnsi="Arial"/>
          <w:sz w:val="12"/>
          <w:szCs w:val="12"/>
          <w:u w:val="single" w:color="auto"/>
          <w:color w:val="auto"/>
        </w:rPr>
        <w:t>Limitation on Liens</w:t>
      </w:r>
      <w:r>
        <w:rPr>
          <w:rFonts w:ascii="Arial" w:cs="Arial" w:eastAsia="Arial" w:hAnsi="Arial"/>
          <w:sz w:val="12"/>
          <w:szCs w:val="12"/>
          <w:color w:val="auto"/>
        </w:rPr>
        <w:t>.</w:t>
      </w:r>
    </w:p>
    <w:p>
      <w:pPr>
        <w:spacing w:after="0" w:line="171" w:lineRule="exact"/>
        <w:rPr>
          <w:sz w:val="20"/>
          <w:szCs w:val="20"/>
          <w:color w:val="auto"/>
        </w:rPr>
      </w:pPr>
    </w:p>
    <w:p>
      <w:pPr>
        <w:ind w:right="240" w:firstLine="498"/>
        <w:spacing w:after="0" w:line="268" w:lineRule="auto"/>
        <w:rPr>
          <w:sz w:val="20"/>
          <w:szCs w:val="20"/>
          <w:color w:val="auto"/>
        </w:rPr>
      </w:pPr>
      <w:r>
        <w:rPr>
          <w:rFonts w:ascii="Arial" w:cs="Arial" w:eastAsia="Arial" w:hAnsi="Arial"/>
          <w:sz w:val="14"/>
          <w:szCs w:val="14"/>
          <w:color w:val="auto"/>
        </w:rPr>
        <w:t>The Parent Guarantor will not, nor will it permit any Restricted Subsidiary to, create, assume, incur or suffer to exist any Lien upon any property, whether owned or leased on the Issue Date or thereafter acquired, without in any such case making effective provision whereby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183134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95" w:lineRule="exact"/>
        <w:rPr>
          <w:sz w:val="20"/>
          <w:szCs w:val="20"/>
          <w:color w:val="auto"/>
        </w:rPr>
      </w:pPr>
    </w:p>
    <w:p>
      <w:pPr>
        <w:ind w:left="5660" w:right="5080" w:hanging="5657"/>
        <w:spacing w:after="0" w:line="441" w:lineRule="auto"/>
        <w:tabs>
          <w:tab w:leader="none" w:pos="229" w:val="left"/>
        </w:tabs>
        <w:numPr>
          <w:ilvl w:val="0"/>
          <w:numId w:val="100"/>
        </w:numPr>
        <w:rPr>
          <w:rFonts w:ascii="Arial" w:cs="Arial" w:eastAsia="Arial" w:hAnsi="Arial"/>
          <w:sz w:val="12"/>
          <w:szCs w:val="12"/>
          <w:color w:val="auto"/>
        </w:rPr>
      </w:pPr>
      <w:r>
        <w:rPr>
          <w:rFonts w:ascii="Arial" w:cs="Arial" w:eastAsia="Arial" w:hAnsi="Arial"/>
          <w:sz w:val="12"/>
          <w:szCs w:val="12"/>
          <w:color w:val="auto"/>
        </w:rPr>
        <w:t>NTD: CTA grower component of basket to be set to corresponding percentage after “fresh start accounting.”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211455</wp:posOffset>
            </wp:positionV>
            <wp:extent cx="72974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20"/>
          </w:cols>
          <w:pgMar w:left="220" w:top="295" w:right="35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color w:val="auto"/>
        </w:rPr>
        <w:t>all of the Notes then Outstanding shall be secured equally and ratably with, or prior to, such obligations so long as such obligations shall be so secured. This restriction shall not apply to:</w:t>
      </w:r>
    </w:p>
    <w:p>
      <w:pPr>
        <w:spacing w:after="0" w:line="182" w:lineRule="exact"/>
        <w:rPr>
          <w:sz w:val="20"/>
          <w:szCs w:val="20"/>
          <w:color w:val="auto"/>
        </w:rPr>
      </w:pPr>
    </w:p>
    <w:p>
      <w:pPr>
        <w:ind w:left="500" w:right="200" w:firstLine="499"/>
        <w:spacing w:after="0" w:line="353" w:lineRule="auto"/>
        <w:tabs>
          <w:tab w:leader="none" w:pos="1539" w:val="left"/>
        </w:tabs>
        <w:numPr>
          <w:ilvl w:val="0"/>
          <w:numId w:val="101"/>
        </w:numPr>
        <w:rPr>
          <w:rFonts w:ascii="Arial" w:cs="Arial" w:eastAsia="Arial" w:hAnsi="Arial"/>
          <w:sz w:val="12"/>
          <w:szCs w:val="12"/>
          <w:color w:val="auto"/>
        </w:rPr>
      </w:pPr>
      <w:r>
        <w:rPr>
          <w:rFonts w:ascii="Arial" w:cs="Arial" w:eastAsia="Arial" w:hAnsi="Arial"/>
          <w:sz w:val="12"/>
          <w:szCs w:val="12"/>
          <w:color w:val="auto"/>
        </w:rPr>
        <w:t>Liens (i) existing on the Issue Date, (ii) provided for under the terms of agreements existing on such date securing Indebtedness existing on such date, (iii) under the terms of a Credit Facility securing Indebtedness incurred pursuant to clause (1) of the definition of Permitted Indebtedness or (iv) Liens securing the Notes and the Guarantees of the Notes;</w:t>
      </w:r>
    </w:p>
    <w:p>
      <w:pPr>
        <w:spacing w:after="0" w:line="91" w:lineRule="exact"/>
        <w:rPr>
          <w:rFonts w:ascii="Arial" w:cs="Arial" w:eastAsia="Arial" w:hAnsi="Arial"/>
          <w:sz w:val="12"/>
          <w:szCs w:val="12"/>
          <w:color w:val="auto"/>
        </w:rPr>
      </w:pPr>
    </w:p>
    <w:p>
      <w:pPr>
        <w:ind w:left="500" w:right="60" w:firstLine="499"/>
        <w:spacing w:after="0" w:line="250" w:lineRule="auto"/>
        <w:tabs>
          <w:tab w:leader="none" w:pos="15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(2) whether or not such Lien is created within such one year period;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53" w:lineRule="exact"/>
        <w:rPr>
          <w:rFonts w:ascii="Arial" w:cs="Arial" w:eastAsia="Arial" w:hAnsi="Arial"/>
          <w:sz w:val="14"/>
          <w:szCs w:val="14"/>
          <w:color w:val="auto"/>
        </w:rPr>
      </w:pPr>
    </w:p>
    <w:p>
      <w:pPr>
        <w:ind w:left="500" w:firstLine="499"/>
        <w:spacing w:after="0" w:line="258" w:lineRule="auto"/>
        <w:tabs>
          <w:tab w:leader="none" w:pos="15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44" w:lineRule="exact"/>
        <w:rPr>
          <w:rFonts w:ascii="Arial" w:cs="Arial" w:eastAsia="Arial" w:hAnsi="Arial"/>
          <w:sz w:val="14"/>
          <w:szCs w:val="14"/>
          <w:color w:val="auto"/>
        </w:rPr>
      </w:pPr>
    </w:p>
    <w:p>
      <w:pPr>
        <w:ind w:left="1540" w:hanging="541"/>
        <w:spacing w:after="0"/>
        <w:tabs>
          <w:tab w:leader="none" w:pos="1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Liens in favor of the Parent Guarantor or any Restricted Subsidiary;</w:t>
      </w:r>
    </w:p>
    <w:p>
      <w:pPr>
        <w:spacing w:after="0" w:line="170" w:lineRule="exact"/>
        <w:rPr>
          <w:rFonts w:ascii="Arial" w:cs="Arial" w:eastAsia="Arial" w:hAnsi="Arial"/>
          <w:sz w:val="14"/>
          <w:szCs w:val="14"/>
          <w:color w:val="auto"/>
        </w:rPr>
      </w:pPr>
    </w:p>
    <w:p>
      <w:pPr>
        <w:ind w:left="500" w:firstLine="499"/>
        <w:spacing w:after="0" w:line="252" w:lineRule="auto"/>
        <w:tabs>
          <w:tab w:leader="none" w:pos="15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Indebtedness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50" w:lineRule="exact"/>
        <w:rPr>
          <w:rFonts w:ascii="Arial" w:cs="Arial" w:eastAsia="Arial" w:hAnsi="Arial"/>
          <w:sz w:val="14"/>
          <w:szCs w:val="14"/>
          <w:color w:val="auto"/>
        </w:rPr>
      </w:pPr>
    </w:p>
    <w:p>
      <w:pPr>
        <w:ind w:left="1540" w:hanging="541"/>
        <w:spacing w:after="0"/>
        <w:tabs>
          <w:tab w:leader="none" w:pos="1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precautionary Liens on Receivables arising in connection with Permitted Factoring Transactions;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39" w:name="page140"/>
    <w:bookmarkEnd w:id="139"/>
    <w:p>
      <w:pPr>
        <w:ind w:left="1540" w:hanging="541"/>
        <w:spacing w:after="0"/>
        <w:tabs>
          <w:tab w:leader="none" w:pos="1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Permitted Liens; and</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any extension, renewal, or replacement (or successive extensions, renewals or replacements), in whole or in part, of any Lien referred to in any of the foregoing clauses (1), (2),</w:t>
      </w:r>
    </w:p>
    <w:p>
      <w:pPr>
        <w:spacing w:after="0" w:line="37" w:lineRule="exact"/>
        <w:rPr>
          <w:rFonts w:ascii="Arial" w:cs="Arial" w:eastAsia="Arial" w:hAnsi="Arial"/>
          <w:sz w:val="12"/>
          <w:szCs w:val="12"/>
          <w:color w:val="auto"/>
        </w:rPr>
      </w:pPr>
    </w:p>
    <w:p>
      <w:pPr>
        <w:ind w:left="500"/>
        <w:spacing w:after="0" w:line="249" w:lineRule="auto"/>
        <w:rPr>
          <w:rFonts w:ascii="Arial" w:cs="Arial" w:eastAsia="Arial" w:hAnsi="Arial"/>
          <w:sz w:val="12"/>
          <w:szCs w:val="12"/>
          <w:color w:val="auto"/>
        </w:rPr>
      </w:pPr>
      <w:r>
        <w:rPr>
          <w:rFonts w:ascii="Arial" w:cs="Arial" w:eastAsia="Arial" w:hAnsi="Arial"/>
          <w:sz w:val="14"/>
          <w:szCs w:val="14"/>
          <w:color w:val="auto"/>
        </w:rPr>
        <w:t xml:space="preserve">(3), (4), (5), (6) and (7) to the extent such extension, renewal or replacement (or successive extensions, renewals or replacements) involves a Lien described in the foregoing clauses;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principal amount of Indebtedness secured thereby shall not exceed the principal amount of Indebtedness so secured at the time of such extension, renewal or replacement,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reasonable costs related to such extension, renewal or replacement, and that such extension, renewal or replacement shall be limited to all or a part of the property which secured the Lien so extended, renewed or replaced (plus improvements on such property).(10)</w:t>
      </w:r>
    </w:p>
    <w:p>
      <w:pPr>
        <w:spacing w:after="0" w:line="15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1011.</w:t>
      </w:r>
      <w:r>
        <w:rPr>
          <w:sz w:val="20"/>
          <w:szCs w:val="20"/>
          <w:color w:val="auto"/>
        </w:rPr>
        <w:tab/>
      </w:r>
      <w:r>
        <w:rPr>
          <w:rFonts w:ascii="Arial" w:cs="Arial" w:eastAsia="Arial" w:hAnsi="Arial"/>
          <w:sz w:val="12"/>
          <w:szCs w:val="12"/>
          <w:u w:val="single" w:color="auto"/>
          <w:color w:val="auto"/>
        </w:rPr>
        <w:t>Limitation on Dividends and Other Restrictions Affecting Restricted Subsidiaries</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38" w:lineRule="exact"/>
        <w:rPr>
          <w:sz w:val="20"/>
          <w:szCs w:val="20"/>
          <w:color w:val="auto"/>
        </w:rPr>
      </w:pPr>
    </w:p>
    <w:p>
      <w:pPr>
        <w:ind w:left="1000" w:right="60" w:firstLine="497"/>
        <w:spacing w:after="0" w:line="287" w:lineRule="auto"/>
        <w:tabs>
          <w:tab w:leader="none" w:pos="2032" w:val="left"/>
        </w:tabs>
        <w:numPr>
          <w:ilvl w:val="0"/>
          <w:numId w:val="103"/>
        </w:numPr>
        <w:rPr>
          <w:rFonts w:ascii="Arial" w:cs="Arial" w:eastAsia="Arial" w:hAnsi="Arial"/>
          <w:sz w:val="13"/>
          <w:szCs w:val="13"/>
          <w:color w:val="auto"/>
        </w:rPr>
      </w:pPr>
      <w:r>
        <w:rPr>
          <w:rFonts w:ascii="Arial" w:cs="Arial" w:eastAsia="Arial" w:hAnsi="Arial"/>
          <w:sz w:val="13"/>
          <w:szCs w:val="13"/>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27" w:lineRule="exact"/>
        <w:rPr>
          <w:rFonts w:ascii="Arial" w:cs="Arial" w:eastAsia="Arial" w:hAnsi="Arial"/>
          <w:sz w:val="13"/>
          <w:szCs w:val="13"/>
          <w:color w:val="auto"/>
        </w:rPr>
      </w:pPr>
    </w:p>
    <w:p>
      <w:pPr>
        <w:jc w:val="both"/>
        <w:ind w:left="1000" w:right="380" w:firstLine="497"/>
        <w:spacing w:after="0" w:line="258" w:lineRule="auto"/>
        <w:tabs>
          <w:tab w:leader="none" w:pos="203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44" w:lineRule="exact"/>
        <w:rPr>
          <w:rFonts w:ascii="Arial" w:cs="Arial" w:eastAsia="Arial" w:hAnsi="Arial"/>
          <w:sz w:val="14"/>
          <w:szCs w:val="14"/>
          <w:color w:val="auto"/>
        </w:rPr>
      </w:pPr>
    </w:p>
    <w:p>
      <w:pPr>
        <w:ind w:left="1000" w:right="360" w:firstLine="497"/>
        <w:spacing w:after="0" w:line="268" w:lineRule="auto"/>
        <w:tabs>
          <w:tab w:leader="none" w:pos="203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transfer any of its property or assets to the Parent Guarantor or any other Restricted Subsidiary (it being understood that such transfers shall not include any type of transfer described in clause (a) or (b) above);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except for, in each case:</w:t>
      </w:r>
    </w:p>
    <w:p>
      <w:pPr>
        <w:spacing w:after="0" w:line="171" w:lineRule="exact"/>
        <w:rPr>
          <w:sz w:val="20"/>
          <w:szCs w:val="20"/>
          <w:color w:val="auto"/>
        </w:rPr>
      </w:pPr>
    </w:p>
    <w:p>
      <w:pPr>
        <w:ind w:left="1540" w:hanging="541"/>
        <w:spacing w:after="0"/>
        <w:tabs>
          <w:tab w:leader="none" w:pos="154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encumbrances or restrictions existing under agreements existing on the Issue Date (including, without limitation, the Credit Agreement) as in effect on that date;</w:t>
      </w:r>
    </w:p>
    <w:p>
      <w:pPr>
        <w:spacing w:after="0" w:line="347" w:lineRule="exact"/>
        <w:rPr>
          <w:rFonts w:ascii="Arial" w:cs="Arial" w:eastAsia="Arial" w:hAnsi="Arial"/>
          <w:sz w:val="14"/>
          <w:szCs w:val="14"/>
          <w:color w:val="auto"/>
        </w:rPr>
      </w:pPr>
    </w:p>
    <w:p>
      <w:pPr>
        <w:ind w:left="300" w:hanging="297"/>
        <w:spacing w:after="0"/>
        <w:tabs>
          <w:tab w:leader="none" w:pos="3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NTD: Confirm no other carve outs to lien covenant should be included after review of the Term Loan and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83134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40" w:name="page141"/>
    <w:bookmarkEnd w:id="140"/>
    <w:p>
      <w:pPr>
        <w:ind w:left="1040" w:hanging="541"/>
        <w:spacing w:after="0"/>
        <w:tabs>
          <w:tab w:leader="none" w:pos="10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encumbrances or restrictions existing under the Indenture, the Notes and the Guarantees;</w:t>
      </w:r>
    </w:p>
    <w:p>
      <w:pPr>
        <w:spacing w:after="0" w:line="170" w:lineRule="exact"/>
        <w:rPr>
          <w:rFonts w:ascii="Arial" w:cs="Arial" w:eastAsia="Arial" w:hAnsi="Arial"/>
          <w:sz w:val="14"/>
          <w:szCs w:val="14"/>
          <w:color w:val="auto"/>
        </w:rPr>
      </w:pPr>
    </w:p>
    <w:p>
      <w:pPr>
        <w:ind w:right="260" w:firstLine="499"/>
        <w:spacing w:after="0" w:line="307" w:lineRule="auto"/>
        <w:tabs>
          <w:tab w:leader="none" w:pos="103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15" w:lineRule="exact"/>
        <w:rPr>
          <w:rFonts w:ascii="Arial" w:cs="Arial" w:eastAsia="Arial" w:hAnsi="Arial"/>
          <w:sz w:val="13"/>
          <w:szCs w:val="13"/>
          <w:color w:val="auto"/>
        </w:rPr>
      </w:pPr>
    </w:p>
    <w:p>
      <w:pPr>
        <w:jc w:val="both"/>
        <w:ind w:firstLine="499"/>
        <w:spacing w:after="0" w:line="258" w:lineRule="auto"/>
        <w:tabs>
          <w:tab w:leader="none" w:pos="1039"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44" w:lineRule="exact"/>
        <w:rPr>
          <w:rFonts w:ascii="Arial" w:cs="Arial" w:eastAsia="Arial" w:hAnsi="Arial"/>
          <w:sz w:val="14"/>
          <w:szCs w:val="14"/>
          <w:color w:val="auto"/>
        </w:rPr>
      </w:pPr>
    </w:p>
    <w:p>
      <w:pPr>
        <w:jc w:val="both"/>
        <w:ind w:right="120" w:firstLine="499"/>
        <w:spacing w:after="0" w:line="280" w:lineRule="auto"/>
        <w:tabs>
          <w:tab w:leader="none" w:pos="103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32" w:lineRule="exact"/>
        <w:rPr>
          <w:rFonts w:ascii="Arial" w:cs="Arial" w:eastAsia="Arial" w:hAnsi="Arial"/>
          <w:sz w:val="13"/>
          <w:szCs w:val="13"/>
          <w:color w:val="auto"/>
        </w:rPr>
      </w:pPr>
    </w:p>
    <w:p>
      <w:pPr>
        <w:ind w:left="1040" w:hanging="541"/>
        <w:spacing w:after="0"/>
        <w:tabs>
          <w:tab w:leader="none" w:pos="10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encumbrances or restrictions existing under or by reason of applicable law, regulation or order;</w:t>
      </w:r>
    </w:p>
    <w:p>
      <w:pPr>
        <w:spacing w:after="0" w:line="170" w:lineRule="exact"/>
        <w:rPr>
          <w:rFonts w:ascii="Arial" w:cs="Arial" w:eastAsia="Arial" w:hAnsi="Arial"/>
          <w:sz w:val="14"/>
          <w:szCs w:val="14"/>
          <w:color w:val="auto"/>
        </w:rPr>
      </w:pPr>
    </w:p>
    <w:p>
      <w:pPr>
        <w:ind w:left="1040" w:hanging="541"/>
        <w:spacing w:after="0"/>
        <w:tabs>
          <w:tab w:leader="none" w:pos="10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customary restrictions or limitations in leases, licenses or other agreements restricting the assignment thereof or the assignment of the property that is the subject of such</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w:t>
      </w:r>
    </w:p>
    <w:p>
      <w:pPr>
        <w:spacing w:after="0" w:line="161" w:lineRule="exact"/>
        <w:rPr>
          <w:rFonts w:ascii="Arial" w:cs="Arial" w:eastAsia="Arial" w:hAnsi="Arial"/>
          <w:sz w:val="13"/>
          <w:szCs w:val="13"/>
          <w:color w:val="auto"/>
        </w:rPr>
      </w:pPr>
    </w:p>
    <w:p>
      <w:pPr>
        <w:ind w:left="1040" w:hanging="541"/>
        <w:spacing w:after="0"/>
        <w:tabs>
          <w:tab w:leader="none" w:pos="10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the case of clause (c) above, Liens permitted to be incurred under Section 1010 that limit the right of the debtor to dispose of the assets securing such Indebtedness;</w:t>
      </w:r>
    </w:p>
    <w:p>
      <w:pPr>
        <w:spacing w:after="0" w:line="182" w:lineRule="exact"/>
        <w:rPr>
          <w:rFonts w:ascii="Arial" w:cs="Arial" w:eastAsia="Arial" w:hAnsi="Arial"/>
          <w:sz w:val="13"/>
          <w:szCs w:val="13"/>
          <w:color w:val="auto"/>
        </w:rPr>
      </w:pPr>
    </w:p>
    <w:p>
      <w:pPr>
        <w:ind w:left="1040" w:hanging="541"/>
        <w:spacing w:after="0"/>
        <w:tabs>
          <w:tab w:leader="none" w:pos="10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restrictions imposed under any agreement to sell Equity Interests or assets to any Person pending the closing of such sale;</w:t>
      </w:r>
    </w:p>
    <w:p>
      <w:pPr>
        <w:spacing w:after="0" w:line="170" w:lineRule="exact"/>
        <w:rPr>
          <w:rFonts w:ascii="Arial" w:cs="Arial" w:eastAsia="Arial" w:hAnsi="Arial"/>
          <w:sz w:val="14"/>
          <w:szCs w:val="14"/>
          <w:color w:val="auto"/>
        </w:rPr>
      </w:pPr>
    </w:p>
    <w:p>
      <w:pPr>
        <w:ind w:right="80" w:firstLine="499"/>
        <w:spacing w:after="0" w:line="280" w:lineRule="auto"/>
        <w:tabs>
          <w:tab w:leader="none" w:pos="103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w:t>
      </w:r>
    </w:p>
    <w:p>
      <w:pPr>
        <w:spacing w:after="0" w:line="13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40"/>
          </w:cols>
          <w:pgMar w:left="720" w:top="295" w:right="239" w:bottom="1440" w:gutter="0" w:footer="0" w:header="0"/>
        </w:sectPr>
      </w:pPr>
    </w:p>
    <w:bookmarkStart w:id="141" w:name="page142"/>
    <w:bookmarkEnd w:id="141"/>
    <w:p>
      <w:pPr>
        <w:ind w:left="500"/>
        <w:spacing w:after="0"/>
        <w:rPr>
          <w:sz w:val="20"/>
          <w:szCs w:val="20"/>
          <w:color w:val="auto"/>
        </w:rPr>
      </w:pPr>
      <w:r>
        <w:rPr>
          <w:rFonts w:ascii="Arial" w:cs="Arial" w:eastAsia="Arial" w:hAnsi="Arial"/>
          <w:sz w:val="12"/>
          <w:szCs w:val="12"/>
          <w:color w:val="auto"/>
        </w:rPr>
        <w:t>default thereunder) the payment of dividends in an amount sufficient, as determined by the Issuer in good faith, to make scheduled payments of cash interest and principal on the Notes when due;</w:t>
      </w:r>
    </w:p>
    <w:p>
      <w:pPr>
        <w:spacing w:after="0" w:line="194" w:lineRule="exact"/>
        <w:rPr>
          <w:sz w:val="20"/>
          <w:szCs w:val="20"/>
          <w:color w:val="auto"/>
        </w:rPr>
      </w:pPr>
    </w:p>
    <w:p>
      <w:pPr>
        <w:ind w:left="500" w:right="500" w:firstLine="499"/>
        <w:spacing w:after="0" w:line="353" w:lineRule="auto"/>
        <w:tabs>
          <w:tab w:leader="none" w:pos="153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91" w:lineRule="exact"/>
        <w:rPr>
          <w:rFonts w:ascii="Arial" w:cs="Arial" w:eastAsia="Arial" w:hAnsi="Arial"/>
          <w:sz w:val="12"/>
          <w:szCs w:val="12"/>
          <w:color w:val="auto"/>
        </w:rPr>
      </w:pPr>
    </w:p>
    <w:p>
      <w:pPr>
        <w:ind w:left="500" w:right="140" w:firstLine="499"/>
        <w:spacing w:after="0" w:line="268" w:lineRule="auto"/>
        <w:tabs>
          <w:tab w:leader="none" w:pos="15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Purchase Money Indebtedness and any Refinancing Indebtedness in respect thereof incurred in compliance with Section 1008 that imposes restrictions of the nature described in clause (c) above on the assets acquired;</w:t>
      </w:r>
    </w:p>
    <w:p>
      <w:pPr>
        <w:spacing w:after="0" w:line="138" w:lineRule="exact"/>
        <w:rPr>
          <w:rFonts w:ascii="Arial" w:cs="Arial" w:eastAsia="Arial" w:hAnsi="Arial"/>
          <w:sz w:val="14"/>
          <w:szCs w:val="14"/>
          <w:color w:val="auto"/>
        </w:rPr>
      </w:pPr>
    </w:p>
    <w:p>
      <w:pPr>
        <w:ind w:left="1540" w:hanging="541"/>
        <w:spacing w:after="0"/>
        <w:tabs>
          <w:tab w:leader="none" w:pos="1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restrictions on cash or other deposits or net worth imposed by customers, suppliers or landlords under contracts entered into in the ordinary course of business;</w:t>
      </w:r>
    </w:p>
    <w:p>
      <w:pPr>
        <w:spacing w:after="0" w:line="170" w:lineRule="exact"/>
        <w:rPr>
          <w:rFonts w:ascii="Arial" w:cs="Arial" w:eastAsia="Arial" w:hAnsi="Arial"/>
          <w:sz w:val="14"/>
          <w:szCs w:val="14"/>
          <w:color w:val="auto"/>
        </w:rPr>
      </w:pPr>
    </w:p>
    <w:p>
      <w:pPr>
        <w:ind w:left="500" w:firstLine="499"/>
        <w:spacing w:after="0" w:line="254" w:lineRule="auto"/>
        <w:tabs>
          <w:tab w:leader="none" w:pos="15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48" w:lineRule="exact"/>
        <w:rPr>
          <w:rFonts w:ascii="Arial" w:cs="Arial" w:eastAsia="Arial" w:hAnsi="Arial"/>
          <w:sz w:val="14"/>
          <w:szCs w:val="14"/>
          <w:color w:val="auto"/>
        </w:rPr>
      </w:pPr>
    </w:p>
    <w:p>
      <w:pPr>
        <w:ind w:left="500" w:right="380" w:firstLine="499"/>
        <w:spacing w:after="0" w:line="254" w:lineRule="auto"/>
        <w:tabs>
          <w:tab w:leader="none" w:pos="15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48" w:lineRule="exact"/>
        <w:rPr>
          <w:rFonts w:ascii="Arial" w:cs="Arial" w:eastAsia="Arial" w:hAnsi="Arial"/>
          <w:sz w:val="14"/>
          <w:szCs w:val="14"/>
          <w:color w:val="auto"/>
        </w:rPr>
      </w:pPr>
    </w:p>
    <w:p>
      <w:pPr>
        <w:ind w:left="1540" w:hanging="541"/>
        <w:spacing w:after="0"/>
        <w:tabs>
          <w:tab w:leader="none" w:pos="1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Permitted Investment or Restricted Payments which are made in accordance with Section 1009;</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restrictions contained in Standard Securitization Undertakings; and</w:t>
      </w:r>
    </w:p>
    <w:p>
      <w:pPr>
        <w:spacing w:after="0" w:line="170" w:lineRule="exact"/>
        <w:rPr>
          <w:rFonts w:ascii="Arial" w:cs="Arial" w:eastAsia="Arial" w:hAnsi="Arial"/>
          <w:sz w:val="14"/>
          <w:szCs w:val="14"/>
          <w:color w:val="auto"/>
        </w:rPr>
      </w:pPr>
    </w:p>
    <w:p>
      <w:pPr>
        <w:ind w:left="1540" w:hanging="541"/>
        <w:spacing w:after="0"/>
        <w:tabs>
          <w:tab w:leader="none" w:pos="1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supermajority voting requirements existing under corporate charters, by-laws, stockholders agreements and similar documents and agreements.</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1012.</w:t>
      </w:r>
      <w:r>
        <w:rPr>
          <w:sz w:val="20"/>
          <w:szCs w:val="20"/>
          <w:color w:val="auto"/>
        </w:rPr>
        <w:tab/>
      </w:r>
      <w:r>
        <w:rPr>
          <w:rFonts w:ascii="Arial" w:cs="Arial" w:eastAsia="Arial" w:hAnsi="Arial"/>
          <w:sz w:val="12"/>
          <w:szCs w:val="12"/>
          <w:u w:val="single" w:color="auto"/>
          <w:color w:val="auto"/>
        </w:rPr>
        <w:t>Limitation on Asset Sales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Parent Guarantor shall not, and shall not permit any of its Restricted Subsidiaries to, consummate an Asset Sale unless: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42" w:name="page143"/>
    <w:bookmarkEnd w:id="142"/>
    <w:p>
      <w:pPr>
        <w:ind w:right="120" w:firstLine="501"/>
        <w:spacing w:after="0" w:line="258" w:lineRule="auto"/>
        <w:tabs>
          <w:tab w:leader="none" w:pos="1039"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Parent Guarantor (or the Restricted Subsidiary, as the case may be) receives consideration (including by way of relief from, or any Person assuming responsibilities for, any liabilities, contingent or otherwise) at the time of the Asset Sale at least equal to the Fair Market Value (measured as of the date of the definitive agreement with respect to such Asset Sale) of the assets or Equity Interests issued or sold or otherwise disposed of; and</w:t>
      </w:r>
    </w:p>
    <w:p>
      <w:pPr>
        <w:spacing w:after="0" w:line="144" w:lineRule="exact"/>
        <w:rPr>
          <w:rFonts w:ascii="Arial" w:cs="Arial" w:eastAsia="Arial" w:hAnsi="Arial"/>
          <w:sz w:val="14"/>
          <w:szCs w:val="14"/>
          <w:color w:val="auto"/>
        </w:rPr>
      </w:pPr>
    </w:p>
    <w:p>
      <w:pPr>
        <w:ind w:right="140" w:firstLine="501"/>
        <w:spacing w:after="0" w:line="268" w:lineRule="auto"/>
        <w:tabs>
          <w:tab w:leader="none" w:pos="1039"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at least 75% of the aggregate consideration received by the Parent Guarantor and its Restricted Subsidiaries in the Asset Sale and all other Asset Sales since the date of the Indenture is in the form of cash or Cash Equivalents. For purposes of this provision, each of the following will be deemed to be cash:</w:t>
      </w:r>
    </w:p>
    <w:p>
      <w:pPr>
        <w:spacing w:after="0" w:line="138" w:lineRule="exact"/>
        <w:rPr>
          <w:rFonts w:ascii="Arial" w:cs="Arial" w:eastAsia="Arial" w:hAnsi="Arial"/>
          <w:sz w:val="14"/>
          <w:szCs w:val="14"/>
          <w:color w:val="auto"/>
        </w:rPr>
      </w:pPr>
    </w:p>
    <w:p>
      <w:pPr>
        <w:ind w:left="500" w:firstLine="499"/>
        <w:spacing w:after="0" w:line="272" w:lineRule="auto"/>
        <w:tabs>
          <w:tab w:leader="none" w:pos="1532"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liabilities, as shown on the Parent Guarantor’s or any Restricted Subsidiary’s most recent consolidated balance sheet, of the Parent Guarantor or such Restricted Subsidiary (other than contingent liabilities and liabilities that are by their terms subordinated in right of payment to the Notes or any Subsidiary Guarantee) that are assumed by the transferee of any such assets pursuant to a novation or indemnity agreement that releases the Parent Guarantor or such Restricted Subsidiary from further liability (or in lieu of such absence of liability, the acquiring Person or its parent company agrees to indemnify and hold the Parent Guarantor or such Restricted Subsidiary harmless from and against any loss, liability or cost in respect of such assumed liabilities accompanied by the posting of a letter of credit (issued by a commercial bank of national standing) in favor of the Parent Guarantor or such Restricted Subsidiary for the full amount of such liabilities and for so long as such liabilities remain outstanding unless such indemnifying party (or its long term debt securities) shall have an investment grade rating (with no indication of a negative outlook or credit watch with negative implications, in any case, that contemplates such indemnifying party (or its long term debt securities) failing to have an investment grade rating) at the time the indemnity is entered into) or that are otherwise cancelled or terminated in connection with the transaction with such transferee;</w:t>
      </w:r>
    </w:p>
    <w:p>
      <w:pPr>
        <w:spacing w:after="0" w:line="138" w:lineRule="exact"/>
        <w:rPr>
          <w:rFonts w:ascii="Arial" w:cs="Arial" w:eastAsia="Arial" w:hAnsi="Arial"/>
          <w:sz w:val="13"/>
          <w:szCs w:val="13"/>
          <w:color w:val="auto"/>
        </w:rPr>
      </w:pPr>
    </w:p>
    <w:p>
      <w:pPr>
        <w:ind w:left="500" w:right="220" w:firstLine="499"/>
        <w:spacing w:after="0" w:line="268" w:lineRule="auto"/>
        <w:tabs>
          <w:tab w:leader="none" w:pos="1539"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any securities, notes or other obligations received by the Parent Guarantor or any such Restricted Subsidiary from such transferee that are, within 180 days after the Asset Sale, converted by the Parent Guarantor or such Restricted Subsidiary into cash, to the extent of the cash received in that conversion; and</w:t>
      </w:r>
    </w:p>
    <w:p>
      <w:pPr>
        <w:spacing w:after="0" w:line="138" w:lineRule="exact"/>
        <w:rPr>
          <w:rFonts w:ascii="Arial" w:cs="Arial" w:eastAsia="Arial" w:hAnsi="Arial"/>
          <w:sz w:val="14"/>
          <w:szCs w:val="14"/>
          <w:color w:val="auto"/>
        </w:rPr>
      </w:pPr>
    </w:p>
    <w:p>
      <w:pPr>
        <w:ind w:left="1540" w:hanging="541"/>
        <w:spacing w:after="0"/>
        <w:tabs>
          <w:tab w:leader="none" w:pos="154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Additional Assets.</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Within 365 days after the receipt of any Net Proceeds from an Asset Sale, the Parent Guarantor (or any Restricted Subsidiary) may apply those Net Proceeds at its option to any combination of the following:</w:t>
      </w:r>
    </w:p>
    <w:p>
      <w:pPr>
        <w:spacing w:after="0" w:line="138" w:lineRule="exact"/>
        <w:rPr>
          <w:sz w:val="20"/>
          <w:szCs w:val="20"/>
          <w:color w:val="auto"/>
        </w:rPr>
      </w:pPr>
    </w:p>
    <w:p>
      <w:pPr>
        <w:ind w:right="100" w:firstLine="501"/>
        <w:spacing w:after="0" w:line="258" w:lineRule="auto"/>
        <w:tabs>
          <w:tab w:leader="none" w:pos="105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 xml:space="preserve">to prepay, repay, redeem or repurchase Secured Indebtedness;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connection with any prepayment, repayment, redemption repurchase of Indebtedness pursuant to this clause (I), the Parent Guarantor or such Restricted Subsidiary will retire such Indebtedness and, in the case of revolving Indebtedness, will cause the related commitment (if any) to be permanently reduced in an amount equal to the principal amount so retired;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43" w:name="page144"/>
    <w:bookmarkEnd w:id="143"/>
    <w:p>
      <w:pPr>
        <w:ind w:left="1040" w:hanging="539"/>
        <w:spacing w:after="0"/>
        <w:tabs>
          <w:tab w:leader="none" w:pos="10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purchase Notes;</w:t>
      </w:r>
    </w:p>
    <w:p>
      <w:pPr>
        <w:spacing w:after="0" w:line="171" w:lineRule="exact"/>
        <w:rPr>
          <w:sz w:val="20"/>
          <w:szCs w:val="20"/>
          <w:color w:val="auto"/>
        </w:rPr>
      </w:pPr>
    </w:p>
    <w:p>
      <w:pPr>
        <w:ind w:firstLine="501"/>
        <w:spacing w:after="0" w:line="254" w:lineRule="auto"/>
        <w:tabs>
          <w:tab w:leader="none" w:pos="1005" w:val="left"/>
        </w:tabs>
        <w:numPr>
          <w:ilvl w:val="0"/>
          <w:numId w:val="111"/>
        </w:numPr>
        <w:rPr>
          <w:rFonts w:ascii="Arial" w:cs="Arial" w:eastAsia="Arial" w:hAnsi="Arial"/>
          <w:sz w:val="14"/>
          <w:szCs w:val="14"/>
          <w:color w:val="auto"/>
        </w:rPr>
      </w:pPr>
      <w:r>
        <w:rPr>
          <w:rFonts w:ascii="Arial" w:cs="Arial" w:eastAsia="Arial" w:hAnsi="Arial"/>
          <w:sz w:val="14"/>
          <w:szCs w:val="14"/>
          <w:color w:val="auto"/>
        </w:rPr>
        <w:t xml:space="preserve">purchase or repay on a permanent basis other Indebtedness (excluding (i) any Subordinated Indebtedness and (ii) any Notes or other Indebtedness owed to the Issuer or an Affiliate of the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Issuer shall equally and ratably redeem or purchase Notes as described under “—Optional Redemption,” through open market purchases (to the extent such purchases are at or above 100% of the principal amount thereof) or by making an offer (in accordance with the procedures set forth below for an Asset Offer) to all Holders to purchase the Notes at 100% of the principal amount thereof, plus the amount of accrued but unpaid interest, if any, on the amount of Notes that would otherwise be prepaid;</w:t>
      </w:r>
    </w:p>
    <w:p>
      <w:pPr>
        <w:spacing w:after="0" w:line="14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4"/>
          <w:szCs w:val="14"/>
          <w:color w:val="auto"/>
        </w:rPr>
        <w:t>(IV)</w:t>
      </w:r>
      <w:r>
        <w:rPr>
          <w:sz w:val="20"/>
          <w:szCs w:val="20"/>
          <w:color w:val="auto"/>
        </w:rPr>
        <w:tab/>
      </w:r>
      <w:r>
        <w:rPr>
          <w:rFonts w:ascii="Arial" w:cs="Arial" w:eastAsia="Arial" w:hAnsi="Arial"/>
          <w:sz w:val="14"/>
          <w:szCs w:val="14"/>
          <w:color w:val="auto"/>
        </w:rPr>
        <w:t>to invest in or acquire Additional Assets; or</w:t>
      </w:r>
    </w:p>
    <w:p>
      <w:pPr>
        <w:spacing w:after="0" w:line="171" w:lineRule="exact"/>
        <w:rPr>
          <w:sz w:val="20"/>
          <w:szCs w:val="20"/>
          <w:color w:val="auto"/>
        </w:rPr>
      </w:pPr>
    </w:p>
    <w:p>
      <w:pPr>
        <w:ind w:left="1040" w:hanging="539"/>
        <w:spacing w:after="0"/>
        <w:tabs>
          <w:tab w:leader="none" w:pos="10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make capital expenditures in respect of the Parent Guarantor’s or its Restricted Subsidiaries’ Permitted Business.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Net Proceeds from Asset Sales that are not applied or invested as provided in the second preceding paragraph will constitute “Excess Proceeds.”</w:t>
      </w:r>
    </w:p>
    <w:p>
      <w:pPr>
        <w:spacing w:after="0" w:line="171" w:lineRule="exact"/>
        <w:rPr>
          <w:sz w:val="20"/>
          <w:szCs w:val="20"/>
          <w:color w:val="auto"/>
        </w:rPr>
      </w:pPr>
    </w:p>
    <w:p>
      <w:pPr>
        <w:ind w:firstLine="498"/>
        <w:spacing w:after="0" w:line="294" w:lineRule="auto"/>
        <w:rPr>
          <w:sz w:val="20"/>
          <w:szCs w:val="20"/>
          <w:color w:val="auto"/>
        </w:rPr>
      </w:pPr>
      <w:r>
        <w:rPr>
          <w:rFonts w:ascii="Arial" w:cs="Arial" w:eastAsia="Arial" w:hAnsi="Arial"/>
          <w:sz w:val="12"/>
          <w:szCs w:val="12"/>
          <w:color w:val="auto"/>
        </w:rPr>
        <w:t>If on the 366th day after an Asset Sale the aggregate amount of Excess Proceeds then exceeds $25.0 million, within five days after such date, the Issuer will make an offer (the “Asset Sale Offer”</w:t>
      </w:r>
      <w:r>
        <w:rPr>
          <w:rFonts w:ascii="Arial" w:cs="Arial" w:eastAsia="Arial" w:hAnsi="Arial"/>
          <w:sz w:val="12"/>
          <w:szCs w:val="12"/>
          <w:i w:val="1"/>
          <w:iCs w:val="1"/>
          <w:color w:val="auto"/>
        </w:rPr>
        <w:t>)</w:t>
      </w:r>
      <w:r>
        <w:rPr>
          <w:rFonts w:ascii="Arial" w:cs="Arial" w:eastAsia="Arial" w:hAnsi="Arial"/>
          <w:sz w:val="12"/>
          <w:szCs w:val="12"/>
          <w:color w:val="auto"/>
        </w:rPr>
        <w:t xml:space="preserve"> to all Holders of Notes, and all holders of other Indebtedness that is Pari Passu Indebtedness containing provisions similar to those set forth in the Indenture with respect to offers to purchase, prepay or redeem with the proceeds of sales of assets, to purchase, prepay or redeem on a pro rata basis (based on principal amounts of Notes and Pari Passu Indebtedness (or, in the case of Pari Passu Indebtedness issued with significant original issue discount, based on the accreted value thereof) tendered) the maximum principal amount of Notes and such other Pari Passu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principal amount plus accrued and unpaid interest, if any, to the date of settlement, subject to the right of Holders of record on the relevant record date to receive interest due on an interest payment date that is on or prior to the date of settlement, and will be payable in cash. If any Excess Proceeds remain after consummation of an Asset Sale Offer, the Parent Guarantor or any Restricted Subsidiary may use those Excess Proceeds for any purpose not otherwise prohibited by the Indenture. If the aggregate principal amount of Notes tendered into such Asset Sale Offer exceeds the amount of Excess Proceeds allocated to the purchase of Notes, the Trustee will select the Notes to be purchased on a pro rata basis (except that any Notes represented by a note in global form will be selected by such method as DTC or its nominee or successor may require or, where such nominee or successor is the Trustee, a method that most nearly approximates pro rata selection as the Trustee deems fair and appropriate), based on the principal amounts tendered (with such adjustments as may be deemed appropriate by the Issuer so that only Notes in denominations of $2,000, or an integral multiple of $1,000 thereof, will be purchased). Upon completion of each Asset Sale Offer, the amount of Excess Proceeds will be reset at zero. The Parent Guarantor may satisfy the foregoing obligation with respect to any Excess Proceeds by making an Asset Sale Offer prior to the expiration of the relevant 365-day period or with respect to Excess Proceeds of $25.0 million or less.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44" w:name="page145"/>
    <w:bookmarkEnd w:id="144"/>
    <w:p>
      <w:pPr>
        <w:ind w:right="240" w:firstLine="498"/>
        <w:spacing w:after="0" w:line="268" w:lineRule="auto"/>
        <w:rPr>
          <w:sz w:val="20"/>
          <w:szCs w:val="20"/>
          <w:color w:val="auto"/>
        </w:rPr>
      </w:pPr>
      <w:r>
        <w:rPr>
          <w:rFonts w:ascii="Arial" w:cs="Arial" w:eastAsia="Arial" w:hAnsi="Arial"/>
          <w:sz w:val="14"/>
          <w:szCs w:val="14"/>
          <w:color w:val="auto"/>
        </w:rPr>
        <w:t>The provisions under the Indenture relative to the Parent Guarantor’s obligation to make an offer to repurchase the Notes as a result of an Asset Sale may be waived or modified with the written consent of a majority in principal amount of the outstanding Notes.</w:t>
      </w:r>
    </w:p>
    <w:p>
      <w:pPr>
        <w:spacing w:after="0" w:line="138" w:lineRule="exact"/>
        <w:rPr>
          <w:sz w:val="20"/>
          <w:szCs w:val="20"/>
          <w:color w:val="auto"/>
        </w:rPr>
      </w:pPr>
    </w:p>
    <w:p>
      <w:pPr>
        <w:ind w:firstLine="498"/>
        <w:spacing w:after="0" w:line="287" w:lineRule="auto"/>
        <w:rPr>
          <w:sz w:val="20"/>
          <w:szCs w:val="20"/>
          <w:color w:val="auto"/>
        </w:rPr>
      </w:pPr>
      <w:r>
        <w:rPr>
          <w:rFonts w:ascii="Arial" w:cs="Arial" w:eastAsia="Arial" w:hAnsi="Arial"/>
          <w:sz w:val="13"/>
          <w:szCs w:val="13"/>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Section 1012, the Issuer will comply with the applicable securities laws and regulations and will not be deemed to have breached its obligations under such provisions by virtue of such compliance.</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1013.</w:t>
      </w:r>
      <w:r>
        <w:rPr>
          <w:sz w:val="20"/>
          <w:szCs w:val="20"/>
          <w:color w:val="auto"/>
        </w:rPr>
        <w:tab/>
      </w:r>
      <w:r>
        <w:rPr>
          <w:rFonts w:ascii="Arial" w:cs="Arial" w:eastAsia="Arial" w:hAnsi="Arial"/>
          <w:sz w:val="13"/>
          <w:szCs w:val="13"/>
          <w:u w:val="single" w:color="auto"/>
          <w:color w:val="auto"/>
        </w:rPr>
        <w:t>Limitation on Affiliate Transactions</w:t>
      </w:r>
      <w:r>
        <w:rPr>
          <w:rFonts w:ascii="Arial" w:cs="Arial" w:eastAsia="Arial" w:hAnsi="Arial"/>
          <w:sz w:val="13"/>
          <w:szCs w:val="13"/>
          <w:color w:val="auto"/>
        </w:rPr>
        <w:t>.</w:t>
      </w:r>
    </w:p>
    <w:p>
      <w:pPr>
        <w:spacing w:after="0" w:line="171" w:lineRule="exact"/>
        <w:rPr>
          <w:sz w:val="20"/>
          <w:szCs w:val="20"/>
          <w:color w:val="auto"/>
        </w:rPr>
      </w:pPr>
    </w:p>
    <w:p>
      <w:pPr>
        <w:ind w:right="20" w:firstLine="498"/>
        <w:spacing w:after="0" w:line="258" w:lineRule="auto"/>
        <w:rPr>
          <w:sz w:val="20"/>
          <w:szCs w:val="20"/>
          <w:color w:val="auto"/>
        </w:rPr>
      </w:pPr>
      <w:r>
        <w:rPr>
          <w:rFonts w:ascii="Arial" w:cs="Arial" w:eastAsia="Arial" w:hAnsi="Arial"/>
          <w:sz w:val="14"/>
          <w:szCs w:val="14"/>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$40.0 million (an “Affiliate Transaction”), unless:</w:t>
      </w:r>
    </w:p>
    <w:p>
      <w:pPr>
        <w:spacing w:after="0" w:line="145" w:lineRule="exact"/>
        <w:rPr>
          <w:sz w:val="20"/>
          <w:szCs w:val="20"/>
          <w:color w:val="auto"/>
        </w:rPr>
      </w:pPr>
    </w:p>
    <w:p>
      <w:pPr>
        <w:ind w:left="500" w:right="20" w:firstLine="499"/>
        <w:spacing w:after="0" w:line="254" w:lineRule="auto"/>
        <w:tabs>
          <w:tab w:leader="none" w:pos="1539"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48" w:lineRule="exact"/>
        <w:rPr>
          <w:rFonts w:ascii="Arial" w:cs="Arial" w:eastAsia="Arial" w:hAnsi="Arial"/>
          <w:sz w:val="14"/>
          <w:szCs w:val="14"/>
          <w:color w:val="auto"/>
        </w:rPr>
      </w:pPr>
    </w:p>
    <w:p>
      <w:pPr>
        <w:ind w:left="500" w:right="60" w:firstLine="499"/>
        <w:spacing w:after="0" w:line="258" w:lineRule="auto"/>
        <w:tabs>
          <w:tab w:leader="none" w:pos="1539"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Parent Guarantor delivers to the Trustee, with respect to any Affiliate Transaction involving aggregate value in excess of $75.0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 foregoing restrictions shall not apply to:</w:t>
      </w:r>
    </w:p>
    <w:p>
      <w:pPr>
        <w:spacing w:after="0" w:line="171" w:lineRule="exact"/>
        <w:rPr>
          <w:sz w:val="20"/>
          <w:szCs w:val="20"/>
          <w:color w:val="auto"/>
        </w:rPr>
      </w:pPr>
    </w:p>
    <w:p>
      <w:pPr>
        <w:ind w:left="1540" w:hanging="541"/>
        <w:spacing w:after="0"/>
        <w:tabs>
          <w:tab w:leader="none" w:pos="1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transactions to the extent between or among (a) the Parent Guarantor and one or more Restricted Subsidiaries or (b) Restricted Subsidiaries;</w:t>
      </w:r>
    </w:p>
    <w:p>
      <w:pPr>
        <w:spacing w:after="0" w:line="170" w:lineRule="exact"/>
        <w:rPr>
          <w:rFonts w:ascii="Arial" w:cs="Arial" w:eastAsia="Arial" w:hAnsi="Arial"/>
          <w:sz w:val="14"/>
          <w:szCs w:val="14"/>
          <w:color w:val="auto"/>
        </w:rPr>
      </w:pPr>
    </w:p>
    <w:p>
      <w:pPr>
        <w:ind w:left="500" w:right="240" w:firstLine="499"/>
        <w:spacing w:after="0" w:line="258" w:lineRule="auto"/>
        <w:tabs>
          <w:tab w:leader="none" w:pos="1539" w:val="left"/>
        </w:tabs>
        <w:numPr>
          <w:ilvl w:val="0"/>
          <w:numId w:val="114"/>
        </w:numPr>
        <w:rPr>
          <w:rFonts w:ascii="Arial" w:cs="Arial" w:eastAsia="Arial" w:hAnsi="Arial"/>
          <w:sz w:val="14"/>
          <w:szCs w:val="14"/>
          <w:color w:val="auto"/>
        </w:rPr>
      </w:pPr>
      <w:r>
        <w:rPr>
          <w:rFonts w:ascii="Arial" w:cs="Arial" w:eastAsia="Arial" w:hAnsi="Arial"/>
          <w:sz w:val="14"/>
          <w:szCs w:val="14"/>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45" w:name="page146"/>
    <w:bookmarkEnd w:id="145"/>
    <w:p>
      <w:pPr>
        <w:ind w:left="1000" w:hanging="501"/>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Permitted Investments (other than those made under clause (1) of such definition) or Restricted Payments which are made in accordance with Section 1009;</w:t>
      </w:r>
    </w:p>
    <w:p>
      <w:pPr>
        <w:spacing w:after="0" w:line="170" w:lineRule="exact"/>
        <w:rPr>
          <w:rFonts w:ascii="Arial" w:cs="Arial" w:eastAsia="Arial" w:hAnsi="Arial"/>
          <w:sz w:val="14"/>
          <w:szCs w:val="14"/>
          <w:color w:val="auto"/>
        </w:rPr>
      </w:pPr>
    </w:p>
    <w:p>
      <w:pPr>
        <w:ind w:right="80" w:firstLine="499"/>
        <w:spacing w:after="0" w:line="268" w:lineRule="auto"/>
        <w:tabs>
          <w:tab w:leader="none" w:pos="100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138" w:lineRule="exact"/>
        <w:rPr>
          <w:rFonts w:ascii="Arial" w:cs="Arial" w:eastAsia="Arial" w:hAnsi="Arial"/>
          <w:sz w:val="14"/>
          <w:szCs w:val="14"/>
          <w:color w:val="auto"/>
        </w:rPr>
      </w:pPr>
    </w:p>
    <w:p>
      <w:pPr>
        <w:ind w:right="20" w:firstLine="499"/>
        <w:spacing w:after="0" w:line="268" w:lineRule="auto"/>
        <w:tabs>
          <w:tab w:leader="none" w:pos="100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38" w:lineRule="exact"/>
        <w:rPr>
          <w:rFonts w:ascii="Arial" w:cs="Arial" w:eastAsia="Arial" w:hAnsi="Arial"/>
          <w:sz w:val="14"/>
          <w:szCs w:val="14"/>
          <w:color w:val="auto"/>
        </w:rPr>
      </w:pPr>
    </w:p>
    <w:p>
      <w:pPr>
        <w:ind w:right="180" w:firstLine="499"/>
        <w:spacing w:after="0" w:line="254" w:lineRule="auto"/>
        <w:tabs>
          <w:tab w:leader="none" w:pos="100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48" w:lineRule="exact"/>
        <w:rPr>
          <w:rFonts w:ascii="Arial" w:cs="Arial" w:eastAsia="Arial" w:hAnsi="Arial"/>
          <w:sz w:val="14"/>
          <w:szCs w:val="14"/>
          <w:color w:val="auto"/>
        </w:rPr>
      </w:pPr>
    </w:p>
    <w:p>
      <w:pPr>
        <w:ind w:firstLine="499"/>
        <w:spacing w:after="0" w:line="268" w:lineRule="auto"/>
        <w:tabs>
          <w:tab w:leader="none" w:pos="100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pledging of Equity Interests of Unrestricted Subsidiaries;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transaction effected as part of a Permitted Factoring Transaction;</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any transaction where the only consideration paid by the Parent Guarantor or the relevant Restricted Subsidiary is Qualified Equity Interests of the Parent Guarantor;</w:t>
      </w:r>
    </w:p>
    <w:p>
      <w:pPr>
        <w:spacing w:after="0" w:line="182" w:lineRule="exact"/>
        <w:rPr>
          <w:rFonts w:ascii="Arial" w:cs="Arial" w:eastAsia="Arial" w:hAnsi="Arial"/>
          <w:sz w:val="13"/>
          <w:szCs w:val="13"/>
          <w:color w:val="auto"/>
        </w:rPr>
      </w:pPr>
    </w:p>
    <w:p>
      <w:pPr>
        <w:ind w:left="1000" w:hanging="501"/>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non-exclusive licenses of patents, copyrights, trademarks, trade secrets and other intellectual property;</w:t>
      </w:r>
    </w:p>
    <w:p>
      <w:pPr>
        <w:spacing w:after="0" w:line="170" w:lineRule="exact"/>
        <w:rPr>
          <w:rFonts w:ascii="Arial" w:cs="Arial" w:eastAsia="Arial" w:hAnsi="Arial"/>
          <w:sz w:val="14"/>
          <w:szCs w:val="14"/>
          <w:color w:val="auto"/>
        </w:rPr>
      </w:pPr>
    </w:p>
    <w:p>
      <w:pPr>
        <w:ind w:right="120" w:firstLine="499"/>
        <w:spacing w:after="0" w:line="258" w:lineRule="auto"/>
        <w:tabs>
          <w:tab w:leader="none" w:pos="99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director shall abstain from voting as a director of the Parent Guarantor on any matter involving such other Person; and</w:t>
      </w:r>
    </w:p>
    <w:p>
      <w:pPr>
        <w:spacing w:after="0" w:line="144" w:lineRule="exact"/>
        <w:rPr>
          <w:rFonts w:ascii="Arial" w:cs="Arial" w:eastAsia="Arial" w:hAnsi="Arial"/>
          <w:sz w:val="14"/>
          <w:szCs w:val="14"/>
          <w:color w:val="auto"/>
        </w:rPr>
      </w:pPr>
    </w:p>
    <w:p>
      <w:pPr>
        <w:ind w:left="1000" w:hanging="501"/>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agreements and transactions entered into or effected in connection with the payment of Related Taxes.</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40"/>
          </w:cols>
          <w:pgMar w:left="720" w:top="295" w:right="239" w:bottom="1440" w:gutter="0" w:footer="0" w:header="0"/>
        </w:sectPr>
      </w:pPr>
    </w:p>
    <w:bookmarkStart w:id="146" w:name="page147"/>
    <w:bookmarkEnd w:id="146"/>
    <w:p>
      <w:pPr>
        <w:spacing w:after="0"/>
        <w:tabs>
          <w:tab w:leader="none" w:pos="980" w:val="left"/>
        </w:tabs>
        <w:rPr>
          <w:sz w:val="20"/>
          <w:szCs w:val="20"/>
          <w:color w:val="auto"/>
        </w:rPr>
      </w:pPr>
      <w:r>
        <w:rPr>
          <w:rFonts w:ascii="Arial" w:cs="Arial" w:eastAsia="Arial" w:hAnsi="Arial"/>
          <w:sz w:val="14"/>
          <w:szCs w:val="14"/>
          <w:color w:val="auto"/>
        </w:rPr>
        <w:t>Section 1014.</w:t>
      </w:r>
      <w:r>
        <w:rPr>
          <w:sz w:val="20"/>
          <w:szCs w:val="20"/>
          <w:color w:val="auto"/>
        </w:rPr>
        <w:tab/>
      </w:r>
      <w:r>
        <w:rPr>
          <w:rFonts w:ascii="Arial" w:cs="Arial" w:eastAsia="Arial" w:hAnsi="Arial"/>
          <w:sz w:val="12"/>
          <w:szCs w:val="12"/>
          <w:u w:val="single" w:color="auto"/>
          <w:color w:val="auto"/>
        </w:rPr>
        <w:t>Additional Guarantees</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80" w:lineRule="auto"/>
        <w:rPr>
          <w:sz w:val="20"/>
          <w:szCs w:val="20"/>
          <w:color w:val="auto"/>
        </w:rPr>
      </w:pPr>
      <w:r>
        <w:rPr>
          <w:rFonts w:ascii="Arial" w:cs="Arial" w:eastAsia="Arial" w:hAnsi="Arial"/>
          <w:sz w:val="13"/>
          <w:szCs w:val="13"/>
          <w:color w:val="auto"/>
        </w:rPr>
        <w:t>If, after the Issue Date, any Restricted Subsidiary of the Parent Guarantor, other than the Issuer or a Guarantor, shall guarantee any Debt of the Parent Guarantor, the Issuer or any other Guarantor (excluding any Debt under a Credit Facility incurred pursuant to clause (1) of the definition of Permitted Indebtedness) in an aggregate principal amount in excess of $100.0 million, then the Parent Guarantor shall, within thirty (30) days thereof, cause such Restricted Subsidiary to execute and deliver to the Trustee a supplemental indenture substantially in the form of Annex E pursuant to which such Restricted Subsidiary shall become a Guarantor with respect to the Notes, upon the terms and subject to the release provisions and other limitations in Article Fourteen.</w:t>
      </w:r>
    </w:p>
    <w:p>
      <w:pPr>
        <w:spacing w:after="0" w:line="13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1015.</w:t>
      </w:r>
      <w:r>
        <w:rPr>
          <w:sz w:val="20"/>
          <w:szCs w:val="20"/>
          <w:color w:val="auto"/>
        </w:rPr>
        <w:tab/>
      </w:r>
      <w:r>
        <w:rPr>
          <w:rFonts w:ascii="Arial" w:cs="Arial" w:eastAsia="Arial" w:hAnsi="Arial"/>
          <w:sz w:val="12"/>
          <w:szCs w:val="12"/>
          <w:u w:val="single" w:color="auto"/>
          <w:color w:val="auto"/>
        </w:rPr>
        <w:t>Covenant Suspension</w:t>
      </w:r>
      <w:r>
        <w:rPr>
          <w:rFonts w:ascii="Arial" w:cs="Arial" w:eastAsia="Arial" w:hAnsi="Arial"/>
          <w:sz w:val="12"/>
          <w:szCs w:val="12"/>
          <w:color w:val="auto"/>
        </w:rPr>
        <w:t>.</w:t>
      </w:r>
    </w:p>
    <w:p>
      <w:pPr>
        <w:spacing w:after="0" w:line="171"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Following the first date that the Notes have an Investment Grade Rating and no Default or Event of Default has occurred and is then continuing, then upon delivery by the Issuer to the Trustee of an Officer’s Certificate to the foregoing effect and each day thereafter until a Reversion Date, if any (as described in this Section 1015), the following covenants (the “Suspended Covenants”) will be suspended and the Parent Guarantor and its Restricted Subsidiaries will no longer be subject to the Suspended Covenants:</w:t>
      </w:r>
    </w:p>
    <w:p>
      <w:pPr>
        <w:spacing w:after="0" w:line="145" w:lineRule="exact"/>
        <w:rPr>
          <w:sz w:val="20"/>
          <w:szCs w:val="20"/>
          <w:color w:val="auto"/>
        </w:rPr>
      </w:pPr>
    </w:p>
    <w:p>
      <w:pPr>
        <w:ind w:left="1500" w:hanging="501"/>
        <w:spacing w:after="0"/>
        <w:tabs>
          <w:tab w:leader="none" w:pos="15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1006;</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1008;</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1009;</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1011;</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1012;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1013</w:t>
      </w:r>
    </w:p>
    <w:p>
      <w:pPr>
        <w:spacing w:after="0" w:line="171"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During any period that the foregoing covenants have been suspended (each such period, a “Suspension Period”), the Issuer’s Board of Directors may not designate any of its Restricted Subsidiaries as Unrestricted Subsidiaries pursuant to Section 1006 and the definition of “Unrestricted Subsidiary.”</w:t>
      </w:r>
    </w:p>
    <w:p>
      <w:pPr>
        <w:spacing w:after="0" w:line="138"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Notwithstanding the foregoing, if the rating assigned by either Moody’s or S&amp;P should subsequently decline to below Baa3 or BBB- (or the equivalent under any successor ratings categories of Moody’s) or BBB- (or the equivalent under any successor ratings categories of S&amp;P), respectively, the Suspended Covenants will be reinstituted as of and from the date of such rating decline (such date, a “Reversion Date”) and on the Reversion Date and on each date thereafter (subject to the provisions of the first paragraph of Section 1015) the Issuer and the Restricted Subsidiaries shall be subject to (and shall be required to comply with) the Suspended Covenants.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47" w:name="page148"/>
    <w:bookmarkEnd w:id="147"/>
    <w:p>
      <w:pPr>
        <w:ind w:firstLine="498"/>
        <w:spacing w:after="0" w:line="271" w:lineRule="auto"/>
        <w:rPr>
          <w:sz w:val="20"/>
          <w:szCs w:val="20"/>
          <w:color w:val="auto"/>
        </w:rPr>
      </w:pPr>
      <w:r>
        <w:rPr>
          <w:rFonts w:ascii="Arial" w:cs="Arial" w:eastAsia="Arial" w:hAnsi="Arial"/>
          <w:sz w:val="13"/>
          <w:szCs w:val="13"/>
          <w:color w:val="auto"/>
        </w:rPr>
        <w:t xml:space="preserve">For purposes of calculating the amount available to be made as Restricted Payments under Section 1009(3), calculations under that clause will be made with reference to the date of the Restricted Payment, as set forth in that clause. Accordingly (x) Restricted Payments made during the Suspension Period that would not otherwise be permitted pursuant to any of clauses (1) through (12) of the second paragraph of Section 1009 will reduce the amount available to be made as Restricted Payments under Section 1009(3);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amount available to be made as a Restricted Payment shall not be reduced to below zero solely as a result of such Restricted Payments but may be reduced to below zero as a result of negative cumulative Consolidated Net Income during the Suspension Period for purposes of Section 1009(3)(a) and (y) the items specified in clauses (3)(a) through (d) of Section 1009 that occur during the Suspension Period will increase the amount available to be made as Restricted Payments under Section 1009(3). For purposes of Section 1012, on each Reversion Date, the unutilized Excess Proceeds will be reset to zero. No Default or Event of Default will be deemed to have occurred or exist on a Reversion Date (or thereafter) under any Suspended Covenant, solely as a result of, or as a result of the continued existence on or after a Reversion Date of facts and circumstances arising from, any actions taken by the Issuer or any Restricted Subsidiaries thereof, or events occurring, or performance on or after a Reversion Date of any obligations arising from transactions which occurred, during a Suspension Period.</w:t>
      </w:r>
    </w:p>
    <w:p>
      <w:pPr>
        <w:spacing w:after="0" w:line="14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1016.</w:t>
      </w:r>
      <w:r>
        <w:rPr>
          <w:sz w:val="20"/>
          <w:szCs w:val="20"/>
          <w:color w:val="auto"/>
        </w:rPr>
        <w:tab/>
      </w:r>
      <w:r>
        <w:rPr>
          <w:rFonts w:ascii="Arial" w:cs="Arial" w:eastAsia="Arial" w:hAnsi="Arial"/>
          <w:sz w:val="12"/>
          <w:szCs w:val="12"/>
          <w:u w:val="single" w:color="auto"/>
          <w:color w:val="auto"/>
        </w:rPr>
        <w:t>Maintenance of Ratings</w:t>
      </w:r>
      <w:r>
        <w:rPr>
          <w:rFonts w:ascii="Arial" w:cs="Arial" w:eastAsia="Arial" w:hAnsi="Arial"/>
          <w:sz w:val="12"/>
          <w:szCs w:val="12"/>
          <w:color w:val="auto"/>
        </w:rPr>
        <w:t>.</w:t>
      </w:r>
    </w:p>
    <w:p>
      <w:pPr>
        <w:spacing w:after="0" w:line="171" w:lineRule="exact"/>
        <w:rPr>
          <w:sz w:val="20"/>
          <w:szCs w:val="20"/>
          <w:color w:val="auto"/>
        </w:rPr>
      </w:pPr>
    </w:p>
    <w:p>
      <w:pPr>
        <w:ind w:right="180" w:firstLine="498"/>
        <w:spacing w:after="0" w:line="254" w:lineRule="auto"/>
        <w:rPr>
          <w:sz w:val="20"/>
          <w:szCs w:val="20"/>
          <w:color w:val="auto"/>
        </w:rPr>
      </w:pPr>
      <w:r>
        <w:rPr>
          <w:rFonts w:ascii="Arial" w:cs="Arial" w:eastAsia="Arial" w:hAnsi="Arial"/>
          <w:sz w:val="14"/>
          <w:szCs w:val="14"/>
          <w:color w:val="auto"/>
        </w:rPr>
        <w:t>Use commercially reasonable efforts to (i) obtain a rating of the Notes (but not obtain a specific rating) from each Ratings Agency within 90 days after the Closing Date and (ii) [maintain a public corporate family rating of the [Issuer] and maintain the rating of the Notes obtained in accordance with the immediately preceding clause (i) (but not maintain a specific rating), in each case from each Ratings Agency (it being understood and agreed that “commercially reasonable efforts” shall in any event include the payment by the [Issuers] of customary rating agency fees and cooperation with information and data requests by each Ratings Agency in connection with their ratings process)].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ELEVEN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REDEMPTION OF NOTES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1101.</w:t>
      </w:r>
      <w:r>
        <w:rPr>
          <w:sz w:val="20"/>
          <w:szCs w:val="20"/>
          <w:color w:val="auto"/>
        </w:rPr>
        <w:tab/>
      </w:r>
      <w:r>
        <w:rPr>
          <w:rFonts w:ascii="Arial" w:cs="Arial" w:eastAsia="Arial" w:hAnsi="Arial"/>
          <w:sz w:val="13"/>
          <w:szCs w:val="13"/>
          <w:u w:val="single" w:color="auto"/>
          <w:color w:val="auto"/>
        </w:rPr>
        <w:t>Applicability of Article</w:t>
      </w:r>
      <w:r>
        <w:rPr>
          <w:rFonts w:ascii="Arial" w:cs="Arial" w:eastAsia="Arial" w:hAnsi="Arial"/>
          <w:sz w:val="13"/>
          <w:szCs w:val="13"/>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Notes shall be redeemable at the election of the Issuer in accordance with their terms and in accordance with this Article.</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1102.</w:t>
      </w:r>
      <w:r>
        <w:rPr>
          <w:sz w:val="20"/>
          <w:szCs w:val="20"/>
          <w:color w:val="auto"/>
        </w:rPr>
        <w:tab/>
      </w:r>
      <w:r>
        <w:rPr>
          <w:rFonts w:ascii="Arial" w:cs="Arial" w:eastAsia="Arial" w:hAnsi="Arial"/>
          <w:sz w:val="12"/>
          <w:szCs w:val="12"/>
          <w:u w:val="single" w:color="auto"/>
          <w:color w:val="auto"/>
        </w:rPr>
        <w:t>Election to Redeem; Notice to Trustee</w:t>
      </w:r>
      <w:r>
        <w:rPr>
          <w:rFonts w:ascii="Arial" w:cs="Arial" w:eastAsia="Arial" w:hAnsi="Arial"/>
          <w:sz w:val="12"/>
          <w:szCs w:val="12"/>
          <w:color w:val="auto"/>
        </w:rPr>
        <w:t>.</w:t>
      </w:r>
    </w:p>
    <w:p>
      <w:pPr>
        <w:spacing w:after="0" w:line="171" w:lineRule="exact"/>
        <w:rPr>
          <w:sz w:val="20"/>
          <w:szCs w:val="20"/>
          <w:color w:val="auto"/>
        </w:rPr>
      </w:pPr>
    </w:p>
    <w:p>
      <w:pPr>
        <w:jc w:val="both"/>
        <w:ind w:right="400" w:firstLine="498"/>
        <w:spacing w:after="0" w:line="287" w:lineRule="auto"/>
        <w:rPr>
          <w:sz w:val="20"/>
          <w:szCs w:val="20"/>
          <w:color w:val="auto"/>
        </w:rPr>
      </w:pPr>
      <w:r>
        <w:rPr>
          <w:rFonts w:ascii="Arial" w:cs="Arial" w:eastAsia="Arial" w:hAnsi="Arial"/>
          <w:sz w:val="13"/>
          <w:szCs w:val="13"/>
          <w:color w:val="auto"/>
        </w:rPr>
        <w:t>In case of any redemption of less than all Notes, the Issuer shall, at least 5 Business Days prior to the last date a notice of redemption may be provided to Holders under Section 1105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color w:val="auto"/>
        </w:rPr>
        <w:t>prior to giving notice of such redemption, with an Officers’ Certificate evidencing compliance with such restriction.</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1103.</w:t>
      </w:r>
      <w:r>
        <w:rPr>
          <w:sz w:val="20"/>
          <w:szCs w:val="20"/>
          <w:color w:val="auto"/>
        </w:rPr>
        <w:tab/>
      </w:r>
      <w:r>
        <w:rPr>
          <w:rFonts w:ascii="Arial" w:cs="Arial" w:eastAsia="Arial" w:hAnsi="Arial"/>
          <w:sz w:val="12"/>
          <w:szCs w:val="12"/>
          <w:u w:val="single" w:color="auto"/>
          <w:color w:val="auto"/>
        </w:rPr>
        <w:t>Optional Redemption</w:t>
      </w:r>
      <w:r>
        <w:rPr>
          <w:rFonts w:ascii="Arial" w:cs="Arial" w:eastAsia="Arial" w:hAnsi="Arial"/>
          <w:sz w:val="12"/>
          <w:szCs w:val="12"/>
          <w:color w:val="auto"/>
        </w:rPr>
        <w:t>.</w:t>
      </w:r>
    </w:p>
    <w:p>
      <w:pPr>
        <w:spacing w:after="0" w:line="171" w:lineRule="exact"/>
        <w:rPr>
          <w:sz w:val="20"/>
          <w:szCs w:val="20"/>
          <w:color w:val="auto"/>
        </w:rPr>
      </w:pPr>
    </w:p>
    <w:p>
      <w:pPr>
        <w:ind w:firstLine="999"/>
        <w:spacing w:after="0" w:line="310" w:lineRule="auto"/>
        <w:tabs>
          <w:tab w:leader="none" w:pos="1491"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Except as set forth in clauses (b), (c) and (d) of this Section 1103, the Issuer shall not have the option to redeem the Notes pursuant to this Section 1103 prior to [·], 2021. On or after [·],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the applicable redemption date (subject to the right of Holders of record on the relevant record date to receive interest due on an interest payment date that is on or prior to the redemption date), if redeemed during the twelve-month period beginning on [·] of the years indicated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880" w:type="dxa"/>
            <w:vAlign w:val="bottom"/>
            <w:gridSpan w:val="2"/>
          </w:tcPr>
          <w:p>
            <w:pPr>
              <w:spacing w:after="0"/>
              <w:rPr>
                <w:sz w:val="20"/>
                <w:szCs w:val="20"/>
                <w:color w:val="auto"/>
              </w:rPr>
            </w:pPr>
            <w:r>
              <w:rPr>
                <w:rFonts w:ascii="Arial" w:cs="Arial" w:eastAsia="Arial" w:hAnsi="Arial"/>
                <w:sz w:val="11"/>
                <w:szCs w:val="11"/>
                <w:b w:val="1"/>
                <w:bCs w:val="1"/>
                <w:color w:val="auto"/>
              </w:rPr>
              <w:t>YEAR</w:t>
            </w:r>
          </w:p>
        </w:tc>
        <w:tc>
          <w:tcPr>
            <w:tcW w:w="14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PERCENTAGE</w:t>
            </w:r>
          </w:p>
        </w:tc>
      </w:tr>
      <w:tr>
        <w:trPr>
          <w:trHeight w:val="156"/>
        </w:trPr>
        <w:tc>
          <w:tcPr>
            <w:tcW w:w="6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105.500%</w:t>
            </w:r>
          </w:p>
        </w:tc>
      </w:tr>
      <w:tr>
        <w:trPr>
          <w:trHeight w:val="166"/>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102.750%</w:t>
            </w:r>
          </w:p>
        </w:tc>
      </w:tr>
      <w:tr>
        <w:trPr>
          <w:trHeight w:val="166"/>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2023 and thereafter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r>
    </w:tbl>
    <w:p>
      <w:pPr>
        <w:spacing w:after="0" w:line="155" w:lineRule="exact"/>
        <w:rPr>
          <w:sz w:val="20"/>
          <w:szCs w:val="20"/>
          <w:color w:val="auto"/>
        </w:rPr>
      </w:pPr>
    </w:p>
    <w:p>
      <w:pPr>
        <w:jc w:val="both"/>
        <w:ind w:right="500" w:firstLine="999"/>
        <w:spacing w:after="0" w:line="321" w:lineRule="auto"/>
        <w:tabs>
          <w:tab w:leader="none" w:pos="1499" w:val="left"/>
        </w:tabs>
        <w:numPr>
          <w:ilvl w:val="1"/>
          <w:numId w:val="118"/>
        </w:numPr>
        <w:rPr>
          <w:rFonts w:ascii="Arial" w:cs="Arial" w:eastAsia="Arial" w:hAnsi="Arial"/>
          <w:sz w:val="12"/>
          <w:szCs w:val="12"/>
          <w:color w:val="auto"/>
        </w:rPr>
      </w:pPr>
      <w:r>
        <w:rPr>
          <w:rFonts w:ascii="Arial" w:cs="Arial" w:eastAsia="Arial" w:hAnsi="Arial"/>
          <w:sz w:val="12"/>
          <w:szCs w:val="12"/>
          <w:color w:val="auto"/>
        </w:rPr>
        <w:t>Notwithstanding the provisions of clause (a) of this Section 1103, at any time prior to [·], 2022, the Issuer may on one or more occasions redeem up to $500 million in the aggregate principal amount of Notes issued under the Indenture at a redemption price of 103% of the principal amount of the Notes redeemed, plus accrued and unpaid interest, if any, thereon to the redemption date (subject to the right of Holders of record on the relevant record date to receive interest due on an interest payment date that is on or prior to the redemption date).</w:t>
      </w:r>
    </w:p>
    <w:p>
      <w:pPr>
        <w:spacing w:after="0" w:line="110" w:lineRule="exact"/>
        <w:rPr>
          <w:rFonts w:ascii="Arial" w:cs="Arial" w:eastAsia="Arial" w:hAnsi="Arial"/>
          <w:sz w:val="12"/>
          <w:szCs w:val="12"/>
          <w:color w:val="auto"/>
        </w:rPr>
      </w:pPr>
    </w:p>
    <w:p>
      <w:pPr>
        <w:ind w:left="1500" w:hanging="501"/>
        <w:spacing w:after="0"/>
        <w:tabs>
          <w:tab w:leader="none" w:pos="150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Prior to [  ], 2021, the Issuer may redeem on one or more occasions all or part of the Notes at a redemption price equal to the sum of:</w:t>
      </w:r>
    </w:p>
    <w:p>
      <w:pPr>
        <w:spacing w:after="0" w:line="170" w:lineRule="exact"/>
        <w:rPr>
          <w:rFonts w:ascii="Arial" w:cs="Arial" w:eastAsia="Arial" w:hAnsi="Arial"/>
          <w:sz w:val="14"/>
          <w:szCs w:val="14"/>
          <w:color w:val="auto"/>
        </w:rPr>
      </w:pPr>
    </w:p>
    <w:p>
      <w:pPr>
        <w:ind w:left="660" w:hanging="159"/>
        <w:spacing w:after="0"/>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principal amount thereof, plus</w:t>
      </w:r>
    </w:p>
    <w:p>
      <w:pPr>
        <w:spacing w:after="0" w:line="170" w:lineRule="exact"/>
        <w:rPr>
          <w:rFonts w:ascii="Arial" w:cs="Arial" w:eastAsia="Arial" w:hAnsi="Arial"/>
          <w:sz w:val="14"/>
          <w:szCs w:val="14"/>
          <w:color w:val="auto"/>
        </w:rPr>
      </w:pPr>
    </w:p>
    <w:p>
      <w:pPr>
        <w:ind w:left="700" w:hanging="199"/>
        <w:spacing w:after="0"/>
        <w:tabs>
          <w:tab w:leader="none" w:pos="7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Make Whole Premium at the redemption date, plus</w:t>
      </w:r>
    </w:p>
    <w:p>
      <w:pPr>
        <w:spacing w:after="0" w:line="170" w:lineRule="exact"/>
        <w:rPr>
          <w:rFonts w:ascii="Arial" w:cs="Arial" w:eastAsia="Arial" w:hAnsi="Arial"/>
          <w:sz w:val="14"/>
          <w:szCs w:val="14"/>
          <w:color w:val="auto"/>
        </w:rPr>
      </w:pPr>
    </w:p>
    <w:p>
      <w:pPr>
        <w:ind w:left="500" w:right="180" w:firstLine="1"/>
        <w:spacing w:after="0" w:line="268" w:lineRule="auto"/>
        <w:tabs>
          <w:tab w:leader="none" w:pos="742"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accrued and unpaid interest, if any, to the redemption date (subject to the right of Holders of record on the relevant record date to receive interest due on an interest payment date that is on or prior to the redemption date).</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The Notes may be redeemed, as a whole, following certain Change of Control Offers pursuant to Section 1007, at the Redemption Price and subject to the conditions set forth in</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such Section.</w:t>
      </w:r>
    </w:p>
    <w:p>
      <w:pPr>
        <w:spacing w:after="0" w:line="161" w:lineRule="exact"/>
        <w:rPr>
          <w:rFonts w:ascii="Arial" w:cs="Arial" w:eastAsia="Arial" w:hAnsi="Arial"/>
          <w:sz w:val="12"/>
          <w:szCs w:val="12"/>
          <w:color w:val="auto"/>
        </w:rPr>
      </w:pPr>
    </w:p>
    <w:p>
      <w:pPr>
        <w:ind w:right="380" w:firstLine="999"/>
        <w:spacing w:after="0" w:line="268" w:lineRule="auto"/>
        <w:tabs>
          <w:tab w:leader="none" w:pos="1502" w:val="left"/>
        </w:tabs>
        <w:numPr>
          <w:ilvl w:val="1"/>
          <w:numId w:val="119"/>
        </w:numPr>
        <w:rPr>
          <w:rFonts w:ascii="Arial" w:cs="Arial" w:eastAsia="Arial" w:hAnsi="Arial"/>
          <w:sz w:val="14"/>
          <w:szCs w:val="14"/>
          <w:color w:val="auto"/>
        </w:rPr>
      </w:pPr>
      <w:r>
        <w:rPr>
          <w:rFonts w:ascii="Arial" w:cs="Arial" w:eastAsia="Arial" w:hAnsi="Arial"/>
          <w:sz w:val="14"/>
          <w:szCs w:val="14"/>
          <w:color w:val="auto"/>
        </w:rPr>
        <w:t>If a Redemption Date is after a record date and on or before the next Interest Payment Date, then (i) the Holder of a Note at the close of business on such record date will be entitled, notwithstanding such redemption, to receive, on such Redemption Date, the</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auto"/>
        </w:rPr>
        <w:t>unpaid interest that would have accrued on such Note to such Redemption Date and (ii) the Redemption Price will not include accrued and unpaid interest on such Note to such Redemption Date.</w:t>
      </w:r>
    </w:p>
    <w:p>
      <w:pPr>
        <w:spacing w:after="0" w:line="182" w:lineRule="exact"/>
        <w:rPr>
          <w:sz w:val="20"/>
          <w:szCs w:val="20"/>
          <w:color w:val="auto"/>
        </w:rPr>
      </w:pPr>
    </w:p>
    <w:p>
      <w:pPr>
        <w:ind w:right="120" w:firstLine="999"/>
        <w:spacing w:after="0" w:line="268" w:lineRule="auto"/>
        <w:tabs>
          <w:tab w:leader="none" w:pos="149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38" w:lineRule="exact"/>
        <w:rPr>
          <w:rFonts w:ascii="Arial" w:cs="Arial" w:eastAsia="Arial" w:hAnsi="Arial"/>
          <w:sz w:val="14"/>
          <w:szCs w:val="14"/>
          <w:color w:val="auto"/>
        </w:rPr>
      </w:pPr>
    </w:p>
    <w:p>
      <w:pPr>
        <w:ind w:firstLine="999"/>
        <w:spacing w:after="0" w:line="307" w:lineRule="auto"/>
        <w:tabs>
          <w:tab w:leader="none" w:pos="151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Notwithstanding anything to the contrary in this Section 1103,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1104.</w:t>
      </w:r>
      <w:r>
        <w:rPr>
          <w:sz w:val="20"/>
          <w:szCs w:val="20"/>
          <w:color w:val="auto"/>
        </w:rPr>
        <w:tab/>
      </w:r>
      <w:r>
        <w:rPr>
          <w:rFonts w:ascii="Arial" w:cs="Arial" w:eastAsia="Arial" w:hAnsi="Arial"/>
          <w:sz w:val="12"/>
          <w:szCs w:val="12"/>
          <w:u w:val="single" w:color="auto"/>
          <w:color w:val="auto"/>
        </w:rPr>
        <w:t>Selection by Trustee of Notes to Be Redeemed</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54" w:lineRule="auto"/>
        <w:rPr>
          <w:sz w:val="20"/>
          <w:szCs w:val="20"/>
          <w:color w:val="auto"/>
        </w:rPr>
      </w:pPr>
      <w:r>
        <w:rPr>
          <w:rFonts w:ascii="Arial" w:cs="Arial" w:eastAsia="Arial" w:hAnsi="Arial"/>
          <w:sz w:val="14"/>
          <w:szCs w:val="14"/>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Notes of a principal amount of $2,000 in original principal amount or less shall be redeemed in part.</w:t>
      </w:r>
    </w:p>
    <w:p>
      <w:pPr>
        <w:spacing w:after="0" w:line="148"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1105.</w:t>
      </w:r>
      <w:r>
        <w:rPr>
          <w:sz w:val="20"/>
          <w:szCs w:val="20"/>
          <w:color w:val="auto"/>
        </w:rPr>
        <w:tab/>
      </w:r>
      <w:r>
        <w:rPr>
          <w:rFonts w:ascii="Arial" w:cs="Arial" w:eastAsia="Arial" w:hAnsi="Arial"/>
          <w:sz w:val="12"/>
          <w:szCs w:val="12"/>
          <w:u w:val="single" w:color="auto"/>
          <w:color w:val="auto"/>
        </w:rPr>
        <w:t>Notice of Redemption</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310" w:lineRule="auto"/>
        <w:rPr>
          <w:sz w:val="20"/>
          <w:szCs w:val="20"/>
          <w:color w:val="auto"/>
        </w:rPr>
      </w:pPr>
      <w:r>
        <w:rPr>
          <w:rFonts w:ascii="Arial" w:cs="Arial" w:eastAsia="Arial" w:hAnsi="Arial"/>
          <w:sz w:val="12"/>
          <w:szCs w:val="12"/>
          <w:color w:val="auto"/>
        </w:rPr>
        <w:t>Notice of redemption shall be given by first-class mail, postage prepaid, mailed (or, in the case of any notice to the Holder of a Global Note, sent electronically in accordance with the Depositary’s procedures) not less than 30 nor more than 60 days prior to the Redemption Date, to (i) each Holder of Notes to be redeemed, at its address appearing in the Security Register and (ii) in the case of any redemption pursuant to Section 1103(d), to any beneficial owner of an interest in a Global Note, if required by applicable law, except that redemption notices may be sent more than 60 days prior to a Redemption Date if the notice is issued in connection with a Legal Defeasance or Covenant Defeasance of the Notes or a satisfaction and discharge of the Indenture pursuant to Article Four.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notices of redemption shall state:</w:t>
      </w:r>
    </w:p>
    <w:p>
      <w:pPr>
        <w:spacing w:after="0" w:line="171" w:lineRule="exact"/>
        <w:rPr>
          <w:sz w:val="20"/>
          <w:szCs w:val="20"/>
          <w:color w:val="auto"/>
        </w:rPr>
      </w:pPr>
    </w:p>
    <w:p>
      <w:pPr>
        <w:ind w:left="1500" w:hanging="501"/>
        <w:spacing w:after="0"/>
        <w:tabs>
          <w:tab w:leader="none" w:pos="1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Redemption Date,</w:t>
      </w:r>
    </w:p>
    <w:p>
      <w:pPr>
        <w:spacing w:after="0" w:line="170" w:lineRule="exact"/>
        <w:rPr>
          <w:rFonts w:ascii="Arial" w:cs="Arial" w:eastAsia="Arial" w:hAnsi="Arial"/>
          <w:sz w:val="14"/>
          <w:szCs w:val="14"/>
          <w:color w:val="auto"/>
        </w:rPr>
      </w:pPr>
    </w:p>
    <w:p>
      <w:pPr>
        <w:ind w:left="5660" w:right="4940" w:hanging="4661"/>
        <w:spacing w:after="0" w:line="574" w:lineRule="auto"/>
        <w:tabs>
          <w:tab w:leader="none" w:pos="149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Redemption Price, if then determined and otherwise the manner of calculation thereof,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974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50" w:name="page151"/>
    <w:bookmarkEnd w:id="150"/>
    <w:p>
      <w:pPr>
        <w:ind w:left="1500" w:hanging="501"/>
        <w:spacing w:after="0"/>
        <w:tabs>
          <w:tab w:leader="none" w:pos="1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if less than all the Outstanding Notes are to be redeemed, the identification (and, in the case of partial redemption of any such Notes, the principal amounts) of the particular Notes</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to be redeemed,</w:t>
      </w:r>
    </w:p>
    <w:p>
      <w:pPr>
        <w:spacing w:after="0" w:line="161" w:lineRule="exact"/>
        <w:rPr>
          <w:rFonts w:ascii="Arial" w:cs="Arial" w:eastAsia="Arial" w:hAnsi="Arial"/>
          <w:sz w:val="12"/>
          <w:szCs w:val="12"/>
          <w:color w:val="auto"/>
        </w:rPr>
      </w:pPr>
    </w:p>
    <w:p>
      <w:pPr>
        <w:ind w:left="1500" w:hanging="501"/>
        <w:spacing w:after="0"/>
        <w:tabs>
          <w:tab w:leader="none" w:pos="1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that on the Redemption Date the Redemption Price will become due and payable upon each such Note be redeemed and that interest thereon will cease to accrue on and after said</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date,</w:t>
      </w:r>
    </w:p>
    <w:p>
      <w:pPr>
        <w:spacing w:after="0" w:line="161" w:lineRule="exact"/>
        <w:rPr>
          <w:rFonts w:ascii="Arial" w:cs="Arial" w:eastAsia="Arial" w:hAnsi="Arial"/>
          <w:sz w:val="12"/>
          <w:szCs w:val="12"/>
          <w:color w:val="auto"/>
        </w:rPr>
      </w:pPr>
    </w:p>
    <w:p>
      <w:pPr>
        <w:ind w:left="1500" w:hanging="501"/>
        <w:spacing w:after="0"/>
        <w:tabs>
          <w:tab w:leader="none" w:pos="15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place or places where each such Note is to be surrendered for payment of the Redemption Price,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CUSIP/ISIN numbers of the Notes;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any conditions precedent for the redemption or notice of redemption.</w:t>
      </w:r>
    </w:p>
    <w:p>
      <w:pPr>
        <w:spacing w:after="0" w:line="171"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Notice of redemption of Notes to be redeemed at the election of the Issuer shall be given by the Issuer or, at the Issuer’s request, by the Trustee in the name and at the expense of the Issuer and shall be irrevocable. Any redemption or notice of redemption may, at the Issuer’s discretion, be subject to one or more conditions precedent.</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1106.</w:t>
      </w:r>
      <w:r>
        <w:rPr>
          <w:sz w:val="20"/>
          <w:szCs w:val="20"/>
          <w:color w:val="auto"/>
        </w:rPr>
        <w:tab/>
      </w:r>
      <w:r>
        <w:rPr>
          <w:rFonts w:ascii="Arial" w:cs="Arial" w:eastAsia="Arial" w:hAnsi="Arial"/>
          <w:sz w:val="12"/>
          <w:szCs w:val="12"/>
          <w:u w:val="single" w:color="auto"/>
          <w:color w:val="auto"/>
        </w:rPr>
        <w:t>Deposit of Redemption Price</w:t>
      </w:r>
      <w:r>
        <w:rPr>
          <w:rFonts w:ascii="Arial" w:cs="Arial" w:eastAsia="Arial" w:hAnsi="Arial"/>
          <w:sz w:val="12"/>
          <w:szCs w:val="12"/>
          <w:color w:val="auto"/>
        </w:rPr>
        <w:t>.</w:t>
      </w:r>
    </w:p>
    <w:p>
      <w:pPr>
        <w:spacing w:after="0" w:line="171"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Prior to 11:00 a.m., New York City time, on any Redemption Date, the Issuer shall deposit with the Trustee or with a Paying Agent (or, if the Issuer or a Subsidiary is acting as its own Paying Agent, segregate and hold in trust as provided in Section 1003) an amount of money sufficient to pay the Redemption Price of, and (except if the Redemption Date shall be an Interest Payment Date) accrued interest on, all the Notes which are to be redeemed on that date.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1107.</w:t>
      </w:r>
      <w:r>
        <w:rPr>
          <w:sz w:val="20"/>
          <w:szCs w:val="20"/>
          <w:color w:val="auto"/>
        </w:rPr>
        <w:tab/>
      </w:r>
      <w:r>
        <w:rPr>
          <w:rFonts w:ascii="Arial" w:cs="Arial" w:eastAsia="Arial" w:hAnsi="Arial"/>
          <w:sz w:val="12"/>
          <w:szCs w:val="12"/>
          <w:u w:val="single" w:color="auto"/>
          <w:color w:val="auto"/>
        </w:rPr>
        <w:t>Notes Payable on Redemption Date</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321" w:lineRule="auto"/>
        <w:rPr>
          <w:sz w:val="20"/>
          <w:szCs w:val="20"/>
          <w:color w:val="auto"/>
        </w:rPr>
      </w:pPr>
      <w:r>
        <w:rPr>
          <w:rFonts w:ascii="Arial" w:cs="Arial" w:eastAsia="Arial" w:hAnsi="Arial"/>
          <w:sz w:val="12"/>
          <w:szCs w:val="12"/>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1103(e).</w:t>
      </w:r>
    </w:p>
    <w:p>
      <w:pPr>
        <w:spacing w:after="0" w:line="110" w:lineRule="exact"/>
        <w:rPr>
          <w:sz w:val="20"/>
          <w:szCs w:val="20"/>
          <w:color w:val="auto"/>
        </w:rPr>
      </w:pPr>
    </w:p>
    <w:p>
      <w:pPr>
        <w:ind w:right="360" w:firstLine="498"/>
        <w:spacing w:after="0" w:line="268" w:lineRule="auto"/>
        <w:rPr>
          <w:sz w:val="20"/>
          <w:szCs w:val="20"/>
          <w:color w:val="auto"/>
        </w:rPr>
      </w:pPr>
      <w:r>
        <w:rPr>
          <w:rFonts w:ascii="Arial" w:cs="Arial" w:eastAsia="Arial" w:hAnsi="Arial"/>
          <w:sz w:val="14"/>
          <w:szCs w:val="14"/>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1108.</w:t>
      </w:r>
      <w:r>
        <w:rPr>
          <w:sz w:val="20"/>
          <w:szCs w:val="20"/>
          <w:color w:val="auto"/>
        </w:rPr>
        <w:tab/>
      </w:r>
      <w:r>
        <w:rPr>
          <w:rFonts w:ascii="Arial" w:cs="Arial" w:eastAsia="Arial" w:hAnsi="Arial"/>
          <w:sz w:val="12"/>
          <w:szCs w:val="12"/>
          <w:u w:val="single" w:color="auto"/>
          <w:color w:val="auto"/>
        </w:rPr>
        <w:t>Notes Redeemed in Part</w:t>
      </w:r>
      <w:r>
        <w:rPr>
          <w:rFonts w:ascii="Arial" w:cs="Arial" w:eastAsia="Arial" w:hAnsi="Arial"/>
          <w:sz w:val="12"/>
          <w:szCs w:val="12"/>
          <w:color w:val="auto"/>
        </w:rPr>
        <w:t>.</w:t>
      </w:r>
    </w:p>
    <w:p>
      <w:pPr>
        <w:spacing w:after="0" w:line="171" w:lineRule="exact"/>
        <w:rPr>
          <w:sz w:val="20"/>
          <w:szCs w:val="20"/>
          <w:color w:val="auto"/>
        </w:rPr>
      </w:pPr>
    </w:p>
    <w:p>
      <w:pPr>
        <w:ind w:right="380" w:firstLine="498"/>
        <w:spacing w:after="0" w:line="268" w:lineRule="auto"/>
        <w:rPr>
          <w:sz w:val="20"/>
          <w:szCs w:val="20"/>
          <w:color w:val="auto"/>
        </w:rPr>
      </w:pPr>
      <w:r>
        <w:rPr>
          <w:rFonts w:ascii="Arial" w:cs="Arial" w:eastAsia="Arial" w:hAnsi="Arial"/>
          <w:sz w:val="14"/>
          <w:szCs w:val="14"/>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1" w:name="page152"/>
    <w:bookmarkEnd w:id="151"/>
    <w:p>
      <w:pPr>
        <w:ind w:right="60"/>
        <w:spacing w:after="0" w:line="353" w:lineRule="auto"/>
        <w:rPr>
          <w:sz w:val="20"/>
          <w:szCs w:val="20"/>
          <w:color w:val="auto"/>
        </w:rPr>
      </w:pPr>
      <w:r>
        <w:rPr>
          <w:rFonts w:ascii="Arial" w:cs="Arial" w:eastAsia="Arial" w:hAnsi="Arial"/>
          <w:sz w:val="12"/>
          <w:szCs w:val="12"/>
          <w:color w:val="auto"/>
        </w:rPr>
        <w:t>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TWELVE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SINKING FUND; OTHER ACQUISITIONS OF NOTES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1201.</w:t>
      </w:r>
      <w:r>
        <w:rPr>
          <w:sz w:val="20"/>
          <w:szCs w:val="20"/>
          <w:color w:val="auto"/>
        </w:rPr>
        <w:tab/>
      </w:r>
      <w:r>
        <w:rPr>
          <w:rFonts w:ascii="Arial" w:cs="Arial" w:eastAsia="Arial" w:hAnsi="Arial"/>
          <w:sz w:val="12"/>
          <w:szCs w:val="12"/>
          <w:u w:val="single" w:color="auto"/>
          <w:color w:val="auto"/>
        </w:rPr>
        <w:t>Mandatory Redemption, Etc.</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Issuer will not be required to make mandatory redemption or sinking fund payments with respect to the Notes. The Issuer may purchase Notes in the market from time to time in its discretion.</w:t>
      </w:r>
    </w:p>
    <w:p>
      <w:pPr>
        <w:spacing w:after="0" w:line="194" w:lineRule="exact"/>
        <w:rPr>
          <w:sz w:val="20"/>
          <w:szCs w:val="20"/>
          <w:color w:val="auto"/>
        </w:rPr>
      </w:pPr>
    </w:p>
    <w:p>
      <w:pPr>
        <w:ind w:right="460" w:firstLine="498"/>
        <w:spacing w:after="0" w:line="268" w:lineRule="auto"/>
        <w:rPr>
          <w:sz w:val="20"/>
          <w:szCs w:val="20"/>
          <w:color w:val="auto"/>
        </w:rPr>
      </w:pPr>
      <w:r>
        <w:rPr>
          <w:rFonts w:ascii="Arial" w:cs="Arial" w:eastAsia="Arial" w:hAnsi="Arial"/>
          <w:sz w:val="14"/>
          <w:szCs w:val="14"/>
          <w:color w:val="auto"/>
        </w:rPr>
        <w:t>The Issuer may acquire Notes by means other than a redemption, whether pursuant to a tender offer, open market purchase, negotiated transaction or otherwise, in accordance with applicable securities laws.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THIRTEEN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DEFEASANCE AND COVENANT DEFEASANCE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1301.</w:t>
      </w:r>
      <w:r>
        <w:rPr>
          <w:sz w:val="20"/>
          <w:szCs w:val="20"/>
          <w:color w:val="auto"/>
        </w:rPr>
        <w:tab/>
      </w:r>
      <w:r>
        <w:rPr>
          <w:rFonts w:ascii="Arial" w:cs="Arial" w:eastAsia="Arial" w:hAnsi="Arial"/>
          <w:sz w:val="12"/>
          <w:szCs w:val="12"/>
          <w:u w:val="single" w:color="auto"/>
          <w:color w:val="auto"/>
        </w:rPr>
        <w:t>Issuer’s Option to Effect Legal Defeasance or Covenant Defeasance</w:t>
      </w:r>
      <w:r>
        <w:rPr>
          <w:rFonts w:ascii="Arial" w:cs="Arial" w:eastAsia="Arial" w:hAnsi="Arial"/>
          <w:sz w:val="12"/>
          <w:szCs w:val="12"/>
          <w:color w:val="auto"/>
        </w:rPr>
        <w:t>.</w:t>
      </w:r>
    </w:p>
    <w:p>
      <w:pPr>
        <w:spacing w:after="0" w:line="171" w:lineRule="exact"/>
        <w:rPr>
          <w:sz w:val="20"/>
          <w:szCs w:val="20"/>
          <w:color w:val="auto"/>
        </w:rPr>
      </w:pPr>
    </w:p>
    <w:p>
      <w:pPr>
        <w:ind w:right="280" w:firstLine="498"/>
        <w:spacing w:after="0" w:line="268" w:lineRule="auto"/>
        <w:rPr>
          <w:sz w:val="20"/>
          <w:szCs w:val="20"/>
          <w:color w:val="auto"/>
        </w:rPr>
      </w:pPr>
      <w:r>
        <w:rPr>
          <w:rFonts w:ascii="Arial" w:cs="Arial" w:eastAsia="Arial" w:hAnsi="Arial"/>
          <w:sz w:val="14"/>
          <w:szCs w:val="14"/>
          <w:color w:val="auto"/>
        </w:rPr>
        <w:t>The Issuer may elect, at its option at any time, to have Section 1302 or Section 1303 applied to the Notes, upon compliance with the conditions set forth below in this Article. Any such election shall be evidenced in or pursuant to a Board Resolution delivered to the Trustee.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1302.</w:t>
      </w:r>
      <w:r>
        <w:rPr>
          <w:sz w:val="20"/>
          <w:szCs w:val="20"/>
          <w:color w:val="auto"/>
        </w:rPr>
        <w:tab/>
      </w:r>
      <w:r>
        <w:rPr>
          <w:rFonts w:ascii="Arial" w:cs="Arial" w:eastAsia="Arial" w:hAnsi="Arial"/>
          <w:sz w:val="10"/>
          <w:szCs w:val="10"/>
          <w:u w:val="single" w:color="auto"/>
          <w:color w:val="auto"/>
        </w:rPr>
        <w:t>Defeasance and Discharge</w:t>
      </w:r>
      <w:r>
        <w:rPr>
          <w:rFonts w:ascii="Arial" w:cs="Arial" w:eastAsia="Arial" w:hAnsi="Arial"/>
          <w:sz w:val="10"/>
          <w:szCs w:val="10"/>
          <w:color w:val="auto"/>
        </w:rPr>
        <w:t>.</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1304 are satisfied (hereinafter called “Legal Defeasance”).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proper instruments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1304 and as more fully set forth in such Section, payments in respect of the principal of, and interest and premium, if any, on, the Notes when payments are due, (2) the Issuer’s obligations under Sections 304, 305, 306, 1002, 1003 and 1004(a) and its obligations under Section 314(a) of the Trust Indenture Act, (3) the rights, powers, trusts, duties and immunities of the Trustee hereunder and the obligations of the Issuer and the Guarantors in connection therewith and (4) this Article. If the Issuer exercises its defeasance option pursuant to this Section 1302, the payment of the defeased Notes may not be accelerated pursuant 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2" w:name="page153"/>
    <w:bookmarkEnd w:id="152"/>
    <w:p>
      <w:pPr>
        <w:ind w:right="100"/>
        <w:spacing w:after="0" w:line="268" w:lineRule="auto"/>
        <w:rPr>
          <w:sz w:val="20"/>
          <w:szCs w:val="20"/>
          <w:color w:val="auto"/>
        </w:rPr>
      </w:pPr>
      <w:r>
        <w:rPr>
          <w:rFonts w:ascii="Arial" w:cs="Arial" w:eastAsia="Arial" w:hAnsi="Arial"/>
          <w:sz w:val="14"/>
          <w:szCs w:val="14"/>
          <w:color w:val="auto"/>
        </w:rPr>
        <w:t>Section 502 because of an Event of Default. Subject to compliance with this Article, the Issuer may exercise its option (if any) to have this Section applied to the Notes notwithstanding the prior exercise of its option (if any) to have Section 1303 applied to the Notes.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1303.</w:t>
      </w:r>
      <w:r>
        <w:rPr>
          <w:sz w:val="20"/>
          <w:szCs w:val="20"/>
          <w:color w:val="auto"/>
        </w:rPr>
        <w:tab/>
      </w:r>
      <w:r>
        <w:rPr>
          <w:rFonts w:ascii="Arial" w:cs="Arial" w:eastAsia="Arial" w:hAnsi="Arial"/>
          <w:sz w:val="10"/>
          <w:szCs w:val="10"/>
          <w:u w:val="single" w:color="auto"/>
          <w:color w:val="auto"/>
        </w:rPr>
        <w:t>Covenant Defeasance</w:t>
      </w:r>
      <w:r>
        <w:rPr>
          <w:rFonts w:ascii="Arial" w:cs="Arial" w:eastAsia="Arial" w:hAnsi="Arial"/>
          <w:sz w:val="10"/>
          <w:szCs w:val="10"/>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Upon the Issuer’s exercise of its option to have this Section applied to the Notes, (1) the Issuer shall be released from its obligations under Section 801(3) and Sections 1006 through 1014, inclusive;</w:t>
      </w:r>
    </w:p>
    <w:p>
      <w:pPr>
        <w:spacing w:after="0" w:line="37" w:lineRule="exact"/>
        <w:rPr>
          <w:sz w:val="20"/>
          <w:szCs w:val="20"/>
          <w:color w:val="auto"/>
        </w:rPr>
      </w:pPr>
    </w:p>
    <w:p>
      <w:pPr>
        <w:ind w:firstLine="3"/>
        <w:spacing w:after="0" w:line="248" w:lineRule="auto"/>
        <w:tabs>
          <w:tab w:leader="none" w:pos="19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occurrence of any event specified in Sections 501(3) (with respect only to the obligation under Section 801(3)), 501(4), 501(5), 501(6), 501(7) (with respect only to Significant Subsidiaries) or 501(8) (with respect only to Significant Subsidiaries) and 501(9) shall be deemed not to be or to result in a Default or an Event of Default, and (3) the Guarantees shall be automatically released, in each case as provided in this Section on and after the date the conditions set forth in Section 1304 are satisfied (hereinafter called “Covenant Defeasance”). 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1304.</w:t>
      </w:r>
      <w:r>
        <w:rPr>
          <w:sz w:val="20"/>
          <w:szCs w:val="20"/>
          <w:color w:val="auto"/>
        </w:rPr>
        <w:tab/>
      </w:r>
      <w:r>
        <w:rPr>
          <w:rFonts w:ascii="Arial" w:cs="Arial" w:eastAsia="Arial" w:hAnsi="Arial"/>
          <w:sz w:val="12"/>
          <w:szCs w:val="12"/>
          <w:u w:val="single" w:color="auto"/>
          <w:color w:val="auto"/>
        </w:rPr>
        <w:t>Conditions to Legal Defeasance or Covenant Defeasance</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shall be the conditions to the application of Section 1302 or 1303:</w:t>
      </w:r>
    </w:p>
    <w:p>
      <w:pPr>
        <w:spacing w:after="0" w:line="171" w:lineRule="exact"/>
        <w:rPr>
          <w:sz w:val="20"/>
          <w:szCs w:val="20"/>
          <w:color w:val="auto"/>
        </w:rPr>
      </w:pPr>
    </w:p>
    <w:p>
      <w:pPr>
        <w:ind w:left="500" w:right="60" w:firstLine="499"/>
        <w:spacing w:after="0" w:line="254" w:lineRule="auto"/>
        <w:tabs>
          <w:tab w:leader="none" w:pos="150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48" w:lineRule="exact"/>
        <w:rPr>
          <w:rFonts w:ascii="Arial" w:cs="Arial" w:eastAsia="Arial" w:hAnsi="Arial"/>
          <w:sz w:val="14"/>
          <w:szCs w:val="14"/>
          <w:color w:val="auto"/>
        </w:rPr>
      </w:pPr>
    </w:p>
    <w:p>
      <w:pPr>
        <w:ind w:left="1500" w:hanging="501"/>
        <w:spacing w:after="0"/>
        <w:tabs>
          <w:tab w:leader="none" w:pos="15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in the case of Legal Defeasance, the Issuer shall have delivered to the Trustee an Opinion of Counsel in the United States confirming that:</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the Issuer has received from, or there has been published by the Internal Revenue Service, a ruling; or</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since the date of the Indenture, there has been a change in the applicable U.S. federal income tax law</w:t>
      </w:r>
    </w:p>
    <w:p>
      <w:pPr>
        <w:spacing w:after="0" w:line="171" w:lineRule="exact"/>
        <w:rPr>
          <w:sz w:val="20"/>
          <w:szCs w:val="20"/>
          <w:color w:val="auto"/>
        </w:rPr>
      </w:pPr>
    </w:p>
    <w:p>
      <w:pPr>
        <w:ind w:left="1000" w:right="100"/>
        <w:spacing w:after="0" w:line="268" w:lineRule="auto"/>
        <w:rPr>
          <w:sz w:val="20"/>
          <w:szCs w:val="20"/>
          <w:color w:val="auto"/>
        </w:rPr>
      </w:pPr>
      <w:r>
        <w:rPr>
          <w:rFonts w:ascii="Arial" w:cs="Arial" w:eastAsia="Arial" w:hAnsi="Arial"/>
          <w:sz w:val="14"/>
          <w:szCs w:val="14"/>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3" w:name="page154"/>
    <w:bookmarkEnd w:id="153"/>
    <w:p>
      <w:pPr>
        <w:ind w:left="1000"/>
        <w:spacing w:after="0"/>
        <w:rPr>
          <w:sz w:val="20"/>
          <w:szCs w:val="20"/>
          <w:color w:val="auto"/>
        </w:rPr>
      </w:pPr>
      <w:r>
        <w:rPr>
          <w:rFonts w:ascii="Arial" w:cs="Arial" w:eastAsia="Arial" w:hAnsi="Arial"/>
          <w:sz w:val="14"/>
          <w:szCs w:val="14"/>
          <w:color w:val="auto"/>
        </w:rPr>
        <w:t>in the same manner and at the same times as would have been the case if such Legal Defeasance had not occurred,</w:t>
      </w:r>
    </w:p>
    <w:p>
      <w:pPr>
        <w:spacing w:after="0" w:line="171" w:lineRule="exact"/>
        <w:rPr>
          <w:sz w:val="20"/>
          <w:szCs w:val="20"/>
          <w:color w:val="auto"/>
        </w:rPr>
      </w:pPr>
    </w:p>
    <w:p>
      <w:pPr>
        <w:jc w:val="both"/>
        <w:ind w:left="500" w:right="80" w:firstLine="499"/>
        <w:spacing w:after="0" w:line="287" w:lineRule="auto"/>
        <w:tabs>
          <w:tab w:leader="none" w:pos="1501"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27" w:lineRule="exact"/>
        <w:rPr>
          <w:rFonts w:ascii="Arial" w:cs="Arial" w:eastAsia="Arial" w:hAnsi="Arial"/>
          <w:sz w:val="13"/>
          <w:szCs w:val="13"/>
          <w:color w:val="auto"/>
        </w:rPr>
      </w:pPr>
    </w:p>
    <w:p>
      <w:pPr>
        <w:ind w:left="500" w:firstLine="499"/>
        <w:spacing w:after="0" w:line="268" w:lineRule="auto"/>
        <w:tabs>
          <w:tab w:leader="none" w:pos="1501" w:val="left"/>
        </w:tabs>
        <w:numPr>
          <w:ilvl w:val="1"/>
          <w:numId w:val="125"/>
        </w:numPr>
        <w:rPr>
          <w:rFonts w:ascii="Arial" w:cs="Arial" w:eastAsia="Arial" w:hAnsi="Arial"/>
          <w:sz w:val="14"/>
          <w:szCs w:val="14"/>
          <w:color w:val="auto"/>
        </w:rPr>
      </w:pPr>
      <w:r>
        <w:rPr>
          <w:rFonts w:ascii="Arial" w:cs="Arial" w:eastAsia="Arial" w:hAnsi="Arial"/>
          <w:sz w:val="14"/>
          <w:szCs w:val="14"/>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38" w:lineRule="exact"/>
        <w:rPr>
          <w:rFonts w:ascii="Arial" w:cs="Arial" w:eastAsia="Arial" w:hAnsi="Arial"/>
          <w:sz w:val="14"/>
          <w:szCs w:val="14"/>
          <w:color w:val="auto"/>
        </w:rPr>
      </w:pPr>
    </w:p>
    <w:p>
      <w:pPr>
        <w:ind w:left="500" w:right="140" w:firstLine="499"/>
        <w:spacing w:after="0" w:line="258" w:lineRule="auto"/>
        <w:tabs>
          <w:tab w:leader="none" w:pos="1501" w:val="left"/>
        </w:tabs>
        <w:numPr>
          <w:ilvl w:val="1"/>
          <w:numId w:val="125"/>
        </w:numPr>
        <w:rPr>
          <w:rFonts w:ascii="Arial" w:cs="Arial" w:eastAsia="Arial" w:hAnsi="Arial"/>
          <w:sz w:val="14"/>
          <w:szCs w:val="14"/>
          <w:color w:val="auto"/>
        </w:rPr>
      </w:pPr>
      <w:r>
        <w:rPr>
          <w:rFonts w:ascii="Arial" w:cs="Arial" w:eastAsia="Arial" w:hAnsi="Arial"/>
          <w:sz w:val="14"/>
          <w:szCs w:val="14"/>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4" w:lineRule="exact"/>
        <w:rPr>
          <w:rFonts w:ascii="Arial" w:cs="Arial" w:eastAsia="Arial" w:hAnsi="Arial"/>
          <w:sz w:val="14"/>
          <w:szCs w:val="14"/>
          <w:color w:val="auto"/>
        </w:rPr>
      </w:pPr>
    </w:p>
    <w:p>
      <w:pPr>
        <w:ind w:left="500" w:right="380" w:firstLine="499"/>
        <w:spacing w:after="0" w:line="268" w:lineRule="auto"/>
        <w:tabs>
          <w:tab w:leader="none" w:pos="1501" w:val="left"/>
        </w:tabs>
        <w:numPr>
          <w:ilvl w:val="1"/>
          <w:numId w:val="125"/>
        </w:numPr>
        <w:rPr>
          <w:rFonts w:ascii="Arial" w:cs="Arial" w:eastAsia="Arial" w:hAnsi="Arial"/>
          <w:sz w:val="14"/>
          <w:szCs w:val="14"/>
          <w:color w:val="auto"/>
        </w:rPr>
      </w:pPr>
      <w:r>
        <w:rPr>
          <w:rFonts w:ascii="Arial" w:cs="Arial" w:eastAsia="Arial" w:hAnsi="Arial"/>
          <w:sz w:val="14"/>
          <w:szCs w:val="14"/>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the Issuer shall have delivered to the Trustee an Officers’ Certificate and an Opinion of Counsel to the effect that the conditions precedent provided for in clauses (1) through</w:t>
      </w:r>
    </w:p>
    <w:p>
      <w:pPr>
        <w:spacing w:after="0" w:line="25" w:lineRule="exact"/>
        <w:rPr>
          <w:rFonts w:ascii="Arial" w:cs="Arial" w:eastAsia="Arial" w:hAnsi="Arial"/>
          <w:sz w:val="13"/>
          <w:szCs w:val="13"/>
          <w:color w:val="auto"/>
        </w:rPr>
      </w:pPr>
    </w:p>
    <w:p>
      <w:pPr>
        <w:ind w:left="700" w:hanging="199"/>
        <w:spacing w:after="0"/>
        <w:tabs>
          <w:tab w:leader="none" w:pos="7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have been complied with.</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1305.</w:t>
      </w:r>
      <w:r>
        <w:rPr>
          <w:sz w:val="20"/>
          <w:szCs w:val="20"/>
          <w:color w:val="auto"/>
        </w:rPr>
        <w:tab/>
      </w:r>
      <w:r>
        <w:rPr>
          <w:rFonts w:ascii="Arial" w:cs="Arial" w:eastAsia="Arial" w:hAnsi="Arial"/>
          <w:sz w:val="12"/>
          <w:szCs w:val="12"/>
          <w:u w:val="single" w:color="auto"/>
          <w:color w:val="auto"/>
        </w:rPr>
        <w:t>Deposited Money and U.S. Government Obligations to Be Held in Trust; Miscellaneous Provisions</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Subject to the provisions of the last paragraph of Section 1003, all money and U.S. Government Obligations (including the proceeds thereof) deposited with the Trustee pursuant to Section 1304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48" w:lineRule="exact"/>
        <w:rPr>
          <w:sz w:val="20"/>
          <w:szCs w:val="20"/>
          <w:color w:val="auto"/>
        </w:rPr>
      </w:pPr>
    </w:p>
    <w:p>
      <w:pPr>
        <w:ind w:right="380" w:firstLine="498"/>
        <w:spacing w:after="0" w:line="307" w:lineRule="auto"/>
        <w:rPr>
          <w:sz w:val="20"/>
          <w:szCs w:val="20"/>
          <w:color w:val="auto"/>
        </w:rPr>
      </w:pPr>
      <w:r>
        <w:rPr>
          <w:rFonts w:ascii="Arial" w:cs="Arial" w:eastAsia="Arial" w:hAnsi="Arial"/>
          <w:sz w:val="13"/>
          <w:szCs w:val="13"/>
          <w:color w:val="auto"/>
        </w:rPr>
        <w:t>The Issuer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Notes.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54" w:name="page155"/>
    <w:bookmarkEnd w:id="154"/>
    <w:p>
      <w:pPr>
        <w:ind w:right="40" w:firstLine="498"/>
        <w:spacing w:after="0" w:line="258" w:lineRule="auto"/>
        <w:rPr>
          <w:sz w:val="20"/>
          <w:szCs w:val="20"/>
          <w:color w:val="auto"/>
        </w:rPr>
      </w:pPr>
      <w:r>
        <w:rPr>
          <w:rFonts w:ascii="Arial" w:cs="Arial" w:eastAsia="Arial" w:hAnsi="Arial"/>
          <w:sz w:val="14"/>
          <w:szCs w:val="14"/>
          <w:color w:val="auto"/>
        </w:rPr>
        <w:t>Anything in this Article to the contrary notwithstanding, the Trustee shall deliver or pay to the Issuer from time to time upon Issuer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1306.</w:t>
      </w:r>
      <w:r>
        <w:rPr>
          <w:sz w:val="20"/>
          <w:szCs w:val="20"/>
          <w:color w:val="auto"/>
        </w:rPr>
        <w:tab/>
      </w:r>
      <w:r>
        <w:rPr>
          <w:rFonts w:ascii="Arial" w:cs="Arial" w:eastAsia="Arial" w:hAnsi="Arial"/>
          <w:sz w:val="12"/>
          <w:szCs w:val="12"/>
          <w:u w:val="single" w:color="auto"/>
          <w:color w:val="auto"/>
        </w:rPr>
        <w:t>Reinstatement</w:t>
      </w:r>
      <w:r>
        <w:rPr>
          <w:rFonts w:ascii="Arial" w:cs="Arial" w:eastAsia="Arial" w:hAnsi="Arial"/>
          <w:sz w:val="12"/>
          <w:szCs w:val="12"/>
          <w:color w:val="auto"/>
        </w:rPr>
        <w:t>.</w:t>
      </w:r>
    </w:p>
    <w:p>
      <w:pPr>
        <w:spacing w:after="0" w:line="171" w:lineRule="exact"/>
        <w:rPr>
          <w:sz w:val="20"/>
          <w:szCs w:val="20"/>
          <w:color w:val="auto"/>
        </w:rPr>
      </w:pPr>
    </w:p>
    <w:p>
      <w:pPr>
        <w:jc w:val="both"/>
        <w:ind w:firstLine="498"/>
        <w:spacing w:after="0" w:line="276" w:lineRule="auto"/>
        <w:rPr>
          <w:sz w:val="20"/>
          <w:szCs w:val="20"/>
          <w:color w:val="auto"/>
        </w:rPr>
      </w:pPr>
      <w:r>
        <w:rPr>
          <w:rFonts w:ascii="Arial" w:cs="Arial" w:eastAsia="Arial" w:hAnsi="Arial"/>
          <w:sz w:val="13"/>
          <w:szCs w:val="13"/>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1302 or 1303 shall be revived and reinstated as though no deposit had occurred pursuant to this Article, until such time as the Trustee or Paying Agent is permitted to apply all money held in trust pursuant to Section 1305 in accordance with this Article;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FOURTEEN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GUARANTEES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1401.</w:t>
      </w:r>
      <w:r>
        <w:rPr>
          <w:sz w:val="20"/>
          <w:szCs w:val="20"/>
          <w:color w:val="auto"/>
        </w:rPr>
        <w:tab/>
      </w:r>
      <w:r>
        <w:rPr>
          <w:rFonts w:ascii="Arial" w:cs="Arial" w:eastAsia="Arial" w:hAnsi="Arial"/>
          <w:sz w:val="12"/>
          <w:szCs w:val="12"/>
          <w:u w:val="single" w:color="auto"/>
          <w:color w:val="auto"/>
        </w:rPr>
        <w:t>Unconditional Guarantee</w:t>
      </w:r>
      <w:r>
        <w:rPr>
          <w:rFonts w:ascii="Arial" w:cs="Arial" w:eastAsia="Arial" w:hAnsi="Arial"/>
          <w:sz w:val="12"/>
          <w:szCs w:val="12"/>
          <w:color w:val="auto"/>
        </w:rPr>
        <w:t>.</w:t>
      </w:r>
    </w:p>
    <w:p>
      <w:pPr>
        <w:spacing w:after="0" w:line="171" w:lineRule="exact"/>
        <w:rPr>
          <w:sz w:val="20"/>
          <w:szCs w:val="20"/>
          <w:color w:val="auto"/>
        </w:rPr>
      </w:pPr>
    </w:p>
    <w:p>
      <w:pPr>
        <w:ind w:right="60" w:firstLine="999"/>
        <w:spacing w:after="0" w:line="274" w:lineRule="auto"/>
        <w:tabs>
          <w:tab w:leader="none" w:pos="1491" w:val="left"/>
        </w:tabs>
        <w:numPr>
          <w:ilvl w:val="0"/>
          <w:numId w:val="127"/>
        </w:numPr>
        <w:rPr>
          <w:rFonts w:ascii="Arial" w:cs="Arial" w:eastAsia="Arial" w:hAnsi="Arial"/>
          <w:sz w:val="13"/>
          <w:szCs w:val="13"/>
          <w:color w:val="auto"/>
        </w:rPr>
      </w:pPr>
      <w:r>
        <w:rPr>
          <w:rFonts w:ascii="Arial" w:cs="Arial" w:eastAsia="Arial" w:hAnsi="Arial"/>
          <w:sz w:val="13"/>
          <w:szCs w:val="13"/>
          <w:color w:val="auto"/>
        </w:rPr>
        <w:t>For value received, each of the Guarantors hereby fully, irrevocably, unconditionally and absolutely guarantees to the Holders and to the Trustee the due and punctual payment of the principal of, and premium, if any, and interest on the Notes and all other amounts due and payable under the Indenture and the Notes by the Issuer (collectively, the “Indenture Obligations”),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1403.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137" w:lineRule="exact"/>
        <w:rPr>
          <w:rFonts w:ascii="Arial" w:cs="Arial" w:eastAsia="Arial" w:hAnsi="Arial"/>
          <w:sz w:val="13"/>
          <w:szCs w:val="13"/>
          <w:color w:val="auto"/>
        </w:rPr>
      </w:pPr>
    </w:p>
    <w:p>
      <w:pPr>
        <w:ind w:right="100" w:firstLine="999"/>
        <w:spacing w:after="0" w:line="254" w:lineRule="auto"/>
        <w:tabs>
          <w:tab w:leader="none" w:pos="1499" w:val="left"/>
        </w:tabs>
        <w:numPr>
          <w:ilvl w:val="0"/>
          <w:numId w:val="127"/>
        </w:numPr>
        <w:rPr>
          <w:rFonts w:ascii="Arial" w:cs="Arial" w:eastAsia="Arial" w:hAnsi="Arial"/>
          <w:sz w:val="14"/>
          <w:szCs w:val="14"/>
          <w:color w:val="auto"/>
        </w:rPr>
      </w:pPr>
      <w:r>
        <w:rPr>
          <w:rFonts w:ascii="Arial" w:cs="Arial" w:eastAsia="Arial" w:hAnsi="Arial"/>
          <w:sz w:val="14"/>
          <w:szCs w:val="14"/>
          <w:color w:val="auto"/>
        </w:rPr>
        <w:t>Failing payment when due of any amount guaranteed pursuant to its Guarantee, for whatever reason, each of the Guarantors will be jointly and severally obligated (to the fullest extent permitted by law) to pay the same immediately to the Trustee, without set-off or counterclaim or other reduction whatsoever (whether for taxes, withholding or otherwise).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5" w:name="page156"/>
    <w:bookmarkEnd w:id="155"/>
    <w:p>
      <w:pPr>
        <w:ind w:right="20"/>
        <w:spacing w:after="0" w:line="274" w:lineRule="auto"/>
        <w:rPr>
          <w:sz w:val="20"/>
          <w:szCs w:val="20"/>
          <w:color w:val="auto"/>
        </w:rPr>
      </w:pPr>
      <w:r>
        <w:rPr>
          <w:rFonts w:ascii="Arial" w:cs="Arial" w:eastAsia="Arial" w:hAnsi="Arial"/>
          <w:sz w:val="13"/>
          <w:szCs w:val="13"/>
          <w:color w:val="auto"/>
        </w:rPr>
        <w:t>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507, by the Holders, on the terms and conditions set forth in the Indenture, directly against such Guarantor to enforce its Guarantee without first proceeding against the Issuer or any other Guarantor.</w:t>
      </w:r>
    </w:p>
    <w:p>
      <w:pPr>
        <w:spacing w:after="0" w:line="138" w:lineRule="exact"/>
        <w:rPr>
          <w:sz w:val="20"/>
          <w:szCs w:val="20"/>
          <w:color w:val="auto"/>
        </w:rPr>
      </w:pPr>
    </w:p>
    <w:p>
      <w:pPr>
        <w:ind w:firstLine="999"/>
        <w:spacing w:after="0" w:line="289" w:lineRule="auto"/>
        <w:tabs>
          <w:tab w:leader="none" w:pos="1502" w:val="left"/>
        </w:tabs>
        <w:numPr>
          <w:ilvl w:val="1"/>
          <w:numId w:val="128"/>
        </w:numPr>
        <w:rPr>
          <w:rFonts w:ascii="Arial" w:cs="Arial" w:eastAsia="Arial" w:hAnsi="Arial"/>
          <w:sz w:val="12"/>
          <w:szCs w:val="12"/>
          <w:color w:val="auto"/>
        </w:rPr>
      </w:pPr>
      <w:r>
        <w:rPr>
          <w:rFonts w:ascii="Arial" w:cs="Arial" w:eastAsia="Arial" w:hAnsi="Arial"/>
          <w:sz w:val="12"/>
          <w:szCs w:val="12"/>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of the Notes, the Guarantees or the Indenture or</w:t>
      </w:r>
    </w:p>
    <w:p>
      <w:pPr>
        <w:spacing w:after="0" w:line="6" w:lineRule="exact"/>
        <w:rPr>
          <w:rFonts w:ascii="Arial" w:cs="Arial" w:eastAsia="Arial" w:hAnsi="Arial"/>
          <w:sz w:val="12"/>
          <w:szCs w:val="12"/>
          <w:color w:val="auto"/>
        </w:rPr>
      </w:pPr>
    </w:p>
    <w:p>
      <w:pPr>
        <w:ind w:right="360" w:firstLine="3"/>
        <w:spacing w:after="0" w:line="254" w:lineRule="auto"/>
        <w:tabs>
          <w:tab w:leader="none" w:pos="1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other circumstances (other than payment in full or discharge of all amounts guaranteed pursuant to the Guarantees) which might otherwise constitute a legal or equitable discharge of a surety or guarantor.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56" w:name="page157"/>
    <w:bookmarkEnd w:id="156"/>
    <w:p>
      <w:pPr>
        <w:ind w:right="20" w:firstLine="999"/>
        <w:spacing w:after="0" w:line="299" w:lineRule="auto"/>
        <w:tabs>
          <w:tab w:leader="none" w:pos="1499"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To the fullest extent permitted by applicable law, each of the Guarantors hereby (A) waives diligence, presentment, demand of payment,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24" w:lineRule="exact"/>
        <w:rPr>
          <w:rFonts w:ascii="Arial" w:cs="Arial" w:eastAsia="Arial" w:hAnsi="Arial"/>
          <w:sz w:val="12"/>
          <w:szCs w:val="12"/>
          <w:color w:val="auto"/>
        </w:rPr>
      </w:pPr>
    </w:p>
    <w:p>
      <w:pPr>
        <w:ind w:right="200" w:firstLine="999"/>
        <w:spacing w:after="0" w:line="258" w:lineRule="auto"/>
        <w:tabs>
          <w:tab w:leader="none" w:pos="1502"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44" w:lineRule="exact"/>
        <w:rPr>
          <w:rFonts w:ascii="Arial" w:cs="Arial" w:eastAsia="Arial" w:hAnsi="Arial"/>
          <w:sz w:val="14"/>
          <w:szCs w:val="14"/>
          <w:color w:val="auto"/>
        </w:rPr>
      </w:pPr>
    </w:p>
    <w:p>
      <w:pPr>
        <w:ind w:firstLine="999"/>
        <w:spacing w:after="0" w:line="252" w:lineRule="auto"/>
        <w:tabs>
          <w:tab w:leader="none" w:pos="1497"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To the fullest extent permitted by applicable law, no failure to exercise and no delay in exercising, on the part of the Trustee or the Holders, any right, power, privilege or remedy under this Article Fourteen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Fourteen shall limit the right of the Trustee or the Holders to take any action to accelerate the maturity of the Notes pursuant to Article Five or to pursue any other rights or remedies hereunder or under applicable law.</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1402.</w:t>
      </w:r>
      <w:r>
        <w:rPr>
          <w:sz w:val="20"/>
          <w:szCs w:val="20"/>
          <w:color w:val="auto"/>
        </w:rPr>
        <w:tab/>
      </w:r>
      <w:r>
        <w:rPr>
          <w:rFonts w:ascii="Arial" w:cs="Arial" w:eastAsia="Arial" w:hAnsi="Arial"/>
          <w:sz w:val="12"/>
          <w:szCs w:val="12"/>
          <w:u w:val="single" w:color="auto"/>
          <w:color w:val="auto"/>
        </w:rPr>
        <w:t>Subsidiary Guarantee Evidenced by Indenture</w:t>
      </w:r>
      <w:r>
        <w:rPr>
          <w:rFonts w:ascii="Arial" w:cs="Arial" w:eastAsia="Arial" w:hAnsi="Arial"/>
          <w:sz w:val="12"/>
          <w:szCs w:val="12"/>
          <w:color w:val="auto"/>
        </w:rPr>
        <w:t>.</w:t>
      </w:r>
    </w:p>
    <w:p>
      <w:pPr>
        <w:spacing w:after="0" w:line="171" w:lineRule="exact"/>
        <w:rPr>
          <w:sz w:val="20"/>
          <w:szCs w:val="20"/>
          <w:color w:val="auto"/>
        </w:rPr>
      </w:pPr>
    </w:p>
    <w:p>
      <w:pPr>
        <w:ind w:right="440" w:firstLine="498"/>
        <w:spacing w:after="0" w:line="268" w:lineRule="auto"/>
        <w:rPr>
          <w:sz w:val="20"/>
          <w:szCs w:val="20"/>
          <w:color w:val="auto"/>
        </w:rPr>
      </w:pPr>
      <w:r>
        <w:rPr>
          <w:rFonts w:ascii="Arial" w:cs="Arial" w:eastAsia="Arial" w:hAnsi="Arial"/>
          <w:sz w:val="14"/>
          <w:szCs w:val="14"/>
          <w:color w:val="auto"/>
        </w:rPr>
        <w:t>The Guarantee of any Guarantor shall be evidenced solely by its execution and delivery of the Indenture (or, in the case of any Guarantor that is not party to the Indenture on the Issue Date, a supplemental indenture hereto) and not by an endorsement on, or attachment to, any Note or any guarantee or notation thereof.</w:t>
      </w:r>
    </w:p>
    <w:p>
      <w:pPr>
        <w:spacing w:after="0" w:line="138" w:lineRule="exact"/>
        <w:rPr>
          <w:sz w:val="20"/>
          <w:szCs w:val="20"/>
          <w:color w:val="auto"/>
        </w:rPr>
      </w:pPr>
    </w:p>
    <w:p>
      <w:pPr>
        <w:ind w:right="620" w:firstLine="498"/>
        <w:spacing w:after="0" w:line="268" w:lineRule="auto"/>
        <w:rPr>
          <w:sz w:val="20"/>
          <w:szCs w:val="20"/>
          <w:color w:val="auto"/>
        </w:rPr>
      </w:pPr>
      <w:r>
        <w:rPr>
          <w:rFonts w:ascii="Arial" w:cs="Arial" w:eastAsia="Arial" w:hAnsi="Arial"/>
          <w:sz w:val="14"/>
          <w:szCs w:val="14"/>
          <w:color w:val="auto"/>
        </w:rPr>
        <w:t>Each Guarantor hereby agrees that its Guarantee set forth in Section 1401 hereof will remain in full force and effect notwithstanding any failure to endorse on each Note a notation of such Guarantee.</w:t>
      </w:r>
    </w:p>
    <w:p>
      <w:pPr>
        <w:spacing w:after="0" w:line="138"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The delivery of any Note by the Trustee, after the authentication thereof hereunder, will constitute due delivery of the Guarantee set forth in the Indenture on behalf of the Guarantors.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7" w:name="page158"/>
    <w:bookmarkEnd w:id="157"/>
    <w:p>
      <w:pPr>
        <w:ind w:right="340" w:firstLine="498"/>
        <w:spacing w:after="0" w:line="353" w:lineRule="auto"/>
        <w:rPr>
          <w:sz w:val="20"/>
          <w:szCs w:val="20"/>
          <w:color w:val="auto"/>
        </w:rPr>
      </w:pPr>
      <w:r>
        <w:rPr>
          <w:rFonts w:ascii="Arial" w:cs="Arial" w:eastAsia="Arial" w:hAnsi="Arial"/>
          <w:sz w:val="12"/>
          <w:szCs w:val="12"/>
          <w:color w:val="auto"/>
        </w:rPr>
        <w:t>In the event that the Issuer, the Parent Guarantor or any of their respective Restricted Subsidiaries creates or acquires any Restricted Subsidiary after the Issue Date, if required by Section 1014 hereof, the Issuer or the Parent Guarantor, as applicable, will cause such Restricted Subsidiary to comply with the provisions of Section 1014 hereof and this Article Fourteen, to the extent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1403.</w:t>
      </w:r>
      <w:r>
        <w:rPr>
          <w:sz w:val="20"/>
          <w:szCs w:val="20"/>
          <w:color w:val="auto"/>
        </w:rPr>
        <w:tab/>
      </w:r>
      <w:r>
        <w:rPr>
          <w:rFonts w:ascii="Arial" w:cs="Arial" w:eastAsia="Arial" w:hAnsi="Arial"/>
          <w:sz w:val="13"/>
          <w:szCs w:val="13"/>
          <w:u w:val="single" w:color="auto"/>
          <w:color w:val="auto"/>
        </w:rPr>
        <w:t>Limitation on Guarantors’ Liability</w:t>
      </w:r>
      <w:r>
        <w:rPr>
          <w:rFonts w:ascii="Arial" w:cs="Arial" w:eastAsia="Arial" w:hAnsi="Arial"/>
          <w:sz w:val="13"/>
          <w:szCs w:val="13"/>
          <w:color w:val="auto"/>
        </w:rPr>
        <w:t>.</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Credit Agreement)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1404.</w:t>
      </w:r>
      <w:r>
        <w:rPr>
          <w:sz w:val="20"/>
          <w:szCs w:val="20"/>
          <w:color w:val="auto"/>
        </w:rPr>
        <w:tab/>
      </w:r>
      <w:r>
        <w:rPr>
          <w:rFonts w:ascii="Arial" w:cs="Arial" w:eastAsia="Arial" w:hAnsi="Arial"/>
          <w:sz w:val="12"/>
          <w:szCs w:val="12"/>
          <w:u w:val="single" w:color="auto"/>
          <w:color w:val="auto"/>
        </w:rPr>
        <w:t>Release of Guarantors from Guarantees</w:t>
      </w:r>
      <w:r>
        <w:rPr>
          <w:rFonts w:ascii="Arial" w:cs="Arial" w:eastAsia="Arial" w:hAnsi="Arial"/>
          <w:sz w:val="12"/>
          <w:szCs w:val="12"/>
          <w:color w:val="auto"/>
        </w:rPr>
        <w:t>.</w:t>
      </w:r>
    </w:p>
    <w:p>
      <w:pPr>
        <w:spacing w:after="0" w:line="171" w:lineRule="exact"/>
        <w:rPr>
          <w:sz w:val="20"/>
          <w:szCs w:val="20"/>
          <w:color w:val="auto"/>
        </w:rPr>
      </w:pPr>
    </w:p>
    <w:p>
      <w:pPr>
        <w:ind w:right="40" w:firstLine="999"/>
        <w:spacing w:after="0" w:line="268" w:lineRule="auto"/>
        <w:tabs>
          <w:tab w:leader="none" w:pos="1491"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Notwithstanding any other provisions of the Indenture, the Guarantee of any Guarantor shall be released upon the terms and subject to the conditions set forth in this Section 1404. A Guarantor shall be released automatically from its obligations under its Guarantee and its other obligations under the Indenture upon:</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w:t>
      </w:r>
    </w:p>
    <w:p>
      <w:pPr>
        <w:spacing w:after="0" w:line="171" w:lineRule="exact"/>
        <w:rPr>
          <w:sz w:val="20"/>
          <w:szCs w:val="20"/>
          <w:color w:val="auto"/>
        </w:rPr>
      </w:pPr>
    </w:p>
    <w:p>
      <w:pPr>
        <w:ind w:left="1000" w:right="180" w:firstLine="497"/>
        <w:spacing w:after="0" w:line="353" w:lineRule="auto"/>
        <w:tabs>
          <w:tab w:leader="none" w:pos="1994"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91" w:lineRule="exact"/>
        <w:rPr>
          <w:rFonts w:ascii="Arial" w:cs="Arial" w:eastAsia="Arial" w:hAnsi="Arial"/>
          <w:sz w:val="12"/>
          <w:szCs w:val="12"/>
          <w:color w:val="auto"/>
        </w:rPr>
      </w:pPr>
    </w:p>
    <w:p>
      <w:pPr>
        <w:ind w:left="1000" w:right="20" w:firstLine="497"/>
        <w:spacing w:after="0" w:line="268" w:lineRule="auto"/>
        <w:tabs>
          <w:tab w:leader="none" w:pos="200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w:t>
      </w:r>
    </w:p>
    <w:p>
      <w:pPr>
        <w:spacing w:after="0" w:line="138" w:lineRule="exact"/>
        <w:rPr>
          <w:rFonts w:ascii="Arial" w:cs="Arial" w:eastAsia="Arial" w:hAnsi="Arial"/>
          <w:sz w:val="14"/>
          <w:szCs w:val="14"/>
          <w:color w:val="auto"/>
        </w:rPr>
      </w:pPr>
    </w:p>
    <w:p>
      <w:pPr>
        <w:ind w:left="2000" w:hanging="503"/>
        <w:spacing w:after="0"/>
        <w:tabs>
          <w:tab w:leader="none" w:pos="20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 the case of a Subsidiary Guarantor, the proper designation of such Subsidiary Guarantor as an Unrestricted Subsidiary;</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in the case of a Subsidiary Guarantor,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Event of Default has occurred and is continuing, all Debt which required such Subsidiary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58" w:name="page159"/>
    <w:bookmarkEnd w:id="158"/>
    <w:p>
      <w:pPr>
        <w:ind w:left="1000"/>
        <w:spacing w:after="0"/>
        <w:rPr>
          <w:sz w:val="20"/>
          <w:szCs w:val="20"/>
          <w:color w:val="auto"/>
        </w:rPr>
      </w:pPr>
      <w:r>
        <w:rPr>
          <w:rFonts w:ascii="Arial" w:cs="Arial" w:eastAsia="Arial" w:hAnsi="Arial"/>
          <w:sz w:val="14"/>
          <w:szCs w:val="14"/>
          <w:color w:val="auto"/>
        </w:rPr>
        <w:t>Guarantor to guarantee the Notes pursuant to Section 1014 is no longer outstanding;</w:t>
      </w:r>
    </w:p>
    <w:p>
      <w:pPr>
        <w:spacing w:after="0" w:line="171" w:lineRule="exact"/>
        <w:rPr>
          <w:sz w:val="20"/>
          <w:szCs w:val="20"/>
          <w:color w:val="auto"/>
        </w:rPr>
      </w:pPr>
    </w:p>
    <w:p>
      <w:pPr>
        <w:ind w:left="2000" w:hanging="503"/>
        <w:spacing w:after="0"/>
        <w:tabs>
          <w:tab w:leader="none" w:pos="200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Legal Defeasance or Covenant Defeasance or satisfaction and discharge of the Indenture as provided in Article Four; or</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 xml:space="preserve">liquidation and dissolution of such Guarantor,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no Default or Event of Default has occurred that is continuing; and</w:t>
      </w:r>
    </w:p>
    <w:p>
      <w:pPr>
        <w:spacing w:after="0" w:line="170" w:lineRule="exact"/>
        <w:rPr>
          <w:rFonts w:ascii="Arial" w:cs="Arial" w:eastAsia="Arial" w:hAnsi="Arial"/>
          <w:sz w:val="14"/>
          <w:szCs w:val="14"/>
          <w:color w:val="auto"/>
        </w:rPr>
      </w:pPr>
    </w:p>
    <w:p>
      <w:pPr>
        <w:ind w:left="500" w:right="240" w:firstLine="499"/>
        <w:spacing w:after="0" w:line="268" w:lineRule="auto"/>
        <w:tabs>
          <w:tab w:leader="none" w:pos="150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Issuer delivering to the Trustee an Officers’ Certificate and an Opinion of Counsel to the effect that all conditions precedent provided for in this Section 1404 relating to the release of such Guarantor’s Guarantee and its other obligations under the Indenture have been complied with.</w:t>
      </w:r>
    </w:p>
    <w:p>
      <w:pPr>
        <w:spacing w:after="0" w:line="138" w:lineRule="exact"/>
        <w:rPr>
          <w:sz w:val="20"/>
          <w:szCs w:val="20"/>
          <w:color w:val="auto"/>
        </w:rPr>
      </w:pPr>
    </w:p>
    <w:p>
      <w:pPr>
        <w:ind w:right="400" w:firstLine="999"/>
        <w:spacing w:after="0" w:line="268" w:lineRule="auto"/>
        <w:tabs>
          <w:tab w:leader="none" w:pos="149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138" w:lineRule="exact"/>
        <w:rPr>
          <w:rFonts w:ascii="Arial" w:cs="Arial" w:eastAsia="Arial" w:hAnsi="Arial"/>
          <w:sz w:val="14"/>
          <w:szCs w:val="14"/>
          <w:color w:val="auto"/>
        </w:rPr>
      </w:pPr>
    </w:p>
    <w:p>
      <w:pPr>
        <w:ind w:right="180" w:firstLine="999"/>
        <w:spacing w:after="0" w:line="268" w:lineRule="auto"/>
        <w:tabs>
          <w:tab w:leader="none" w:pos="150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Any Guarantor not released in accordance with the provisions of the Indenture will remain liable for the full amount of principal of (and premium, if any, on) and interest on the Notes as provided in this Article Fourteen, subject to the limitations of Section 1403.</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1405.</w:t>
      </w:r>
      <w:r>
        <w:rPr>
          <w:sz w:val="20"/>
          <w:szCs w:val="20"/>
          <w:color w:val="auto"/>
        </w:rPr>
        <w:tab/>
      </w:r>
      <w:r>
        <w:rPr>
          <w:rFonts w:ascii="Arial" w:cs="Arial" w:eastAsia="Arial" w:hAnsi="Arial"/>
          <w:sz w:val="12"/>
          <w:szCs w:val="12"/>
          <w:u w:val="single" w:color="auto"/>
          <w:color w:val="auto"/>
        </w:rPr>
        <w:t>Guarantor Contribution</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(if any) in a pro rata amount based on the respective net assets (as determined at such time in accordance with GAAP) of all of the Guarantors (including the Funding Guarantor) for all payments, damages and expenses incurred by that Funding Guarantor in discharging the Indenture Obligations or any other Guarantor’s obligations with respect to its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153670</wp:posOffset>
            </wp:positionV>
            <wp:extent cx="183769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Trustee hereby accepts the trusts in the Indenture upon the terms and conditions herein set forth.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hereto have caused the Indenture to be duly executed as of the day and year first above written.</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Delaware limited liability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-101600</wp:posOffset>
            </wp:positionV>
            <wp:extent cx="314833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LTD.,</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Bermuda exempted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-101600</wp:posOffset>
            </wp:positionV>
            <wp:extent cx="314833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Title: ]</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PLC,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an Irish public limited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-101600</wp:posOffset>
            </wp:positionV>
            <wp:extent cx="314833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Title: ]</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DEUTSCHE BANK TRUST COMPANY AMERICAS</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4"/>
          <w:szCs w:val="14"/>
          <w:i w:val="1"/>
          <w:iCs w:val="1"/>
          <w:color w:val="auto"/>
        </w:rPr>
        <w:t>as Trustee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-101600</wp:posOffset>
            </wp:positionV>
            <wp:extent cx="314833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-101600</wp:posOffset>
            </wp:positionV>
            <wp:extent cx="314833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739"/>
          </w:cols>
          <w:pgMar w:left="720" w:top="291"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ANNEX A</w:t>
      </w:r>
    </w:p>
    <w:p>
      <w:pPr>
        <w:spacing w:after="0" w:line="175"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CUSIP</w:t>
      </w:r>
    </w:p>
    <w:p>
      <w:pPr>
        <w:spacing w:after="0" w:line="14"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ISIN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Face of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If a Global Note, insert the Global Note Legend.</w:t>
      </w:r>
      <w:r>
        <w:rPr>
          <w:rFonts w:ascii="Arial" w:cs="Arial" w:eastAsia="Arial" w:hAnsi="Arial"/>
          <w:sz w:val="14"/>
          <w:szCs w:val="14"/>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LLC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11.00% Senior Note due 2024</w:t>
      </w:r>
    </w:p>
    <w:p>
      <w:pPr>
        <w:spacing w:after="0" w:line="171" w:lineRule="exact"/>
        <w:rPr>
          <w:sz w:val="20"/>
          <w:szCs w:val="20"/>
          <w:color w:val="auto"/>
        </w:rPr>
      </w:pPr>
    </w:p>
    <w:p>
      <w:pPr>
        <w:spacing w:after="0"/>
        <w:tabs>
          <w:tab w:leader="none" w:pos="107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Weatherford International, LLC, a Delaware limited liability company (herein called the “Issuer,” which term includes any successor Person under the Indenture hereinafter referred to), for value</w:t>
      </w:r>
    </w:p>
    <w:p>
      <w:pPr>
        <w:spacing w:after="0" w:line="37" w:lineRule="exact"/>
        <w:rPr>
          <w:sz w:val="20"/>
          <w:szCs w:val="20"/>
          <w:color w:val="auto"/>
        </w:rPr>
      </w:pPr>
    </w:p>
    <w:p>
      <w:pPr>
        <w:ind w:right="40"/>
        <w:spacing w:after="0" w:line="295" w:lineRule="auto"/>
        <w:rPr>
          <w:sz w:val="20"/>
          <w:szCs w:val="20"/>
          <w:color w:val="auto"/>
        </w:rPr>
      </w:pPr>
      <w:r>
        <w:rPr>
          <w:rFonts w:ascii="Arial" w:cs="Arial" w:eastAsia="Arial" w:hAnsi="Arial"/>
          <w:sz w:val="12"/>
          <w:szCs w:val="12"/>
          <w:color w:val="auto"/>
        </w:rPr>
        <w:t>received, hereby promises to pay to , or registered assigns, the principal sum of U.S. dollars on [·], 2024, [</w:t>
      </w:r>
      <w:r>
        <w:rPr>
          <w:rFonts w:ascii="Arial" w:cs="Arial" w:eastAsia="Arial" w:hAnsi="Arial"/>
          <w:sz w:val="12"/>
          <w:szCs w:val="12"/>
          <w:i w:val="1"/>
          <w:iCs w:val="1"/>
          <w:color w:val="auto"/>
        </w:rPr>
        <w:t>if this Note is a Global Note, insert</w:t>
      </w:r>
      <w:r>
        <w:rPr>
          <w:rFonts w:ascii="Arial" w:cs="Arial" w:eastAsia="Arial" w:hAnsi="Arial"/>
          <w:sz w:val="12"/>
          <w:szCs w:val="12"/>
          <w:color w:val="auto"/>
        </w:rPr>
        <w:t xml:space="preserve"> — or such greater or lesser amount as may be indicated on the Schedule of Exchanges of Interests in the Global Note attached hereto,] and to pay interest thereon from [·], 2019 or from the most recent Interest Payment Date to which interest has been paid or duly provided for, semi-annually on [·] and [·] in each year, commencing [·], 2019, at the rate of 11.00% per annum, until the principal hereof is paid or made available for payment.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 or [·] (whether or not a Business Day), as the case may be, next preceding such Interest Payment Date. The Issuer shall pay (i) Defaulted Interest (including post-petition interest in any proceeding under any Bankruptcy Law) on overdue principal and premium, if any, from time to time on demand at a rate that is 2% higher than the applicable interest rate on the Notes to the extent lawful and (ii) Defaulted Interest (including post-petition interest in any proceeding under any Bankruptcy Law) on overdue installments of interest (without regard to any applicable grace periods) from time to time on demand at the rate that is 2% higher than the applicable interest rate on the Notes to the extent lawful.</w:t>
      </w:r>
    </w:p>
    <w:p>
      <w:pPr>
        <w:spacing w:after="0" w:line="128" w:lineRule="exact"/>
        <w:rPr>
          <w:sz w:val="20"/>
          <w:szCs w:val="20"/>
          <w:color w:val="auto"/>
        </w:rPr>
      </w:pPr>
    </w:p>
    <w:p>
      <w:pPr>
        <w:ind w:right="20" w:firstLine="498"/>
        <w:spacing w:after="0" w:line="252" w:lineRule="auto"/>
        <w:rPr>
          <w:sz w:val="20"/>
          <w:szCs w:val="20"/>
          <w:color w:val="auto"/>
        </w:rPr>
      </w:pPr>
      <w:r>
        <w:rPr>
          <w:rFonts w:ascii="Arial" w:cs="Arial" w:eastAsia="Arial" w:hAnsi="Arial"/>
          <w:sz w:val="14"/>
          <w:szCs w:val="14"/>
          <w:color w:val="auto"/>
        </w:rPr>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at the option of the Issuer, payment of interest may be made by check mailed to the address of the Person entitled thereto as such address shall appear in the Security Register.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61" w:name="page162"/>
    <w:bookmarkEnd w:id="161"/>
    <w:p>
      <w:pPr>
        <w:ind w:left="500"/>
        <w:spacing w:after="0"/>
        <w:rPr>
          <w:sz w:val="20"/>
          <w:szCs w:val="20"/>
          <w:color w:val="auto"/>
        </w:rPr>
      </w:pPr>
      <w:r>
        <w:rPr>
          <w:rFonts w:ascii="Arial" w:cs="Arial" w:eastAsia="Arial" w:hAnsi="Arial"/>
          <w:sz w:val="13"/>
          <w:szCs w:val="13"/>
          <w:color w:val="auto"/>
        </w:rPr>
        <w:t>Reference is hereby made to the further provisions of this Note set forth on the reverse hereof, which further provisions shall for all purposes have the same effect as if set forth at this place.</w:t>
      </w:r>
    </w:p>
    <w:p>
      <w:pPr>
        <w:spacing w:after="0" w:line="182"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162" w:name="page163"/>
    <w:bookmarkEnd w:id="162"/>
    <w:p>
      <w:pPr>
        <w:ind w:left="500"/>
        <w:spacing w:after="0"/>
        <w:rPr>
          <w:sz w:val="20"/>
          <w:szCs w:val="20"/>
          <w:color w:val="auto"/>
        </w:rPr>
      </w:pPr>
      <w:r>
        <w:rPr>
          <w:rFonts w:ascii="Arial" w:cs="Arial" w:eastAsia="Arial" w:hAnsi="Arial"/>
          <w:sz w:val="14"/>
          <w:szCs w:val="14"/>
          <w:color w:val="auto"/>
        </w:rPr>
        <w:t>IN WITNESS WHEREOF, the Issuer has caused this Note to be duly executed by its undersigned officer.</w:t>
      </w:r>
    </w:p>
    <w:p>
      <w:pPr>
        <w:spacing w:after="0" w:line="16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WEATHERFORD INTERNATIONAL, LLC,</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a Delaware limited liability company</w:t>
      </w:r>
    </w:p>
    <w:p>
      <w:pPr>
        <w:spacing w:after="0" w:line="16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332613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26130" cy="6350"/>
                    </a:xfrm>
                    <a:prstGeom prst="rect">
                      <a:avLst/>
                    </a:prstGeom>
                    <a:noFill/>
                  </pic:spPr>
                </pic:pic>
              </a:graphicData>
            </a:graphic>
          </wp:anchor>
        </w:drawing>
      </w:r>
    </w:p>
    <w:p>
      <w:pPr>
        <w:spacing w:after="0" w:line="157"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Trustee’s Certificate of Authentication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is one of the 11.00% Senior Notes due 2024 referred to in the within-mentioned Indenture.</w:t>
      </w:r>
    </w:p>
    <w:p>
      <w:pPr>
        <w:spacing w:after="0" w:line="167"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DEUTSCHE BANK TRUST COMPANY AMERICAS</w:t>
      </w:r>
      <w:r>
        <w:rPr>
          <w:rFonts w:ascii="Arial" w:cs="Arial" w:eastAsia="Arial" w:hAnsi="Arial"/>
          <w:sz w:val="13"/>
          <w:szCs w:val="13"/>
          <w:color w:val="auto"/>
        </w:rPr>
        <w:t>,</w:t>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4"/>
          <w:szCs w:val="14"/>
          <w:i w:val="1"/>
          <w:iCs w:val="1"/>
          <w:color w:val="auto"/>
        </w:rPr>
        <w:t>as Trustee</w:t>
      </w:r>
    </w:p>
    <w:p>
      <w:pPr>
        <w:spacing w:after="0" w:line="16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-101600</wp:posOffset>
            </wp:positionV>
            <wp:extent cx="333311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3311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39"/>
          </w:cols>
          <w:pgMar w:left="220" w:top="295" w:right="1440"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4"/>
          <w:szCs w:val="14"/>
          <w:color w:val="auto"/>
        </w:rPr>
        <w:t>[Form of Reverse of Note]</w:t>
      </w:r>
    </w:p>
    <w:p>
      <w:pPr>
        <w:spacing w:after="0" w:line="171" w:lineRule="exact"/>
        <w:rPr>
          <w:sz w:val="20"/>
          <w:szCs w:val="20"/>
          <w:color w:val="auto"/>
        </w:rPr>
      </w:pPr>
    </w:p>
    <w:p>
      <w:pPr>
        <w:ind w:right="80" w:firstLine="498"/>
        <w:spacing w:after="0" w:line="252" w:lineRule="auto"/>
        <w:rPr>
          <w:sz w:val="20"/>
          <w:szCs w:val="20"/>
          <w:color w:val="auto"/>
        </w:rPr>
      </w:pPr>
      <w:r>
        <w:rPr>
          <w:rFonts w:ascii="Arial" w:cs="Arial" w:eastAsia="Arial" w:hAnsi="Arial"/>
          <w:sz w:val="14"/>
          <w:szCs w:val="14"/>
          <w:color w:val="auto"/>
        </w:rPr>
        <w:t>This Note is one of a duly authorized series of securities of the Issuer (herein called the “Notes”), issued under an Indenture, dated as of [·], 2019 (the “Indenture”) among the Issuer,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$[2,100,000,000] but subject to re-opening as provided in the Indenture.</w:t>
      </w:r>
    </w:p>
    <w:p>
      <w:pPr>
        <w:spacing w:after="0" w:line="151" w:lineRule="exact"/>
        <w:rPr>
          <w:sz w:val="20"/>
          <w:szCs w:val="20"/>
          <w:color w:val="auto"/>
        </w:rPr>
      </w:pPr>
    </w:p>
    <w:p>
      <w:pPr>
        <w:jc w:val="both"/>
        <w:ind w:firstLine="498"/>
        <w:spacing w:after="0" w:line="294" w:lineRule="auto"/>
        <w:rPr>
          <w:sz w:val="20"/>
          <w:szCs w:val="20"/>
          <w:color w:val="auto"/>
        </w:rPr>
      </w:pPr>
      <w:r>
        <w:rPr>
          <w:rFonts w:ascii="Arial" w:cs="Arial" w:eastAsia="Arial" w:hAnsi="Arial"/>
          <w:sz w:val="12"/>
          <w:szCs w:val="12"/>
          <w:color w:val="auto"/>
        </w:rPr>
        <w:t>Except as set forth below and in the Indenture, the Issuer shall not have the option to redeem the Notes prior to [·], 2021. On or after [·],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the applicable redemption date (subject to the right of Holders of record on the relevant record date to receive interest due on an interest payment date that is on or prior to the</w:t>
      </w: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20"/>
                <w:szCs w:val="20"/>
                <w:color w:val="auto"/>
              </w:rPr>
            </w:pPr>
            <w:r>
              <w:rPr>
                <w:rFonts w:ascii="Arial" w:cs="Arial" w:eastAsia="Arial" w:hAnsi="Arial"/>
                <w:sz w:val="14"/>
                <w:szCs w:val="14"/>
                <w:color w:val="auto"/>
                <w:w w:val="92"/>
              </w:rPr>
              <w:t>redemption date), if redeemed during the twelve-month period beginning on [</w:t>
            </w:r>
          </w:p>
        </w:tc>
        <w:tc>
          <w:tcPr>
            <w:tcW w:w="3160" w:type="dxa"/>
            <w:vAlign w:val="bottom"/>
            <w:gridSpan w:val="4"/>
          </w:tcPr>
          <w:p>
            <w:pPr>
              <w:jc w:val="right"/>
              <w:ind w:right="1380"/>
              <w:spacing w:after="0"/>
              <w:rPr>
                <w:sz w:val="20"/>
                <w:szCs w:val="20"/>
                <w:color w:val="auto"/>
              </w:rPr>
            </w:pPr>
            <w:r>
              <w:rPr>
                <w:rFonts w:ascii="Arial" w:cs="Arial" w:eastAsia="Arial" w:hAnsi="Arial"/>
                <w:sz w:val="14"/>
                <w:szCs w:val="14"/>
                <w:color w:val="auto"/>
                <w:w w:val="95"/>
              </w:rPr>
              <w:t>] of the years indicated below:</w:t>
            </w:r>
          </w:p>
        </w:tc>
      </w:tr>
      <w:tr>
        <w:trPr>
          <w:trHeight w:val="272"/>
        </w:trPr>
        <w:tc>
          <w:tcPr>
            <w:tcW w:w="4400" w:type="dxa"/>
            <w:vAlign w:val="bottom"/>
          </w:tcPr>
          <w:p>
            <w:pPr>
              <w:spacing w:after="0"/>
              <w:rPr>
                <w:sz w:val="20"/>
                <w:szCs w:val="20"/>
                <w:color w:val="auto"/>
              </w:rPr>
            </w:pPr>
            <w:r>
              <w:rPr>
                <w:rFonts w:ascii="Arial" w:cs="Arial" w:eastAsia="Arial" w:hAnsi="Arial"/>
                <w:sz w:val="11"/>
                <w:szCs w:val="11"/>
                <w:b w:val="1"/>
                <w:bCs w:val="1"/>
                <w:color w:val="auto"/>
              </w:rPr>
              <w:t>YEAR</w:t>
            </w: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PERCENTAGE</w:t>
            </w:r>
          </w:p>
        </w:tc>
      </w:tr>
      <w:tr>
        <w:trPr>
          <w:trHeight w:val="156"/>
        </w:trPr>
        <w:tc>
          <w:tcPr>
            <w:tcW w:w="44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105.500%</w:t>
            </w:r>
          </w:p>
        </w:tc>
      </w:tr>
      <w:tr>
        <w:trPr>
          <w:trHeight w:val="166"/>
        </w:trPr>
        <w:tc>
          <w:tcPr>
            <w:tcW w:w="4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3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102.750%</w:t>
            </w:r>
          </w:p>
        </w:tc>
      </w:tr>
      <w:tr>
        <w:trPr>
          <w:trHeight w:val="166"/>
        </w:trPr>
        <w:tc>
          <w:tcPr>
            <w:tcW w:w="4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2023 and thereafter</w:t>
            </w:r>
          </w:p>
        </w:tc>
        <w:tc>
          <w:tcPr>
            <w:tcW w:w="3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100.000%</w:t>
            </w:r>
          </w:p>
        </w:tc>
      </w:tr>
    </w:tbl>
    <w:p>
      <w:pPr>
        <w:spacing w:after="0" w:line="155" w:lineRule="exact"/>
        <w:rPr>
          <w:sz w:val="20"/>
          <w:szCs w:val="20"/>
          <w:color w:val="auto"/>
        </w:rPr>
      </w:pPr>
    </w:p>
    <w:p>
      <w:pPr>
        <w:ind w:right="160" w:firstLine="498"/>
        <w:spacing w:after="0" w:line="258" w:lineRule="auto"/>
        <w:rPr>
          <w:sz w:val="20"/>
          <w:szCs w:val="20"/>
          <w:color w:val="auto"/>
        </w:rPr>
      </w:pPr>
      <w:r>
        <w:rPr>
          <w:rFonts w:ascii="Arial" w:cs="Arial" w:eastAsia="Arial" w:hAnsi="Arial"/>
          <w:sz w:val="14"/>
          <w:szCs w:val="14"/>
          <w:color w:val="auto"/>
        </w:rPr>
        <w:t>Notwithstanding the preceding paragraphs, at any time prior to [•], 2022, the Issuer may on one or more occasions redeem up to $500.0 million in the aggregate principal amount of Notes issued under the Indenture at a redemption price of 103% of the principal amount of the Notes redeemed, plus accrued and unpaid interest, if any, thereon to the redemption date (subject to the right of Holders of record on the relevant record date to receive interest due on an interest payment date that is on or prior to the redemption date).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Prior to [·], 2021, the Issuer may redeem on one or more occasions all or part of the Notes at a redemption price equal to the sum of:</w:t>
      </w:r>
    </w:p>
    <w:p>
      <w:pPr>
        <w:spacing w:after="0" w:line="171" w:lineRule="exact"/>
        <w:rPr>
          <w:sz w:val="20"/>
          <w:szCs w:val="20"/>
          <w:color w:val="auto"/>
        </w:rPr>
      </w:pPr>
    </w:p>
    <w:p>
      <w:pPr>
        <w:ind w:left="1020" w:hanging="519"/>
        <w:spacing w:after="0"/>
        <w:tabs>
          <w:tab w:leader="none" w:pos="10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principal amount thereof, plus</w:t>
      </w:r>
    </w:p>
    <w:p>
      <w:pPr>
        <w:spacing w:after="0" w:line="170" w:lineRule="exact"/>
        <w:rPr>
          <w:rFonts w:ascii="Arial" w:cs="Arial" w:eastAsia="Arial" w:hAnsi="Arial"/>
          <w:sz w:val="14"/>
          <w:szCs w:val="14"/>
          <w:color w:val="auto"/>
        </w:rPr>
      </w:pPr>
    </w:p>
    <w:p>
      <w:pPr>
        <w:ind w:left="1020" w:hanging="519"/>
        <w:spacing w:after="0"/>
        <w:tabs>
          <w:tab w:leader="none" w:pos="10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Make Whole Premium at the redemption date, plus</w:t>
      </w:r>
    </w:p>
    <w:p>
      <w:pPr>
        <w:spacing w:after="0" w:line="170" w:lineRule="exact"/>
        <w:rPr>
          <w:rFonts w:ascii="Arial" w:cs="Arial" w:eastAsia="Arial" w:hAnsi="Arial"/>
          <w:sz w:val="14"/>
          <w:szCs w:val="14"/>
          <w:color w:val="auto"/>
        </w:rPr>
      </w:pPr>
    </w:p>
    <w:p>
      <w:pPr>
        <w:ind w:right="80" w:firstLine="501"/>
        <w:spacing w:after="0" w:line="268" w:lineRule="auto"/>
        <w:tabs>
          <w:tab w:leader="none" w:pos="102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accrued and unpaid interest, if any, to the redemption date (subject to the right of Holders of record on the relevant record date to receive interest due on an interest payment date that is on or prior to the redemption date).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64" w:name="page165"/>
    <w:bookmarkEnd w:id="164"/>
    <w:p>
      <w:pPr>
        <w:ind w:right="360" w:firstLine="498"/>
        <w:spacing w:after="0" w:line="268" w:lineRule="auto"/>
        <w:rPr>
          <w:sz w:val="20"/>
          <w:szCs w:val="20"/>
          <w:color w:val="auto"/>
        </w:rPr>
      </w:pPr>
      <w:r>
        <w:rPr>
          <w:rFonts w:ascii="Arial" w:cs="Arial" w:eastAsia="Arial" w:hAnsi="Arial"/>
          <w:sz w:val="14"/>
          <w:szCs w:val="14"/>
          <w:color w:val="auto"/>
        </w:rPr>
        <w:t>The Notes may also be redeemed, as a whole, at the Issuer’s option, following Change of Control Offers, at the respective Redemption Prices and subject to the conditions set forth in Sections 1103(d) and 1007 of the Indenture, respectively.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notice of redemption may, at the Issuer’s discretion, be subject to one or more conditions precedent specified in such notice of redemption.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 the event of redemption of this Note in part only, a new Note or Notes of like tenor for the unredeemed portion hereof will be issued in the name of the Holder hereof upon the cancellation hereof.</w:t>
      </w:r>
    </w:p>
    <w:p>
      <w:pPr>
        <w:spacing w:after="0" w:line="194" w:lineRule="exact"/>
        <w:rPr>
          <w:sz w:val="20"/>
          <w:szCs w:val="20"/>
          <w:color w:val="auto"/>
        </w:rPr>
      </w:pPr>
    </w:p>
    <w:p>
      <w:pPr>
        <w:ind w:right="420" w:firstLine="498"/>
        <w:spacing w:after="0" w:line="268" w:lineRule="auto"/>
        <w:rPr>
          <w:sz w:val="20"/>
          <w:szCs w:val="20"/>
          <w:color w:val="auto"/>
        </w:rPr>
      </w:pPr>
      <w:r>
        <w:rPr>
          <w:rFonts w:ascii="Arial" w:cs="Arial" w:eastAsia="Arial" w:hAnsi="Arial"/>
          <w:sz w:val="14"/>
          <w:szCs w:val="14"/>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38"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affected thereby (voting as a separate series). The Indenture also 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38" w:lineRule="exact"/>
        <w:rPr>
          <w:sz w:val="20"/>
          <w:szCs w:val="20"/>
          <w:color w:val="auto"/>
        </w:rPr>
      </w:pPr>
    </w:p>
    <w:p>
      <w:pPr>
        <w:ind w:right="20" w:firstLine="498"/>
        <w:spacing w:after="0" w:line="254" w:lineRule="auto"/>
        <w:rPr>
          <w:sz w:val="20"/>
          <w:szCs w:val="20"/>
          <w:color w:val="auto"/>
        </w:rPr>
      </w:pPr>
      <w:r>
        <w:rPr>
          <w:rFonts w:ascii="Arial" w:cs="Arial" w:eastAsia="Arial" w:hAnsi="Arial"/>
          <w:sz w:val="14"/>
          <w:szCs w:val="14"/>
          <w:color w:val="auto"/>
        </w:rPr>
        <w:t>Each of Section 315(d)(3) and Section 316(a)(1) of the Trust Indenture Act is expressly excluded from the Indenture for all purposes. 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Notes owned by Specified Holders (as defined in the Indenture) shall not be so disregarded.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If an Event of Default shall occur and be continuing, the Notes may be declared (or shall automatically become) due and payable in the manner and with the effect provided in the Indenture.</w:t>
      </w:r>
    </w:p>
    <w:p>
      <w:pPr>
        <w:spacing w:after="0" w:line="182" w:lineRule="exact"/>
        <w:rPr>
          <w:sz w:val="20"/>
          <w:szCs w:val="20"/>
          <w:color w:val="auto"/>
        </w:rPr>
      </w:pPr>
    </w:p>
    <w:p>
      <w:pPr>
        <w:jc w:val="both"/>
        <w:ind w:right="460" w:firstLine="498"/>
        <w:spacing w:after="0" w:line="258" w:lineRule="auto"/>
        <w:rPr>
          <w:sz w:val="20"/>
          <w:szCs w:val="20"/>
          <w:color w:val="auto"/>
        </w:rPr>
      </w:pPr>
      <w:r>
        <w:rPr>
          <w:rFonts w:ascii="Arial" w:cs="Arial" w:eastAsia="Arial" w:hAnsi="Arial"/>
          <w:sz w:val="14"/>
          <w:szCs w:val="14"/>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65" w:name="page166"/>
    <w:bookmarkEnd w:id="165"/>
    <w:p>
      <w:pPr>
        <w:ind w:right="20"/>
        <w:spacing w:after="0" w:line="254" w:lineRule="auto"/>
        <w:rPr>
          <w:sz w:val="20"/>
          <w:szCs w:val="20"/>
          <w:color w:val="auto"/>
        </w:rPr>
      </w:pPr>
      <w:r>
        <w:rPr>
          <w:rFonts w:ascii="Arial" w:cs="Arial" w:eastAsia="Arial" w:hAnsi="Arial"/>
          <w:sz w:val="14"/>
          <w:szCs w:val="14"/>
          <w:color w:val="auto"/>
        </w:rPr>
        <w:t>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4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38" w:lineRule="exact"/>
        <w:rPr>
          <w:sz w:val="20"/>
          <w:szCs w:val="20"/>
          <w:color w:val="auto"/>
        </w:rPr>
      </w:pPr>
    </w:p>
    <w:p>
      <w:pPr>
        <w:jc w:val="both"/>
        <w:ind w:right="40" w:firstLine="498"/>
        <w:spacing w:after="0" w:line="321" w:lineRule="auto"/>
        <w:rPr>
          <w:sz w:val="20"/>
          <w:szCs w:val="20"/>
          <w:color w:val="auto"/>
        </w:rPr>
      </w:pPr>
      <w:r>
        <w:rPr>
          <w:rFonts w:ascii="Arial" w:cs="Arial" w:eastAsia="Arial" w:hAnsi="Arial"/>
          <w:sz w:val="12"/>
          <w:szCs w:val="12"/>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10" w:lineRule="exact"/>
        <w:rPr>
          <w:sz w:val="20"/>
          <w:szCs w:val="20"/>
          <w:color w:val="auto"/>
        </w:rPr>
      </w:pPr>
    </w:p>
    <w:p>
      <w:pPr>
        <w:ind w:right="20" w:firstLine="498"/>
        <w:spacing w:after="0" w:line="353" w:lineRule="auto"/>
        <w:rPr>
          <w:sz w:val="20"/>
          <w:szCs w:val="20"/>
          <w:color w:val="auto"/>
        </w:rPr>
      </w:pPr>
      <w:r>
        <w:rPr>
          <w:rFonts w:ascii="Arial" w:cs="Arial" w:eastAsia="Arial" w:hAnsi="Arial"/>
          <w:sz w:val="12"/>
          <w:szCs w:val="12"/>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92"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38"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45" w:lineRule="exact"/>
        <w:rPr>
          <w:sz w:val="20"/>
          <w:szCs w:val="20"/>
          <w:color w:val="auto"/>
        </w:rPr>
      </w:pPr>
    </w:p>
    <w:p>
      <w:pPr>
        <w:ind w:right="20" w:firstLine="498"/>
        <w:spacing w:after="0" w:line="287" w:lineRule="auto"/>
        <w:rPr>
          <w:sz w:val="20"/>
          <w:szCs w:val="20"/>
          <w:color w:val="auto"/>
        </w:rPr>
      </w:pPr>
      <w:r>
        <w:rPr>
          <w:rFonts w:ascii="Arial" w:cs="Arial" w:eastAsia="Arial" w:hAnsi="Arial"/>
          <w:sz w:val="13"/>
          <w:szCs w:val="13"/>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terms used in this Note which are defined in the Indenture but not defined herein shall have the meanings assigned to them in the Indenture.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66" w:name="page167"/>
    <w:bookmarkEnd w:id="166"/>
    <w:p>
      <w:pPr>
        <w:spacing w:after="0"/>
        <w:rPr>
          <w:sz w:val="20"/>
          <w:szCs w:val="20"/>
          <w:color w:val="auto"/>
        </w:rPr>
      </w:pPr>
      <w:r>
        <w:rPr>
          <w:rFonts w:ascii="Arial" w:cs="Arial" w:eastAsia="Arial" w:hAnsi="Arial"/>
          <w:sz w:val="12"/>
          <w:szCs w:val="12"/>
          <w:color w:val="auto"/>
        </w:rPr>
        <w:t>The Notes, the Guarantees and the Indenture shall be governed by and construed in accordance with the laws of the State of New York.</w:t>
      </w:r>
    </w:p>
    <w:p>
      <w:pPr>
        <w:sectPr>
          <w:pgSz w:w="11900" w:h="16838" w:orient="portrait"/>
          <w:cols w:equalWidth="0" w:num="1">
            <w:col w:w="9739"/>
          </w:cols>
          <w:pgMar w:left="720" w:top="295" w:right="1440" w:bottom="1440" w:gutter="0" w:footer="0" w:header="0"/>
        </w:sectPr>
      </w:pPr>
    </w:p>
    <w:p>
      <w:pPr>
        <w:spacing w:after="0" w:line="194"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739"/>
          </w:cols>
          <w:pgMar w:left="720" w:top="295" w:right="1440"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4"/>
          <w:szCs w:val="14"/>
          <w:b w:val="1"/>
          <w:bCs w:val="1"/>
          <w:color w:val="auto"/>
        </w:rPr>
        <w:t>ASSIGNMENT FORM</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 assign this Note, fill in the form below:</w:t>
      </w:r>
    </w:p>
    <w:p>
      <w:pPr>
        <w:spacing w:after="0" w:line="171" w:lineRule="exact"/>
        <w:rPr>
          <w:sz w:val="20"/>
          <w:szCs w:val="20"/>
          <w:color w:val="auto"/>
        </w:rPr>
      </w:pPr>
    </w:p>
    <w:p>
      <w:pPr>
        <w:ind w:left="500" w:hanging="497"/>
        <w:spacing w:after="0"/>
        <w:tabs>
          <w:tab w:leader="none" w:pos="5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or (we) assign and transfer this Security to:</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740" w:type="dxa"/>
            <w:vAlign w:val="bottom"/>
            <w:tcBorders>
              <w:top w:val="single" w:sz="8" w:color="auto"/>
            </w:tcBorders>
          </w:tcPr>
          <w:p>
            <w:pPr>
              <w:ind w:left="2060"/>
              <w:spacing w:after="0"/>
              <w:rPr>
                <w:sz w:val="20"/>
                <w:szCs w:val="20"/>
                <w:color w:val="auto"/>
              </w:rPr>
            </w:pPr>
            <w:r>
              <w:rPr>
                <w:rFonts w:ascii="Arial" w:cs="Arial" w:eastAsia="Arial" w:hAnsi="Arial"/>
                <w:sz w:val="14"/>
                <w:szCs w:val="14"/>
                <w:color w:val="auto"/>
              </w:rPr>
              <w:t>(Insert assignee’s legal name)</w:t>
            </w:r>
          </w:p>
        </w:tc>
        <w:tc>
          <w:tcPr>
            <w:tcW w:w="0" w:type="dxa"/>
            <w:vAlign w:val="bottom"/>
          </w:tcPr>
          <w:p>
            <w:pPr>
              <w:spacing w:after="0"/>
              <w:rPr>
                <w:sz w:val="1"/>
                <w:szCs w:val="1"/>
                <w:color w:val="auto"/>
              </w:rPr>
            </w:pPr>
          </w:p>
        </w:tc>
      </w:tr>
      <w:tr>
        <w:trPr>
          <w:trHeight w:val="335"/>
        </w:trPr>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920" w:type="dxa"/>
            <w:vAlign w:val="bottom"/>
            <w:gridSpan w:val="2"/>
          </w:tcPr>
          <w:p>
            <w:pPr>
              <w:jc w:val="center"/>
              <w:ind w:right="4471"/>
              <w:spacing w:after="0"/>
              <w:rPr>
                <w:sz w:val="20"/>
                <w:szCs w:val="20"/>
                <w:color w:val="auto"/>
              </w:rPr>
            </w:pPr>
            <w:r>
              <w:rPr>
                <w:rFonts w:ascii="Arial" w:cs="Arial" w:eastAsia="Arial" w:hAnsi="Arial"/>
                <w:sz w:val="14"/>
                <w:szCs w:val="14"/>
                <w:color w:val="auto"/>
                <w:w w:val="87"/>
              </w:rPr>
              <w:t>(Insert assignee’s soc. sec. or tax I.D. no.)</w:t>
            </w:r>
          </w:p>
        </w:tc>
        <w:tc>
          <w:tcPr>
            <w:tcW w:w="0" w:type="dxa"/>
            <w:vAlign w:val="bottom"/>
          </w:tcPr>
          <w:p>
            <w:pPr>
              <w:spacing w:after="0"/>
              <w:rPr>
                <w:sz w:val="1"/>
                <w:szCs w:val="1"/>
                <w:color w:val="auto"/>
              </w:rPr>
            </w:pPr>
          </w:p>
        </w:tc>
      </w:tr>
      <w:tr>
        <w:trPr>
          <w:trHeight w:val="167"/>
        </w:trPr>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20" w:type="dxa"/>
            <w:vAlign w:val="bottom"/>
            <w:gridSpan w:val="3"/>
          </w:tcPr>
          <w:p>
            <w:pPr>
              <w:jc w:val="center"/>
              <w:ind w:right="2971"/>
              <w:spacing w:after="0"/>
              <w:rPr>
                <w:sz w:val="20"/>
                <w:szCs w:val="20"/>
                <w:color w:val="auto"/>
              </w:rPr>
            </w:pPr>
            <w:r>
              <w:rPr>
                <w:rFonts w:ascii="Arial" w:cs="Arial" w:eastAsia="Arial" w:hAnsi="Arial"/>
                <w:sz w:val="14"/>
                <w:szCs w:val="14"/>
                <w:color w:val="auto"/>
                <w:w w:val="87"/>
              </w:rPr>
              <w:t>(Print or type assignee’s name, address and zip code)</w:t>
            </w:r>
          </w:p>
        </w:tc>
        <w:tc>
          <w:tcPr>
            <w:tcW w:w="0" w:type="dxa"/>
            <w:vAlign w:val="bottom"/>
          </w:tcPr>
          <w:p>
            <w:pPr>
              <w:spacing w:after="0"/>
              <w:rPr>
                <w:sz w:val="1"/>
                <w:szCs w:val="1"/>
                <w:color w:val="auto"/>
              </w:rPr>
            </w:pPr>
          </w:p>
        </w:tc>
      </w:tr>
      <w:tr>
        <w:trPr>
          <w:trHeight w:val="342"/>
        </w:trPr>
        <w:tc>
          <w:tcPr>
            <w:tcW w:w="1660" w:type="dxa"/>
            <w:vAlign w:val="bottom"/>
            <w:gridSpan w:val="2"/>
          </w:tcPr>
          <w:p>
            <w:pPr>
              <w:spacing w:after="0"/>
              <w:rPr>
                <w:sz w:val="20"/>
                <w:szCs w:val="20"/>
                <w:color w:val="auto"/>
              </w:rPr>
            </w:pPr>
            <w:r>
              <w:rPr>
                <w:rFonts w:ascii="Arial" w:cs="Arial" w:eastAsia="Arial" w:hAnsi="Arial"/>
                <w:sz w:val="14"/>
                <w:szCs w:val="14"/>
                <w:color w:val="auto"/>
              </w:rPr>
              <w:t>and irrevocably appoint</w:t>
            </w:r>
          </w:p>
        </w:tc>
        <w:tc>
          <w:tcPr>
            <w:tcW w:w="9800" w:type="dxa"/>
            <w:vAlign w:val="bottom"/>
            <w:gridSpan w:val="4"/>
          </w:tcPr>
          <w:p>
            <w:pPr>
              <w:ind w:left="340"/>
              <w:spacing w:after="0"/>
              <w:rPr>
                <w:sz w:val="20"/>
                <w:szCs w:val="20"/>
                <w:color w:val="auto"/>
              </w:rPr>
            </w:pPr>
            <w:r>
              <w:rPr>
                <w:rFonts w:ascii="Arial" w:cs="Arial" w:eastAsia="Arial" w:hAnsi="Arial"/>
                <w:sz w:val="14"/>
                <w:szCs w:val="14"/>
                <w:color w:val="auto"/>
              </w:rPr>
              <w:t>to transfer this Note on the books of the Issuer. The agent may substitute another to act for him.</w:t>
            </w:r>
          </w:p>
        </w:tc>
        <w:tc>
          <w:tcPr>
            <w:tcW w:w="0" w:type="dxa"/>
            <w:vAlign w:val="bottom"/>
          </w:tcPr>
          <w:p>
            <w:pPr>
              <w:spacing w:after="0"/>
              <w:rPr>
                <w:sz w:val="1"/>
                <w:szCs w:val="1"/>
                <w:color w:val="auto"/>
              </w:rPr>
            </w:pPr>
          </w:p>
        </w:tc>
      </w:tr>
      <w:tr>
        <w:trPr>
          <w:trHeight w:val="353"/>
        </w:trPr>
        <w:tc>
          <w:tcPr>
            <w:tcW w:w="1660" w:type="dxa"/>
            <w:vAlign w:val="bottom"/>
            <w:gridSpan w:val="2"/>
          </w:tcPr>
          <w:p>
            <w:pPr>
              <w:spacing w:after="0"/>
              <w:rPr>
                <w:sz w:val="20"/>
                <w:szCs w:val="20"/>
                <w:color w:val="auto"/>
              </w:rPr>
            </w:pPr>
            <w:r>
              <w:rPr>
                <w:rFonts w:ascii="Arial" w:cs="Arial" w:eastAsia="Arial" w:hAnsi="Arial"/>
                <w:sz w:val="14"/>
                <w:szCs w:val="14"/>
                <w:color w:val="auto"/>
              </w:rPr>
              <w:t>Date:</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380" w:type="dxa"/>
            <w:vAlign w:val="bottom"/>
            <w:tcBorders>
              <w:top w:val="single" w:sz="8" w:color="auto"/>
              <w:bottom w:val="single" w:sz="8" w:color="auto"/>
            </w:tcBorders>
            <w:vMerge w:val="restart"/>
          </w:tcPr>
          <w:p>
            <w:pPr>
              <w:spacing w:after="0"/>
              <w:rPr>
                <w:sz w:val="13"/>
                <w:szCs w:val="13"/>
                <w:color w:val="auto"/>
              </w:rPr>
            </w:pPr>
          </w:p>
        </w:tc>
        <w:tc>
          <w:tcPr>
            <w:tcW w:w="1500" w:type="dxa"/>
            <w:vAlign w:val="bottom"/>
            <w:vMerge w:val="restart"/>
          </w:tcPr>
          <w:p>
            <w:pPr>
              <w:ind w:left="600"/>
              <w:spacing w:after="0"/>
              <w:rPr>
                <w:sz w:val="20"/>
                <w:szCs w:val="20"/>
                <w:color w:val="auto"/>
              </w:rPr>
            </w:pPr>
            <w:r>
              <w:rPr>
                <w:rFonts w:ascii="Arial" w:cs="Arial" w:eastAsia="Arial" w:hAnsi="Arial"/>
                <w:sz w:val="14"/>
                <w:szCs w:val="14"/>
                <w:color w:val="auto"/>
                <w:w w:val="90"/>
              </w:rPr>
              <w:t>Your Signature:</w:t>
            </w:r>
          </w:p>
        </w:tc>
        <w:tc>
          <w:tcPr>
            <w:tcW w:w="1180" w:type="dxa"/>
            <w:vAlign w:val="bottom"/>
            <w:vMerge w:val="restart"/>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(Sign exactly as your name appears on the face of this Note)</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1576070</wp:posOffset>
            </wp:positionH>
            <wp:positionV relativeFrom="paragraph">
              <wp:posOffset>10160</wp:posOffset>
            </wp:positionV>
            <wp:extent cx="205486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54860" cy="6350"/>
                    </a:xfrm>
                    <a:prstGeom prst="rect">
                      <a:avLst/>
                    </a:prstGeom>
                    <a:noFill/>
                  </pic:spPr>
                </pic:pic>
              </a:graphicData>
            </a:graphic>
          </wp:anchor>
        </w:drawing>
      </w:r>
    </w:p>
    <w:p>
      <w:pPr>
        <w:spacing w:after="0" w:line="172" w:lineRule="exact"/>
        <w:rPr>
          <w:sz w:val="20"/>
          <w:szCs w:val="20"/>
          <w:color w:val="auto"/>
        </w:rPr>
      </w:pPr>
    </w:p>
    <w:p>
      <w:pPr>
        <w:jc w:val="both"/>
        <w:ind w:right="160" w:firstLine="488"/>
        <w:spacing w:after="0" w:line="353" w:lineRule="auto"/>
        <w:rPr>
          <w:sz w:val="20"/>
          <w:szCs w:val="20"/>
          <w:color w:val="auto"/>
        </w:rPr>
      </w:pPr>
      <w:r>
        <w:rPr>
          <w:rFonts w:ascii="Arial" w:cs="Arial" w:eastAsia="Arial" w:hAnsi="Arial"/>
          <w:sz w:val="12"/>
          <w:szCs w:val="12"/>
          <w:color w:val="auto"/>
        </w:rPr>
        <w:t>In connection with any transfer or exchange of any of the Notes evidenced by this certificate occurring prior to the date that is one year (or 40 days in the case of any Regulation S Notes) after the later of the date of original issuance of such Notes and the last date, if any, on which such Notes were owned by the Issuer or any Affiliate of the Issuer, the undersigned confirms that such Notes are being:</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CHECK ONE BOX BELOW:</w:t>
      </w:r>
    </w:p>
    <w:p>
      <w:pPr>
        <w:spacing w:after="0" w:line="171" w:lineRule="exact"/>
        <w:rPr>
          <w:sz w:val="20"/>
          <w:szCs w:val="20"/>
          <w:color w:val="auto"/>
        </w:rPr>
      </w:pPr>
    </w:p>
    <w:p>
      <w:pPr>
        <w:ind w:left="740" w:hanging="249"/>
        <w:spacing w:after="0"/>
        <w:tabs>
          <w:tab w:leader="none" w:pos="74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o  acquired for the undersigned’s own account, without transfer; or</w:t>
      </w:r>
    </w:p>
    <w:p>
      <w:pPr>
        <w:spacing w:after="0" w:line="170" w:lineRule="exact"/>
        <w:rPr>
          <w:rFonts w:ascii="Arial" w:cs="Arial" w:eastAsia="Arial" w:hAnsi="Arial"/>
          <w:sz w:val="14"/>
          <w:szCs w:val="14"/>
          <w:color w:val="auto"/>
        </w:rPr>
      </w:pPr>
    </w:p>
    <w:p>
      <w:pPr>
        <w:ind w:left="740" w:hanging="249"/>
        <w:spacing w:after="0"/>
        <w:tabs>
          <w:tab w:leader="none" w:pos="74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o  transferred to the Parent Guarantor or any Subsidiary thereof; or</w:t>
      </w:r>
    </w:p>
    <w:p>
      <w:pPr>
        <w:spacing w:after="0" w:line="170" w:lineRule="exact"/>
        <w:rPr>
          <w:rFonts w:ascii="Arial" w:cs="Arial" w:eastAsia="Arial" w:hAnsi="Arial"/>
          <w:sz w:val="14"/>
          <w:szCs w:val="14"/>
          <w:color w:val="auto"/>
        </w:rPr>
      </w:pPr>
    </w:p>
    <w:p>
      <w:pPr>
        <w:ind w:left="740" w:hanging="249"/>
        <w:spacing w:after="0"/>
        <w:tabs>
          <w:tab w:leader="none" w:pos="74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o  transferred pursuant to and in compliance with Rule 144A under the Securities Act of 1933, as amended (the “Securities Act”); or</w:t>
      </w:r>
    </w:p>
    <w:p>
      <w:pPr>
        <w:spacing w:after="0" w:line="347" w:lineRule="exact"/>
        <w:rPr>
          <w:rFonts w:ascii="Arial" w:cs="Arial" w:eastAsia="Arial" w:hAnsi="Arial"/>
          <w:sz w:val="14"/>
          <w:szCs w:val="14"/>
          <w:color w:val="auto"/>
        </w:rPr>
      </w:pPr>
    </w:p>
    <w:p>
      <w:pPr>
        <w:ind w:left="280" w:hanging="277"/>
        <w:spacing w:after="0"/>
        <w:tabs>
          <w:tab w:leader="none" w:pos="2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83134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68" w:name="page169"/>
    <w:bookmarkEnd w:id="168"/>
    <w:p>
      <w:pPr>
        <w:ind w:left="740" w:hanging="249"/>
        <w:spacing w:after="0"/>
        <w:tabs>
          <w:tab w:leader="none" w:pos="7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  transferred pursuant to an effective registration statement under the Securities Act; or</w:t>
      </w:r>
    </w:p>
    <w:p>
      <w:pPr>
        <w:spacing w:after="0" w:line="170" w:lineRule="exact"/>
        <w:rPr>
          <w:rFonts w:ascii="Arial" w:cs="Arial" w:eastAsia="Arial" w:hAnsi="Arial"/>
          <w:sz w:val="14"/>
          <w:szCs w:val="14"/>
          <w:color w:val="auto"/>
        </w:rPr>
      </w:pPr>
    </w:p>
    <w:p>
      <w:pPr>
        <w:ind w:left="740" w:hanging="249"/>
        <w:spacing w:after="0"/>
        <w:tabs>
          <w:tab w:leader="none" w:pos="7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  transferred pursuant to and in compliance with Regulation S under the Securities Act; or</w:t>
      </w:r>
    </w:p>
    <w:p>
      <w:pPr>
        <w:spacing w:after="0" w:line="170" w:lineRule="exact"/>
        <w:rPr>
          <w:rFonts w:ascii="Arial" w:cs="Arial" w:eastAsia="Arial" w:hAnsi="Arial"/>
          <w:sz w:val="14"/>
          <w:szCs w:val="14"/>
          <w:color w:val="auto"/>
        </w:rPr>
      </w:pPr>
    </w:p>
    <w:p>
      <w:pPr>
        <w:ind w:left="980" w:right="180" w:hanging="489"/>
        <w:spacing w:after="0" w:line="268" w:lineRule="auto"/>
        <w:tabs>
          <w:tab w:leader="none" w:pos="73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 transferred to an institutional “accredited investor” (as defined in Rule 501(a)(1), (2), (3) or (7) under the Securities Act), that has furnished to the Trustee a signed letter containing certain representations and agreements (the form of which letter appears as Annex C to the Indenture); or</w:t>
      </w:r>
    </w:p>
    <w:p>
      <w:pPr>
        <w:spacing w:after="0" w:line="138" w:lineRule="exact"/>
        <w:rPr>
          <w:rFonts w:ascii="Arial" w:cs="Arial" w:eastAsia="Arial" w:hAnsi="Arial"/>
          <w:sz w:val="14"/>
          <w:szCs w:val="14"/>
          <w:color w:val="auto"/>
        </w:rPr>
      </w:pPr>
    </w:p>
    <w:p>
      <w:pPr>
        <w:ind w:left="740" w:hanging="249"/>
        <w:spacing w:after="0"/>
        <w:tabs>
          <w:tab w:leader="none" w:pos="7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  transferred pursuant to another available exemption from the registration requirements of the Securities Act.</w:t>
      </w:r>
    </w:p>
    <w:p>
      <w:pPr>
        <w:spacing w:after="0" w:line="171" w:lineRule="exact"/>
        <w:rPr>
          <w:sz w:val="20"/>
          <w:szCs w:val="20"/>
          <w:color w:val="auto"/>
        </w:rPr>
      </w:pPr>
    </w:p>
    <w:p>
      <w:pPr>
        <w:ind w:right="160" w:firstLine="498"/>
        <w:spacing w:after="0" w:line="254" w:lineRule="auto"/>
        <w:rPr>
          <w:sz w:val="20"/>
          <w:szCs w:val="20"/>
          <w:color w:val="auto"/>
        </w:rPr>
      </w:pPr>
      <w:r>
        <w:rPr>
          <w:rFonts w:ascii="Arial" w:cs="Arial" w:eastAsia="Arial" w:hAnsi="Arial"/>
          <w:sz w:val="14"/>
          <w:szCs w:val="14"/>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box (5), (6) or (7) is checked, the Issuer may require, prior to registering any such transfer of the Notes, in its sole discretion, such legal opinions, certifications and other information as the</w:t>
      </w:r>
      <w:r>
        <w:rPr>
          <w:rFonts w:ascii="Arial" w:cs="Arial" w:eastAsia="Arial" w:hAnsi="Arial"/>
          <w:sz w:val="14"/>
          <w:szCs w:val="14"/>
          <w:i w:val="1"/>
          <w:iCs w:val="1"/>
          <w:color w:val="auto"/>
        </w:rPr>
        <w:t xml:space="preserve"> </w:t>
      </w:r>
      <w:r>
        <w:rPr>
          <w:rFonts w:ascii="Arial" w:cs="Arial" w:eastAsia="Arial" w:hAnsi="Arial"/>
          <w:sz w:val="14"/>
          <w:szCs w:val="14"/>
          <w:color w:val="auto"/>
        </w:rPr>
        <w:t>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325"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-101600</wp:posOffset>
            </wp:positionV>
            <wp:extent cx="363601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36010"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347154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7154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TO BE COMPLETED BY PURCHASER IF BOX (3) ABOVE IS CHECKED.</w:t>
      </w:r>
    </w:p>
    <w:p>
      <w:pPr>
        <w:spacing w:after="0" w:line="171" w:lineRule="exact"/>
        <w:rPr>
          <w:sz w:val="20"/>
          <w:szCs w:val="20"/>
          <w:color w:val="auto"/>
        </w:rPr>
      </w:pPr>
    </w:p>
    <w:p>
      <w:pPr>
        <w:ind w:firstLine="498"/>
        <w:spacing w:after="0" w:line="280" w:lineRule="auto"/>
        <w:rPr>
          <w:sz w:val="20"/>
          <w:szCs w:val="20"/>
          <w:color w:val="auto"/>
        </w:rPr>
      </w:pPr>
      <w:r>
        <w:rPr>
          <w:rFonts w:ascii="Arial" w:cs="Arial" w:eastAsia="Arial" w:hAnsi="Arial"/>
          <w:sz w:val="13"/>
          <w:szCs w:val="13"/>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183134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89" w:lineRule="exact"/>
        <w:rPr>
          <w:sz w:val="20"/>
          <w:szCs w:val="20"/>
          <w:color w:val="auto"/>
        </w:rPr>
      </w:pPr>
    </w:p>
    <w:p>
      <w:pPr>
        <w:ind w:left="5620" w:right="4320" w:hanging="5617"/>
        <w:spacing w:after="0" w:line="516" w:lineRule="auto"/>
        <w:tabs>
          <w:tab w:leader="none" w:pos="273" w:val="left"/>
        </w:tabs>
        <w:numPr>
          <w:ilvl w:val="0"/>
          <w:numId w:val="140"/>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69" w:name="page170"/>
    <w:bookmarkEnd w:id="169"/>
    <w:p>
      <w:pPr>
        <w:ind w:left="452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363601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36010" cy="6350"/>
                    </a:xfrm>
                    <a:prstGeom prst="rect">
                      <a:avLst/>
                    </a:prstGeom>
                    <a:noFill/>
                  </pic:spPr>
                </pic:pic>
              </a:graphicData>
            </a:graphic>
          </wp:anchor>
        </w:drawing>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66675</wp:posOffset>
            </wp:positionV>
            <wp:extent cx="72974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170" w:name="page171"/>
    <w:bookmarkEnd w:id="170"/>
    <w:p>
      <w:pPr>
        <w:ind w:left="4700"/>
        <w:spacing w:after="0"/>
        <w:rPr>
          <w:sz w:val="20"/>
          <w:szCs w:val="20"/>
          <w:color w:val="auto"/>
        </w:rPr>
      </w:pPr>
      <w:r>
        <w:rPr>
          <w:rFonts w:ascii="Arial" w:cs="Arial" w:eastAsia="Arial" w:hAnsi="Arial"/>
          <w:sz w:val="14"/>
          <w:szCs w:val="14"/>
          <w:b w:val="1"/>
          <w:bCs w:val="1"/>
          <w:color w:val="auto"/>
        </w:rPr>
        <w:t>Option of Holder to Elect Purchase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you want to elect to have this Note purchased by the Issuer pursuant to Section 1007 or Section 1012 of the Indenture, check the appropriate box below:</w:t>
      </w:r>
    </w:p>
    <w:p>
      <w:pPr>
        <w:spacing w:after="0" w:line="171" w:lineRule="exact"/>
        <w:rPr>
          <w:sz w:val="20"/>
          <w:szCs w:val="20"/>
          <w:color w:val="auto"/>
        </w:rPr>
      </w:pPr>
    </w:p>
    <w:p>
      <w:pPr>
        <w:ind w:left="4800"/>
        <w:spacing w:after="0"/>
        <w:tabs>
          <w:tab w:leader="none" w:pos="5820" w:val="left"/>
        </w:tabs>
        <w:rPr>
          <w:sz w:val="20"/>
          <w:szCs w:val="20"/>
          <w:color w:val="auto"/>
        </w:rPr>
      </w:pPr>
      <w:r>
        <w:rPr>
          <w:rFonts w:ascii="Arial" w:cs="Arial" w:eastAsia="Arial" w:hAnsi="Arial"/>
          <w:sz w:val="14"/>
          <w:szCs w:val="14"/>
          <w:color w:val="auto"/>
        </w:rPr>
        <w:t>o Section 1007</w:t>
      </w:r>
      <w:r>
        <w:rPr>
          <w:sz w:val="20"/>
          <w:szCs w:val="20"/>
          <w:color w:val="auto"/>
        </w:rPr>
        <w:tab/>
      </w:r>
      <w:r>
        <w:rPr>
          <w:rFonts w:ascii="Arial" w:cs="Arial" w:eastAsia="Arial" w:hAnsi="Arial"/>
          <w:sz w:val="12"/>
          <w:szCs w:val="12"/>
          <w:color w:val="auto"/>
        </w:rPr>
        <w:t>o Section 1012</w:t>
      </w:r>
    </w:p>
    <w:p>
      <w:pPr>
        <w:spacing w:after="0" w:line="171" w:lineRule="exact"/>
        <w:rPr>
          <w:sz w:val="20"/>
          <w:szCs w:val="20"/>
          <w:color w:val="auto"/>
        </w:rPr>
      </w:pPr>
    </w:p>
    <w:p>
      <w:pPr>
        <w:jc w:val="center"/>
        <w:ind w:right="-499"/>
        <w:spacing w:after="0"/>
        <w:rPr>
          <w:sz w:val="20"/>
          <w:szCs w:val="20"/>
          <w:color w:val="auto"/>
        </w:rPr>
      </w:pPr>
      <w:r>
        <w:rPr>
          <w:rFonts w:ascii="Arial" w:cs="Arial" w:eastAsia="Arial" w:hAnsi="Arial"/>
          <w:sz w:val="12"/>
          <w:szCs w:val="12"/>
          <w:color w:val="auto"/>
        </w:rPr>
        <w:t>If you want to elect to have only part of the Note purchased by the Issuer pursuant to Section 1007 or Section 1012 of the Indenture, state the amount you elect to have purchased:</w:t>
      </w:r>
    </w:p>
    <w:p>
      <w:pPr>
        <w:spacing w:after="0" w:line="194"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10160</wp:posOffset>
            </wp:positionV>
            <wp:extent cx="243078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30780" cy="635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-101600</wp:posOffset>
            </wp:positionV>
            <wp:extent cx="282575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25750" cy="6350"/>
                    </a:xfrm>
                    <a:prstGeom prst="rect">
                      <a:avLst/>
                    </a:prstGeom>
                    <a:noFill/>
                  </pic:spPr>
                </pic:pic>
              </a:graphicData>
            </a:graphic>
          </wp:anchor>
        </w:drawing>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71"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Tax Identification No.:</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10160</wp:posOffset>
            </wp:positionV>
            <wp:extent cx="190373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0373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183134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38" w:lineRule="exact"/>
        <w:rPr>
          <w:sz w:val="20"/>
          <w:szCs w:val="20"/>
          <w:color w:val="auto"/>
        </w:rPr>
      </w:pPr>
    </w:p>
    <w:p>
      <w:pPr>
        <w:ind w:left="5600" w:right="3360" w:hanging="5597"/>
        <w:spacing w:after="0" w:line="516" w:lineRule="auto"/>
        <w:tabs>
          <w:tab w:leader="none" w:pos="147" w:val="left"/>
        </w:tabs>
        <w:numPr>
          <w:ilvl w:val="0"/>
          <w:numId w:val="141"/>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360"/>
          </w:cols>
          <w:pgMar w:left="220" w:top="291" w:right="1319" w:bottom="1440" w:gutter="0" w:footer="0" w:header="0"/>
        </w:sectPr>
      </w:pPr>
    </w:p>
    <w:bookmarkStart w:id="171" w:name="page172"/>
    <w:bookmarkEnd w:id="171"/>
    <w:p>
      <w:pPr>
        <w:ind w:left="3560"/>
        <w:spacing w:after="0"/>
        <w:rPr>
          <w:sz w:val="20"/>
          <w:szCs w:val="20"/>
          <w:color w:val="auto"/>
        </w:rPr>
      </w:pPr>
      <w:r>
        <w:rPr>
          <w:rFonts w:ascii="Arial" w:cs="Arial" w:eastAsia="Arial" w:hAnsi="Arial"/>
          <w:sz w:val="14"/>
          <w:szCs w:val="14"/>
          <w:color w:val="auto"/>
        </w:rPr>
        <w:t>SCHEDULE OF EXCHANGES OF INTERESTS IN THE GLOBAL NOTE*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exchanges of a part of this Global Note for other Notes have been made: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Principal Amount</w:t>
            </w:r>
          </w:p>
        </w:tc>
        <w:tc>
          <w:tcPr>
            <w:tcW w:w="1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Signature of</w:t>
            </w:r>
          </w:p>
        </w:tc>
      </w:tr>
      <w:tr>
        <w:trPr>
          <w:trHeight w:val="114"/>
        </w:trPr>
        <w:tc>
          <w:tcPr>
            <w:tcW w:w="2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90"/>
              </w:rPr>
              <w:t>Amount of</w:t>
            </w:r>
          </w:p>
        </w:tc>
        <w:tc>
          <w:tcPr>
            <w:tcW w:w="200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90"/>
              </w:rPr>
              <w:t>Amount of</w:t>
            </w:r>
          </w:p>
        </w:tc>
        <w:tc>
          <w:tcPr>
            <w:tcW w:w="200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90"/>
              </w:rPr>
              <w:t>of this Global</w:t>
            </w:r>
          </w:p>
        </w:tc>
        <w:tc>
          <w:tcPr>
            <w:tcW w:w="182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93"/>
              </w:rPr>
              <w:t>authorized</w:t>
            </w:r>
          </w:p>
        </w:tc>
      </w:tr>
      <w:tr>
        <w:trPr>
          <w:trHeight w:val="114"/>
        </w:trPr>
        <w:tc>
          <w:tcPr>
            <w:tcW w:w="2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85"/>
              </w:rPr>
              <w:t>decrease in</w:t>
            </w:r>
          </w:p>
        </w:tc>
        <w:tc>
          <w:tcPr>
            <w:tcW w:w="200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86"/>
              </w:rPr>
              <w:t>increase in</w:t>
            </w:r>
          </w:p>
        </w:tc>
        <w:tc>
          <w:tcPr>
            <w:tcW w:w="200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89"/>
              </w:rPr>
              <w:t>Note following</w:t>
            </w:r>
          </w:p>
        </w:tc>
        <w:tc>
          <w:tcPr>
            <w:tcW w:w="182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8"/>
              </w:rPr>
              <w:t>signatory of</w:t>
            </w:r>
          </w:p>
        </w:tc>
      </w:tr>
      <w:tr>
        <w:trPr>
          <w:trHeight w:val="114"/>
        </w:trPr>
        <w:tc>
          <w:tcPr>
            <w:tcW w:w="2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92"/>
              </w:rPr>
              <w:t>Principal Amount</w:t>
            </w:r>
          </w:p>
        </w:tc>
        <w:tc>
          <w:tcPr>
            <w:tcW w:w="200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92"/>
              </w:rPr>
              <w:t>Principal Amount</w:t>
            </w:r>
          </w:p>
        </w:tc>
        <w:tc>
          <w:tcPr>
            <w:tcW w:w="200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83"/>
              </w:rPr>
              <w:t>such decrease</w:t>
            </w:r>
          </w:p>
        </w:tc>
        <w:tc>
          <w:tcPr>
            <w:tcW w:w="182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9"/>
              </w:rPr>
              <w:t>Trustee or</w:t>
            </w:r>
          </w:p>
        </w:tc>
      </w:tr>
      <w:tr>
        <w:trPr>
          <w:trHeight w:val="131"/>
        </w:trPr>
        <w:tc>
          <w:tcPr>
            <w:tcW w:w="3620" w:type="dxa"/>
            <w:vAlign w:val="bottom"/>
            <w:gridSpan w:val="3"/>
          </w:tcPr>
          <w:p>
            <w:pPr>
              <w:spacing w:after="0"/>
              <w:rPr>
                <w:sz w:val="20"/>
                <w:szCs w:val="20"/>
                <w:color w:val="auto"/>
              </w:rPr>
            </w:pPr>
            <w:r>
              <w:rPr>
                <w:rFonts w:ascii="Arial" w:cs="Arial" w:eastAsia="Arial" w:hAnsi="Arial"/>
                <w:sz w:val="11"/>
                <w:szCs w:val="11"/>
                <w:b w:val="1"/>
                <w:bCs w:val="1"/>
                <w:color w:val="auto"/>
              </w:rPr>
              <w:t>Date of Exchange</w:t>
            </w:r>
          </w:p>
        </w:tc>
        <w:tc>
          <w:tcPr>
            <w:tcW w:w="2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of this Global Note</w:t>
            </w:r>
          </w:p>
        </w:tc>
        <w:tc>
          <w:tcPr>
            <w:tcW w:w="2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of this Global Note</w:t>
            </w:r>
          </w:p>
        </w:tc>
        <w:tc>
          <w:tcPr>
            <w:tcW w:w="2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(or increase)</w:t>
            </w:r>
          </w:p>
        </w:tc>
        <w:tc>
          <w:tcPr>
            <w:tcW w:w="1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Custodian</w:t>
            </w:r>
          </w:p>
        </w:tc>
      </w:tr>
      <w:tr>
        <w:trPr>
          <w:trHeight w:val="156"/>
        </w:trPr>
        <w:tc>
          <w:tcPr>
            <w:tcW w:w="2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66"/>
        </w:trPr>
        <w:tc>
          <w:tcPr>
            <w:tcW w:w="2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49"/>
        </w:trPr>
        <w:tc>
          <w:tcPr>
            <w:tcW w:w="2880" w:type="dxa"/>
            <w:vAlign w:val="bottom"/>
            <w:tcBorders>
              <w:bottom w:val="single" w:sz="8" w:color="808080"/>
            </w:tcBorders>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72" w:lineRule="exact"/>
        <w:rPr>
          <w:sz w:val="20"/>
          <w:szCs w:val="20"/>
          <w:color w:val="auto"/>
        </w:rPr>
      </w:pPr>
    </w:p>
    <w:p>
      <w:pPr>
        <w:ind w:left="100" w:hanging="97"/>
        <w:spacing w:after="0"/>
        <w:tabs>
          <w:tab w:leader="none" w:pos="100" w:val="left"/>
        </w:tabs>
        <w:numPr>
          <w:ilvl w:val="0"/>
          <w:numId w:val="142"/>
        </w:numPr>
        <w:rPr>
          <w:rFonts w:ascii="Arial" w:cs="Arial" w:eastAsia="Arial" w:hAnsi="Arial"/>
          <w:sz w:val="14"/>
          <w:szCs w:val="14"/>
          <w:color w:val="auto"/>
        </w:rPr>
      </w:pPr>
      <w:r>
        <w:rPr>
          <w:rFonts w:ascii="Arial" w:cs="Arial" w:eastAsia="Arial" w:hAnsi="Arial"/>
          <w:sz w:val="14"/>
          <w:szCs w:val="14"/>
          <w:i w:val="1"/>
          <w:iCs w:val="1"/>
          <w:color w:val="auto"/>
        </w:rPr>
        <w:t>This schedule should be included only if the Note is issued in global 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4"/>
          <w:szCs w:val="14"/>
          <w:b w:val="1"/>
          <w:bCs w:val="1"/>
          <w:color w:val="auto"/>
        </w:rPr>
        <w:t>ANNEX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SUPPLEMENTAL INDENTURE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DELIVERED BY FUTURE SUBSIDIARY GUARANTORS</w:t>
      </w:r>
    </w:p>
    <w:p>
      <w:pPr>
        <w:spacing w:after="0" w:line="162" w:lineRule="exact"/>
        <w:rPr>
          <w:sz w:val="20"/>
          <w:szCs w:val="20"/>
          <w:color w:val="auto"/>
        </w:rPr>
      </w:pPr>
    </w:p>
    <w:p>
      <w:pPr>
        <w:ind w:right="80" w:firstLine="498"/>
        <w:spacing w:after="0" w:line="252" w:lineRule="auto"/>
        <w:rPr>
          <w:sz w:val="20"/>
          <w:szCs w:val="20"/>
          <w:color w:val="auto"/>
        </w:rPr>
      </w:pPr>
      <w:r>
        <w:rPr>
          <w:rFonts w:ascii="Arial" w:cs="Arial" w:eastAsia="Arial" w:hAnsi="Arial"/>
          <w:sz w:val="14"/>
          <w:szCs w:val="14"/>
          <w:color w:val="auto"/>
        </w:rPr>
        <w:t>THIS SUPPLEMENTAL INDENTURE (this “Supplemental Indenture”), dated as of , 20 , is among [Name of Future Subsidiary Guarantor] (the “New Subsidiary Guarantor”), a subsidiary of [Weatherford International plc, an Irish public limited company [or its permitted successor] (the “Parent Guarantor”)], [Weatherford International, Ltd., a Bermuda exempted company (“Weatherford Bermuda”)], each other existing Subsidiary Guarantor (as defined in the Indenture referred to herein), [Weatherford International, LLC, a Delaware limited liability company (the “Issuer”)], the Parent Guarantor and Deutsche Bank Trust Company Americas, as trustee under the Indenture referred to herein (the “Trustee”). The New Subsidiary Guarantor and the existing Subsidiary Guarantors are sometimes referred to collectively herein as the “Subsidiary Guarantors,” or individually as a “Subsidiary Guarantor.”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 I T N E S S E T H:</w:t>
      </w:r>
    </w:p>
    <w:p>
      <w:pPr>
        <w:spacing w:after="0" w:line="175"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WHEREAS, the Issuer, the Parent Guarantor, [Weatherford Bermuda] and the Trustee are parties to an Indenture, dated as of [·], 2019 relating to the 11.00% Senior Notes due 2024 (the “</w:t>
      </w:r>
      <w:r>
        <w:rPr>
          <w:rFonts w:ascii="Arial" w:cs="Arial" w:eastAsia="Arial" w:hAnsi="Arial"/>
          <w:sz w:val="14"/>
          <w:szCs w:val="14"/>
          <w:i w:val="1"/>
          <w:iCs w:val="1"/>
          <w:color w:val="auto"/>
        </w:rPr>
        <w:t>Notes</w:t>
      </w:r>
      <w:r>
        <w:rPr>
          <w:rFonts w:ascii="Arial" w:cs="Arial" w:eastAsia="Arial" w:hAnsi="Arial"/>
          <w:sz w:val="14"/>
          <w:szCs w:val="14"/>
          <w:color w:val="auto"/>
        </w:rPr>
        <w:t>”) of the Issuer;</w:t>
      </w:r>
    </w:p>
    <w:p>
      <w:pPr>
        <w:spacing w:after="0" w:line="138"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WHEREAS, Section 1014 of the Indenture obligates the Issuer to cause certain Restricted Subsidiaries to become Subsidiary Guarantors by executing a supplemental indenture as provided in such Section; and</w:t>
      </w:r>
    </w:p>
    <w:p>
      <w:pPr>
        <w:spacing w:after="0" w:line="138"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WHEREAS, pursuant to Section 901 of the Indenture, the Issuer, the Parent Guarantor, the Subsidiary Guarantors and the Trustee are authorized to execute and deliver this Supplemental Indenture to amend or supplement the Indenture without the consent of any Holder;</w:t>
      </w:r>
    </w:p>
    <w:p>
      <w:pPr>
        <w:spacing w:after="0" w:line="138"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NOW, THEREFORE, to comply with the provisions of the Indenture and in consideration of the foregoing and for other good and valuable consideration, the receipt of which is hereby acknowledged, the New Subsidiary Guarantor, the other Subsidiary Guarantors, the Issuer, the Parent Guarantor and the Trustee mutually covenant and agree for the equal and ratable benefit of the Holders of the Notes as follows:</w:t>
      </w:r>
    </w:p>
    <w:p>
      <w:pPr>
        <w:spacing w:after="0" w:line="145" w:lineRule="exact"/>
        <w:rPr>
          <w:sz w:val="20"/>
          <w:szCs w:val="20"/>
          <w:color w:val="auto"/>
        </w:rPr>
      </w:pPr>
    </w:p>
    <w:p>
      <w:pPr>
        <w:ind w:left="1000" w:hanging="499"/>
        <w:spacing w:after="0"/>
        <w:tabs>
          <w:tab w:leader="none" w:pos="10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CAPITALIZED TERMS. Capitalized terms used herein without definition shall have the meanings assigned to them in the Indenture.</w:t>
      </w:r>
    </w:p>
    <w:p>
      <w:pPr>
        <w:spacing w:after="0" w:line="170" w:lineRule="exact"/>
        <w:rPr>
          <w:rFonts w:ascii="Arial" w:cs="Arial" w:eastAsia="Arial" w:hAnsi="Arial"/>
          <w:sz w:val="14"/>
          <w:szCs w:val="14"/>
          <w:color w:val="auto"/>
        </w:rPr>
      </w:pPr>
    </w:p>
    <w:p>
      <w:pPr>
        <w:ind w:right="80" w:firstLine="501"/>
        <w:spacing w:after="0" w:line="254" w:lineRule="auto"/>
        <w:tabs>
          <w:tab w:leader="none" w:pos="996"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AGREEMENT TO GUARANTEE. The New Subsidiary Guarantor hereby agrees, jointly and severally, with the Parent Guarantor and all other Subsidiary Guarantors, to fully and unconditionally guarantee to each Holder and to the Trustee the Indenture Obligations, to the extent set forth in Article Fourteen of the Indenture and subject to the provisions thereof. The obligations of the Subsidiary Guarantors to the Holders of Notes and to the Trustee pursuant to the Subsidiary Guarantees are expressly set forth in Article Fourteen of the Indenture, and reference is hereby made to such Article for the precise terms of the Subsidiary Guarantees.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73" w:name="page174"/>
    <w:bookmarkEnd w:id="173"/>
    <w:p>
      <w:pPr>
        <w:ind w:left="1000" w:hanging="499"/>
        <w:spacing w:after="0"/>
        <w:tabs>
          <w:tab w:leader="none" w:pos="10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NEW YORK LAW TO GOVERN. THE LAWS OF THE STATE OF NEW YORK SHALL GOVERN AND BE USED TO CONSTRUE AND ENFORCE THIS SUPPLEMENTAL</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INDENTURE.</w:t>
      </w:r>
    </w:p>
    <w:p>
      <w:pPr>
        <w:spacing w:after="0" w:line="161" w:lineRule="exact"/>
        <w:rPr>
          <w:rFonts w:ascii="Arial" w:cs="Arial" w:eastAsia="Arial" w:hAnsi="Arial"/>
          <w:sz w:val="13"/>
          <w:szCs w:val="13"/>
          <w:color w:val="auto"/>
        </w:rPr>
      </w:pPr>
    </w:p>
    <w:p>
      <w:pPr>
        <w:ind w:right="540" w:firstLine="501"/>
        <w:spacing w:after="0" w:line="268" w:lineRule="auto"/>
        <w:tabs>
          <w:tab w:leader="none" w:pos="996"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38" w:lineRule="exact"/>
        <w:rPr>
          <w:rFonts w:ascii="Arial" w:cs="Arial" w:eastAsia="Arial" w:hAnsi="Arial"/>
          <w:sz w:val="14"/>
          <w:szCs w:val="14"/>
          <w:color w:val="auto"/>
        </w:rPr>
      </w:pPr>
    </w:p>
    <w:p>
      <w:pPr>
        <w:ind w:left="1000" w:hanging="499"/>
        <w:spacing w:after="0"/>
        <w:tabs>
          <w:tab w:leader="none" w:pos="10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EFFECT OF HEADINGS. The Section headings herein are for convenience only and shall not affect the construction hereof.</w:t>
      </w:r>
    </w:p>
    <w:p>
      <w:pPr>
        <w:spacing w:after="0" w:line="170" w:lineRule="exact"/>
        <w:rPr>
          <w:rFonts w:ascii="Arial" w:cs="Arial" w:eastAsia="Arial" w:hAnsi="Arial"/>
          <w:sz w:val="14"/>
          <w:szCs w:val="14"/>
          <w:color w:val="auto"/>
        </w:rPr>
      </w:pPr>
    </w:p>
    <w:p>
      <w:pPr>
        <w:ind w:firstLine="501"/>
        <w:spacing w:after="0" w:line="258" w:lineRule="auto"/>
        <w:tabs>
          <w:tab w:leader="none" w:pos="996"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[Remainder of Page Intentionally Left Blank.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Signature Page Follows.]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74" w:name="page175"/>
    <w:bookmarkEnd w:id="174"/>
    <w:p>
      <w:pPr>
        <w:spacing w:after="0"/>
        <w:rPr>
          <w:sz w:val="20"/>
          <w:szCs w:val="20"/>
          <w:color w:val="auto"/>
        </w:rPr>
      </w:pPr>
      <w:r>
        <w:rPr>
          <w:rFonts w:ascii="Arial" w:cs="Arial" w:eastAsia="Arial" w:hAnsi="Arial"/>
          <w:sz w:val="12"/>
          <w:szCs w:val="12"/>
          <w:color w:val="auto"/>
        </w:rPr>
        <w:t>IN WITNESS WHEREOF, the parties hereto have caused this Supplemental Indenture to be duly executed and attested, all as of the date first above written.</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 20</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[NEW SUBSIDIARY GUARANTOR]</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-101600</wp:posOffset>
            </wp:positionV>
            <wp:extent cx="326072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Delaware limited liability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-101600</wp:posOffset>
            </wp:positionV>
            <wp:extent cx="326072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[OTHER SUBSIDIARY GUARANTORS]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-101600</wp:posOffset>
            </wp:positionV>
            <wp:extent cx="326072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LTD.</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Bermuda exempted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-101600</wp:posOffset>
            </wp:positionV>
            <wp:extent cx="326072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PLC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an Irish public limited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-101600</wp:posOffset>
            </wp:positionV>
            <wp:extent cx="326072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i w:val="1"/>
          <w:iCs w:val="1"/>
          <w:color w:val="auto"/>
        </w:rPr>
        <w:t>as Trustee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-101600</wp:posOffset>
            </wp:positionV>
            <wp:extent cx="326072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739"/>
          </w:cols>
          <w:pgMar w:left="720" w:top="295"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4"/>
          <w:szCs w:val="14"/>
          <w:b w:val="1"/>
          <w:bCs w:val="1"/>
          <w:color w:val="auto"/>
        </w:rPr>
        <w:t>Exhibit T3E-5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THE UNITED STATES BANKRUPTCY COURT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SOUTHERN DISTRICT OF TEXAS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HOUSTON DIVISION</w:t>
      </w:r>
    </w:p>
    <w:p>
      <w:pPr>
        <w:sectPr>
          <w:pgSz w:w="11900" w:h="16838" w:orient="portrait"/>
          <w:cols w:equalWidth="0" w:num="1">
            <w:col w:w="11460"/>
          </w:cols>
          <w:pgMar w:left="220" w:top="125" w:right="21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In re: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WEATHERFORD INTERNATIONAL PLC, </w:t>
      </w:r>
      <w:r>
        <w:rPr>
          <w:rFonts w:ascii="Arial" w:cs="Arial" w:eastAsia="Arial" w:hAnsi="Arial"/>
          <w:sz w:val="14"/>
          <w:szCs w:val="14"/>
          <w:i w:val="1"/>
          <w:iCs w:val="1"/>
          <w:color w:val="auto"/>
        </w:rPr>
        <w:t>et al.</w:t>
      </w:r>
      <w:r>
        <w:rPr>
          <w:rFonts w:ascii="Arial" w:cs="Arial" w:eastAsia="Arial" w:hAnsi="Arial"/>
          <w:sz w:val="14"/>
          <w:szCs w:val="14"/>
          <w:color w:val="auto"/>
        </w:rPr>
        <w:t>,</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Debtors. (1)</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175260</wp:posOffset>
            </wp:positionV>
            <wp:extent cx="183769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x</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Chapter 11</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Case No. 19-33694 (DRJ)</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(Jointly Administered)</w:t>
      </w:r>
    </w:p>
    <w:p>
      <w:pPr>
        <w:spacing w:after="0" w:line="520" w:lineRule="exact"/>
        <w:rPr>
          <w:sz w:val="20"/>
          <w:szCs w:val="20"/>
          <w:color w:val="auto"/>
        </w:rPr>
      </w:pPr>
    </w:p>
    <w:p>
      <w:pPr>
        <w:sectPr>
          <w:pgSz w:w="11900" w:h="16838" w:orient="portrait"/>
          <w:cols w:equalWidth="0" w:num="3">
            <w:col w:w="6360" w:space="720"/>
            <w:col w:w="60" w:space="200"/>
            <w:col w:w="4120"/>
          </w:cols>
          <w:pgMar w:left="220" w:top="125" w:right="219" w:bottom="1440" w:gutter="0" w:footer="0" w:header="0"/>
          <w:type w:val="continuous"/>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SECOND AMENDED JOINT PREPACKAGED PLAN OF REORGANIZATION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WEATHERFORD INTERNATIONAL PLC AND ITS AFFILIATE DEBTORS UNDER CHAPTER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169545</wp:posOffset>
            </wp:positionV>
            <wp:extent cx="183769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HUNTON ANDREWS KURTH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LATHAM &amp; WATKINS LLP</w:t>
      </w:r>
    </w:p>
    <w:p>
      <w:pPr>
        <w:spacing w:after="0" w:line="175" w:lineRule="exact"/>
        <w:rPr>
          <w:sz w:val="20"/>
          <w:szCs w:val="20"/>
          <w:color w:val="auto"/>
        </w:rPr>
      </w:pPr>
    </w:p>
    <w:p>
      <w:pPr>
        <w:sectPr>
          <w:pgSz w:w="11900" w:h="16838" w:orient="portrait"/>
          <w:cols w:equalWidth="0" w:num="2">
            <w:col w:w="7060" w:space="720"/>
            <w:col w:w="3680"/>
          </w:cols>
          <w:pgMar w:left="220" w:top="125" w:right="219" w:bottom="1440" w:gutter="0" w:footer="0" w:header="0"/>
          <w:type w:val="continuous"/>
        </w:sectPr>
      </w:pPr>
    </w:p>
    <w:p>
      <w:pPr>
        <w:jc w:val="center"/>
        <w:ind w:right="1000"/>
        <w:spacing w:after="0"/>
        <w:rPr>
          <w:sz w:val="20"/>
          <w:szCs w:val="20"/>
          <w:color w:val="auto"/>
        </w:rPr>
      </w:pPr>
      <w:r>
        <w:rPr>
          <w:rFonts w:ascii="Arial" w:cs="Arial" w:eastAsia="Arial" w:hAnsi="Arial"/>
          <w:sz w:val="13"/>
          <w:szCs w:val="13"/>
          <w:color w:val="auto"/>
        </w:rPr>
        <w:t>Timothy A. (“Tad”) Davidson II (No. 240112503)</w:t>
      </w:r>
    </w:p>
    <w:p>
      <w:pPr>
        <w:spacing w:after="0" w:line="26"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Ashley L. Harper (No. 24065272)</w:t>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600 Travis Street, Suite 4200</w:t>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Houston, Texas 77002</w:t>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Telephone: (713) 220-4200</w:t>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Facsimile: (713) 220-4285</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3"/>
          <w:szCs w:val="13"/>
          <w:color w:val="auto"/>
        </w:rPr>
        <w:t xml:space="preserve">George A. Davis (admitted </w:t>
      </w:r>
      <w:r>
        <w:rPr>
          <w:rFonts w:ascii="Arial" w:cs="Arial" w:eastAsia="Arial" w:hAnsi="Arial"/>
          <w:sz w:val="13"/>
          <w:szCs w:val="13"/>
          <w:i w:val="1"/>
          <w:iCs w:val="1"/>
          <w:color w:val="auto"/>
        </w:rPr>
        <w:t>pro hac vice</w:t>
      </w:r>
      <w:r>
        <w:rPr>
          <w:rFonts w:ascii="Arial" w:cs="Arial" w:eastAsia="Arial" w:hAnsi="Arial"/>
          <w:sz w:val="13"/>
          <w:szCs w:val="13"/>
          <w:color w:val="auto"/>
        </w:rPr>
        <w: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Keith A. Simon (admitted </w:t>
      </w:r>
      <w:r>
        <w:rPr>
          <w:rFonts w:ascii="Arial" w:cs="Arial" w:eastAsia="Arial" w:hAnsi="Arial"/>
          <w:sz w:val="14"/>
          <w:szCs w:val="14"/>
          <w:i w:val="1"/>
          <w:iCs w:val="1"/>
          <w:color w:val="auto"/>
        </w:rPr>
        <w:t>pro hac vice</w:t>
      </w:r>
      <w:r>
        <w:rPr>
          <w:rFonts w:ascii="Arial" w:cs="Arial" w:eastAsia="Arial" w:hAnsi="Arial"/>
          <w:sz w:val="14"/>
          <w:szCs w:val="14"/>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David A. Hammerman (admitted </w:t>
      </w:r>
      <w:r>
        <w:rPr>
          <w:rFonts w:ascii="Arial" w:cs="Arial" w:eastAsia="Arial" w:hAnsi="Arial"/>
          <w:sz w:val="12"/>
          <w:szCs w:val="12"/>
          <w:i w:val="1"/>
          <w:iCs w:val="1"/>
          <w:color w:val="auto"/>
        </w:rPr>
        <w:t>pro hac vice</w:t>
      </w:r>
      <w:r>
        <w:rPr>
          <w:rFonts w:ascii="Arial" w:cs="Arial" w:eastAsia="Arial" w:hAnsi="Arial"/>
          <w:sz w:val="12"/>
          <w:szCs w:val="12"/>
          <w:color w:val="auto"/>
        </w:rPr>
        <w:t>)</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Annemarie V. Reilly (admitted </w:t>
      </w:r>
      <w:r>
        <w:rPr>
          <w:rFonts w:ascii="Arial" w:cs="Arial" w:eastAsia="Arial" w:hAnsi="Arial"/>
          <w:sz w:val="13"/>
          <w:szCs w:val="13"/>
          <w:i w:val="1"/>
          <w:iCs w:val="1"/>
          <w:color w:val="auto"/>
        </w:rPr>
        <w:t>pro hac vice</w:t>
      </w:r>
      <w:r>
        <w:rPr>
          <w:rFonts w:ascii="Arial" w:cs="Arial" w:eastAsia="Arial" w:hAnsi="Arial"/>
          <w:sz w:val="13"/>
          <w:szCs w:val="13"/>
          <w:color w:val="auto"/>
        </w:rPr>
        <w:t>)</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Lisa K. Lansio (admitted </w:t>
      </w:r>
      <w:r>
        <w:rPr>
          <w:rFonts w:ascii="Arial" w:cs="Arial" w:eastAsia="Arial" w:hAnsi="Arial"/>
          <w:sz w:val="14"/>
          <w:szCs w:val="14"/>
          <w:i w:val="1"/>
          <w:iCs w:val="1"/>
          <w:color w:val="auto"/>
        </w:rPr>
        <w:t>pro hac vice</w:t>
      </w:r>
      <w:r>
        <w:rPr>
          <w:rFonts w:ascii="Arial" w:cs="Arial" w:eastAsia="Arial" w:hAnsi="Arial"/>
          <w:sz w:val="14"/>
          <w:szCs w:val="14"/>
          <w:color w:val="auto"/>
        </w:rPr>
        <w:t>)</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885 Third Avenue</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New York, New York 10022</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Telephone: (212) 906-1200</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Facsimile: (212) 751-4864</w:t>
      </w:r>
    </w:p>
    <w:p>
      <w:pPr>
        <w:spacing w:after="0" w:line="162" w:lineRule="exact"/>
        <w:rPr>
          <w:sz w:val="20"/>
          <w:szCs w:val="20"/>
          <w:color w:val="auto"/>
        </w:rPr>
      </w:pPr>
    </w:p>
    <w:p>
      <w:pPr>
        <w:sectPr>
          <w:pgSz w:w="11900" w:h="16838" w:orient="portrait"/>
          <w:cols w:equalWidth="0" w:num="2">
            <w:col w:w="6640" w:space="720"/>
            <w:col w:w="4100"/>
          </w:cols>
          <w:pgMar w:left="220" w:top="125"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Counsel for the Debtors and Debtors-in-Possession</w:t>
      </w:r>
    </w:p>
    <w:p>
      <w:pPr>
        <w:sectPr>
          <w:pgSz w:w="11900" w:h="16838" w:orient="portrait"/>
          <w:cols w:equalWidth="0" w:num="1">
            <w:col w:w="11460"/>
          </w:cols>
          <w:pgMar w:left="220" w:top="125" w:right="219" w:bottom="1440" w:gutter="0" w:footer="0" w:header="0"/>
          <w:type w:val="continuous"/>
        </w:sectPr>
      </w:pPr>
    </w:p>
    <w:p>
      <w:pPr>
        <w:spacing w:after="0" w:line="194" w:lineRule="exact"/>
        <w:rPr>
          <w:sz w:val="20"/>
          <w:szCs w:val="20"/>
          <w:color w:val="auto"/>
        </w:rPr>
      </w:pPr>
    </w:p>
    <w:p>
      <w:pPr>
        <w:jc w:val="center"/>
        <w:ind w:left="80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183134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September 9, 2019</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200" w:lineRule="exact"/>
        <w:rPr>
          <w:sz w:val="20"/>
          <w:szCs w:val="20"/>
          <w:color w:val="auto"/>
        </w:rPr>
      </w:pPr>
    </w:p>
    <w:p>
      <w:pPr>
        <w:sectPr>
          <w:pgSz w:w="11900" w:h="16838" w:orient="portrait"/>
          <w:cols w:equalWidth="0" w:num="2">
            <w:col w:w="1560" w:space="720"/>
            <w:col w:w="9180"/>
          </w:cols>
          <w:pgMar w:left="220" w:top="125" w:right="219" w:bottom="1440" w:gutter="0" w:footer="0" w:header="0"/>
          <w:type w:val="continuous"/>
        </w:sectPr>
      </w:pPr>
    </w:p>
    <w:p>
      <w:pPr>
        <w:spacing w:after="0" w:line="138" w:lineRule="exact"/>
        <w:rPr>
          <w:sz w:val="20"/>
          <w:szCs w:val="20"/>
          <w:color w:val="auto"/>
        </w:rPr>
      </w:pPr>
    </w:p>
    <w:p>
      <w:pPr>
        <w:ind w:right="440" w:firstLine="3"/>
        <w:spacing w:after="0" w:line="307" w:lineRule="auto"/>
        <w:tabs>
          <w:tab w:leader="none" w:pos="23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U.S.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9742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40" w:type="dxa"/>
            <w:vAlign w:val="bottom"/>
          </w:tcPr>
          <w:p>
            <w:pPr>
              <w:ind w:left="3100"/>
              <w:spacing w:after="0"/>
              <w:rPr>
                <w:sz w:val="20"/>
                <w:szCs w:val="20"/>
                <w:color w:val="auto"/>
              </w:rPr>
            </w:pPr>
            <w:r>
              <w:rPr>
                <w:rFonts w:ascii="Arial" w:cs="Arial" w:eastAsia="Arial" w:hAnsi="Arial"/>
                <w:sz w:val="14"/>
                <w:szCs w:val="14"/>
                <w:color w:val="auto"/>
              </w:rPr>
              <w:t>TABLE OF CONTENTS</w:t>
            </w:r>
          </w:p>
        </w:tc>
        <w:tc>
          <w:tcPr>
            <w:tcW w:w="2280" w:type="dxa"/>
            <w:vAlign w:val="bottom"/>
          </w:tcPr>
          <w:p>
            <w:pPr>
              <w:spacing w:after="0"/>
              <w:rPr>
                <w:sz w:val="15"/>
                <w:szCs w:val="15"/>
                <w:color w:val="auto"/>
              </w:rPr>
            </w:pPr>
          </w:p>
        </w:tc>
      </w:tr>
      <w:tr>
        <w:trPr>
          <w:trHeight w:val="332"/>
        </w:trPr>
        <w:tc>
          <w:tcPr>
            <w:tcW w:w="9180" w:type="dxa"/>
            <w:vAlign w:val="bottom"/>
            <w:gridSpan w:val="3"/>
          </w:tcPr>
          <w:p>
            <w:pPr>
              <w:spacing w:after="0"/>
              <w:rPr>
                <w:sz w:val="20"/>
                <w:szCs w:val="20"/>
                <w:color w:val="auto"/>
              </w:rPr>
            </w:pPr>
            <w:r>
              <w:rPr>
                <w:rFonts w:ascii="Arial" w:cs="Arial" w:eastAsia="Arial" w:hAnsi="Arial"/>
                <w:sz w:val="14"/>
                <w:szCs w:val="14"/>
                <w:color w:val="auto"/>
              </w:rPr>
              <w:t>ARTICLE I. RULES OF INTERPRETATION, COMPUTATION OF TIME AND DEFINED TERMS</w:t>
            </w:r>
          </w:p>
        </w:tc>
        <w:tc>
          <w:tcPr>
            <w:tcW w:w="22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Rules of Interpretation; Computation of Time</w:t>
            </w:r>
          </w:p>
        </w:tc>
        <w:tc>
          <w:tcPr>
            <w:tcW w:w="22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Defined Terms</w:t>
            </w:r>
          </w:p>
        </w:tc>
        <w:tc>
          <w:tcPr>
            <w:tcW w:w="22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332"/>
        </w:trPr>
        <w:tc>
          <w:tcPr>
            <w:tcW w:w="9180" w:type="dxa"/>
            <w:vAlign w:val="bottom"/>
            <w:gridSpan w:val="3"/>
          </w:tcPr>
          <w:p>
            <w:pPr>
              <w:spacing w:after="0"/>
              <w:rPr>
                <w:sz w:val="20"/>
                <w:szCs w:val="20"/>
                <w:color w:val="auto"/>
              </w:rPr>
            </w:pPr>
            <w:r>
              <w:rPr>
                <w:rFonts w:ascii="Arial" w:cs="Arial" w:eastAsia="Arial" w:hAnsi="Arial"/>
                <w:sz w:val="14"/>
                <w:szCs w:val="14"/>
                <w:color w:val="auto"/>
              </w:rPr>
              <w:t>ARTICLE II. ADMINISTRATIVE, DIP FACILITY, AND PRIORITY TAX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Administrative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1.</w:t>
            </w:r>
          </w:p>
        </w:tc>
        <w:tc>
          <w:tcPr>
            <w:tcW w:w="7240" w:type="dxa"/>
            <w:vAlign w:val="bottom"/>
          </w:tcPr>
          <w:p>
            <w:pPr>
              <w:ind w:left="160"/>
              <w:spacing w:after="0"/>
              <w:rPr>
                <w:sz w:val="20"/>
                <w:szCs w:val="20"/>
                <w:color w:val="auto"/>
              </w:rPr>
            </w:pPr>
            <w:r>
              <w:rPr>
                <w:rFonts w:ascii="Arial" w:cs="Arial" w:eastAsia="Arial" w:hAnsi="Arial"/>
                <w:sz w:val="14"/>
                <w:szCs w:val="14"/>
                <w:color w:val="auto"/>
              </w:rPr>
              <w:t>Professional Fee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DIP Facility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Priority Tax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32"/>
        </w:trPr>
        <w:tc>
          <w:tcPr>
            <w:tcW w:w="9180" w:type="dxa"/>
            <w:vAlign w:val="bottom"/>
            <w:gridSpan w:val="3"/>
          </w:tcPr>
          <w:p>
            <w:pPr>
              <w:spacing w:after="0"/>
              <w:rPr>
                <w:sz w:val="20"/>
                <w:szCs w:val="20"/>
                <w:color w:val="auto"/>
              </w:rPr>
            </w:pPr>
            <w:r>
              <w:rPr>
                <w:rFonts w:ascii="Arial" w:cs="Arial" w:eastAsia="Arial" w:hAnsi="Arial"/>
                <w:sz w:val="14"/>
                <w:szCs w:val="14"/>
                <w:color w:val="auto"/>
              </w:rPr>
              <w:t>ARTICLE III. CLASSIFICATION AND TREATMENT OF CLASSIFIED CLAIMS AND EQUITY INTERESTS</w:t>
            </w:r>
          </w:p>
        </w:tc>
        <w:tc>
          <w:tcPr>
            <w:tcW w:w="22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Summary</w:t>
            </w:r>
          </w:p>
        </w:tc>
        <w:tc>
          <w:tcPr>
            <w:tcW w:w="22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Classification and Treatment of Claims and Equity Interests</w:t>
            </w:r>
          </w:p>
        </w:tc>
        <w:tc>
          <w:tcPr>
            <w:tcW w:w="22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1.</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1 - Other Priority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2.</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2 - Other Secured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3.</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3 - Secured Tax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4.</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4 — Prepetition Revolving Credit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5.</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5 — Prepetition Term Loan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6.</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6 — Prepetition A&amp;R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7.</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7 - Prepetition Notes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8.</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8 — General Unsecured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9.</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9 — Intercompany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10.</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10 — Existing Common Stock</w:t>
            </w:r>
          </w:p>
        </w:tc>
        <w:tc>
          <w:tcPr>
            <w:tcW w:w="22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11.</w:t>
            </w:r>
          </w:p>
        </w:tc>
        <w:tc>
          <w:tcPr>
            <w:tcW w:w="7240" w:type="dxa"/>
            <w:vAlign w:val="bottom"/>
          </w:tcPr>
          <w:p>
            <w:pPr>
              <w:ind w:left="140"/>
              <w:spacing w:after="0"/>
              <w:rPr>
                <w:sz w:val="20"/>
                <w:szCs w:val="20"/>
                <w:color w:val="auto"/>
              </w:rPr>
            </w:pPr>
            <w:r>
              <w:rPr>
                <w:rFonts w:ascii="Arial" w:cs="Arial" w:eastAsia="Arial" w:hAnsi="Arial"/>
                <w:sz w:val="14"/>
                <w:szCs w:val="14"/>
                <w:color w:val="auto"/>
              </w:rPr>
              <w:t>Class 11 — Intercompany Equity Interests</w:t>
            </w:r>
          </w:p>
        </w:tc>
        <w:tc>
          <w:tcPr>
            <w:tcW w:w="22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6"/>
        </w:trPr>
        <w:tc>
          <w:tcPr>
            <w:tcW w:w="1120" w:type="dxa"/>
            <w:vAlign w:val="bottom"/>
          </w:tcPr>
          <w:p>
            <w:pPr>
              <w:spacing w:after="0"/>
              <w:rPr>
                <w:sz w:val="14"/>
                <w:szCs w:val="14"/>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12.</w:t>
            </w:r>
          </w:p>
        </w:tc>
        <w:tc>
          <w:tcPr>
            <w:tcW w:w="7240" w:type="dxa"/>
            <w:vAlign w:val="bottom"/>
          </w:tcPr>
          <w:p>
            <w:pPr>
              <w:ind w:left="160"/>
              <w:spacing w:after="0"/>
              <w:rPr>
                <w:sz w:val="20"/>
                <w:szCs w:val="20"/>
                <w:color w:val="auto"/>
              </w:rPr>
            </w:pPr>
            <w:r>
              <w:rPr>
                <w:rFonts w:ascii="Arial" w:cs="Arial" w:eastAsia="Arial" w:hAnsi="Arial"/>
                <w:sz w:val="14"/>
                <w:szCs w:val="14"/>
                <w:color w:val="auto"/>
              </w:rPr>
              <w:t>Class 12 — Unexercised Equity Interests</w:t>
            </w:r>
          </w:p>
        </w:tc>
        <w:tc>
          <w:tcPr>
            <w:tcW w:w="22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Special Provision Governing Unimpaired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Elimination of Vacant Classes</w:t>
            </w:r>
          </w:p>
        </w:tc>
        <w:tc>
          <w:tcPr>
            <w:tcW w:w="22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332"/>
        </w:trPr>
        <w:tc>
          <w:tcPr>
            <w:tcW w:w="9180" w:type="dxa"/>
            <w:vAlign w:val="bottom"/>
            <w:gridSpan w:val="3"/>
          </w:tcPr>
          <w:p>
            <w:pPr>
              <w:spacing w:after="0"/>
              <w:rPr>
                <w:sz w:val="20"/>
                <w:szCs w:val="20"/>
                <w:color w:val="auto"/>
              </w:rPr>
            </w:pPr>
            <w:r>
              <w:rPr>
                <w:rFonts w:ascii="Arial" w:cs="Arial" w:eastAsia="Arial" w:hAnsi="Arial"/>
                <w:sz w:val="14"/>
                <w:szCs w:val="14"/>
                <w:color w:val="auto"/>
              </w:rPr>
              <w:t>ARTICLE IV. ACCEPTANCE OR REJECTION OF THE PLAN</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Presumed Acceptance of Plan</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Presumed Rejection of Plan</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Voting Classes</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Acceptance by Impaired Class of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E.</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Confirmation Pursuant to Sections 1129(a)(10) and 1129(b) of the Bankruptcy Code; Cram Down</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F.</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Votes Solicited in Good Faith</w:t>
            </w:r>
          </w:p>
        </w:tc>
        <w:tc>
          <w:tcPr>
            <w:tcW w:w="22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32"/>
        </w:trPr>
        <w:tc>
          <w:tcPr>
            <w:tcW w:w="9180" w:type="dxa"/>
            <w:vAlign w:val="bottom"/>
            <w:gridSpan w:val="3"/>
          </w:tcPr>
          <w:p>
            <w:pPr>
              <w:spacing w:after="0"/>
              <w:rPr>
                <w:sz w:val="20"/>
                <w:szCs w:val="20"/>
                <w:color w:val="auto"/>
              </w:rPr>
            </w:pPr>
            <w:r>
              <w:rPr>
                <w:rFonts w:ascii="Arial" w:cs="Arial" w:eastAsia="Arial" w:hAnsi="Arial"/>
                <w:sz w:val="14"/>
                <w:szCs w:val="14"/>
                <w:color w:val="auto"/>
              </w:rPr>
              <w:t>ARTICLE V. MEANS FOR IMPLEMENTATION OF THE PLAN</w:t>
            </w:r>
          </w:p>
        </w:tc>
        <w:tc>
          <w:tcPr>
            <w:tcW w:w="22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Restructuring Transactions</w:t>
            </w:r>
          </w:p>
        </w:tc>
        <w:tc>
          <w:tcPr>
            <w:tcW w:w="22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Continued Corporate Existence</w:t>
            </w:r>
          </w:p>
        </w:tc>
        <w:tc>
          <w:tcPr>
            <w:tcW w:w="22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Vesting of Assets in the Reorganized Debtors Free and Clear of Liens and Claims</w:t>
            </w:r>
          </w:p>
        </w:tc>
        <w:tc>
          <w:tcPr>
            <w:tcW w:w="22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Exit Facility Loan Documents</w:t>
            </w:r>
          </w:p>
        </w:tc>
        <w:tc>
          <w:tcPr>
            <w:tcW w:w="22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E.</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Exit Senior Unsecured Notes Indenture</w:t>
            </w:r>
          </w:p>
        </w:tc>
        <w:tc>
          <w:tcPr>
            <w:tcW w:w="22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F.</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New Common Stock; Book Entry</w:t>
            </w:r>
          </w:p>
        </w:tc>
        <w:tc>
          <w:tcPr>
            <w:tcW w:w="22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G.</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Listing of New Securities and Transfer Restrictions</w:t>
            </w:r>
          </w:p>
        </w:tc>
        <w:tc>
          <w:tcPr>
            <w:tcW w:w="22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H.</w:t>
            </w:r>
          </w:p>
        </w:tc>
        <w:tc>
          <w:tcPr>
            <w:tcW w:w="8060" w:type="dxa"/>
            <w:vAlign w:val="bottom"/>
            <w:gridSpan w:val="2"/>
          </w:tcPr>
          <w:p>
            <w:pPr>
              <w:ind w:left="480"/>
              <w:spacing w:after="0"/>
              <w:rPr>
                <w:sz w:val="20"/>
                <w:szCs w:val="20"/>
                <w:color w:val="auto"/>
              </w:rPr>
            </w:pPr>
            <w:r>
              <w:rPr>
                <w:rFonts w:ascii="Arial" w:cs="Arial" w:eastAsia="Arial" w:hAnsi="Arial"/>
                <w:sz w:val="14"/>
                <w:szCs w:val="14"/>
                <w:i w:val="1"/>
                <w:iCs w:val="1"/>
                <w:color w:val="auto"/>
              </w:rPr>
              <w:t>New Registration Rights Agreement</w:t>
            </w:r>
          </w:p>
        </w:tc>
        <w:tc>
          <w:tcPr>
            <w:tcW w:w="2280" w:type="dxa"/>
            <w:vAlign w:val="bottom"/>
          </w:tcPr>
          <w:p>
            <w:pPr>
              <w:jc w:val="right"/>
              <w:spacing w:after="0"/>
              <w:rPr>
                <w:sz w:val="20"/>
                <w:szCs w:val="20"/>
                <w:color w:val="auto"/>
              </w:rPr>
            </w:pPr>
            <w:r>
              <w:rPr>
                <w:rFonts w:ascii="Arial" w:cs="Arial" w:eastAsia="Arial" w:hAnsi="Arial"/>
                <w:sz w:val="14"/>
                <w:szCs w:val="14"/>
                <w:color w:val="auto"/>
              </w:rPr>
              <w:t>35</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I.</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New Management Incentive Plan</w:t>
            </w:r>
          </w:p>
        </w:tc>
        <w:tc>
          <w:tcPr>
            <w:tcW w:w="16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J.</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New Warrants</w:t>
            </w:r>
          </w:p>
        </w:tc>
        <w:tc>
          <w:tcPr>
            <w:tcW w:w="16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K.</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Plan Securities and Related Documentation; Exemption from Securities Laws</w:t>
            </w:r>
          </w:p>
        </w:tc>
        <w:tc>
          <w:tcPr>
            <w:tcW w:w="16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L.</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Release of Liens and Claims</w:t>
            </w:r>
          </w:p>
        </w:tc>
        <w:tc>
          <w:tcPr>
            <w:tcW w:w="16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M.</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Corporate Governance Documents of the Reorganized Debtors</w:t>
            </w:r>
          </w:p>
        </w:tc>
        <w:tc>
          <w:tcPr>
            <w:tcW w:w="16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N.</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Directors and Officers of the Reorganized Debtors</w:t>
            </w:r>
          </w:p>
        </w:tc>
        <w:tc>
          <w:tcPr>
            <w:tcW w:w="16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O.</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Corporate Action</w:t>
            </w:r>
          </w:p>
        </w:tc>
        <w:tc>
          <w:tcPr>
            <w:tcW w:w="16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P.</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Cancellation of Notes, Certificates and Instruments</w:t>
            </w:r>
          </w:p>
        </w:tc>
        <w:tc>
          <w:tcPr>
            <w:tcW w:w="16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Q.</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Existing Equity Interests</w:t>
            </w:r>
          </w:p>
        </w:tc>
        <w:tc>
          <w:tcPr>
            <w:tcW w:w="16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R.</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Sources of Cash for Plan Distributions</w:t>
            </w:r>
          </w:p>
        </w:tc>
        <w:tc>
          <w:tcPr>
            <w:tcW w:w="16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S.</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Funding and Use of Professional Fee Claim Reserve</w:t>
            </w:r>
          </w:p>
        </w:tc>
        <w:tc>
          <w:tcPr>
            <w:tcW w:w="16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T.</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Payment of Fees and Expenses of Certain Creditors</w:t>
            </w:r>
          </w:p>
        </w:tc>
        <w:tc>
          <w:tcPr>
            <w:tcW w:w="16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U.</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Payment of Fees and Expenses of the Prepetition Notes Indenture Trustee</w:t>
            </w:r>
          </w:p>
        </w:tc>
        <w:tc>
          <w:tcPr>
            <w:tcW w:w="16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V.</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Rights Offering</w:t>
            </w:r>
          </w:p>
        </w:tc>
        <w:tc>
          <w:tcPr>
            <w:tcW w:w="16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32"/>
        </w:trPr>
        <w:tc>
          <w:tcPr>
            <w:tcW w:w="9780" w:type="dxa"/>
            <w:vAlign w:val="bottom"/>
            <w:gridSpan w:val="3"/>
          </w:tcPr>
          <w:p>
            <w:pPr>
              <w:spacing w:after="0"/>
              <w:rPr>
                <w:sz w:val="20"/>
                <w:szCs w:val="20"/>
                <w:color w:val="auto"/>
              </w:rPr>
            </w:pPr>
            <w:r>
              <w:rPr>
                <w:rFonts w:ascii="Arial" w:cs="Arial" w:eastAsia="Arial" w:hAnsi="Arial"/>
                <w:sz w:val="14"/>
                <w:szCs w:val="14"/>
                <w:color w:val="auto"/>
              </w:rPr>
              <w:t>ARTICLE VI. TREATMENT OF EXECUTORY CONTRACTS AND UNEXPIRED LEASES</w:t>
            </w:r>
          </w:p>
        </w:tc>
        <w:tc>
          <w:tcPr>
            <w:tcW w:w="16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Assumption of Executory Contracts and Unexpired Leases</w:t>
            </w:r>
          </w:p>
        </w:tc>
        <w:tc>
          <w:tcPr>
            <w:tcW w:w="16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Cure of Defaults; Assignment of Executory Contracts and Unexpired Leases</w:t>
            </w:r>
          </w:p>
        </w:tc>
        <w:tc>
          <w:tcPr>
            <w:tcW w:w="16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Rejection of Executory Contracts and Unexpired Leases</w:t>
            </w:r>
          </w:p>
        </w:tc>
        <w:tc>
          <w:tcPr>
            <w:tcW w:w="16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Claims on Account of the Rejection of Executory Contracts or Unexpired Leases</w:t>
            </w:r>
          </w:p>
        </w:tc>
        <w:tc>
          <w:tcPr>
            <w:tcW w:w="16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E.</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D&amp;O Liability Insurance Policies</w:t>
            </w:r>
          </w:p>
        </w:tc>
        <w:tc>
          <w:tcPr>
            <w:tcW w:w="16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F.</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Indemnification Provisions</w:t>
            </w:r>
          </w:p>
        </w:tc>
        <w:tc>
          <w:tcPr>
            <w:tcW w:w="16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G.</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Employment Plans</w:t>
            </w:r>
          </w:p>
        </w:tc>
        <w:tc>
          <w:tcPr>
            <w:tcW w:w="1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H.</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Insurance Contracts</w:t>
            </w:r>
          </w:p>
        </w:tc>
        <w:tc>
          <w:tcPr>
            <w:tcW w:w="1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I.</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Extension of Time to Assume or Reject</w:t>
            </w:r>
          </w:p>
        </w:tc>
        <w:tc>
          <w:tcPr>
            <w:tcW w:w="1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J.</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Modifications, Amendments, Supplements, Restatements, or Other Agreements</w:t>
            </w:r>
          </w:p>
        </w:tc>
        <w:tc>
          <w:tcPr>
            <w:tcW w:w="1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32"/>
        </w:trPr>
        <w:tc>
          <w:tcPr>
            <w:tcW w:w="9780" w:type="dxa"/>
            <w:vAlign w:val="bottom"/>
            <w:gridSpan w:val="3"/>
          </w:tcPr>
          <w:p>
            <w:pPr>
              <w:spacing w:after="0"/>
              <w:rPr>
                <w:sz w:val="20"/>
                <w:szCs w:val="20"/>
                <w:color w:val="auto"/>
              </w:rPr>
            </w:pPr>
            <w:r>
              <w:rPr>
                <w:rFonts w:ascii="Arial" w:cs="Arial" w:eastAsia="Arial" w:hAnsi="Arial"/>
                <w:sz w:val="14"/>
                <w:szCs w:val="14"/>
                <w:color w:val="auto"/>
              </w:rPr>
              <w:t>ARTICLE VII. PROVISIONS GOVERNING DISTRIBUTIONS</w:t>
            </w:r>
          </w:p>
        </w:tc>
        <w:tc>
          <w:tcPr>
            <w:tcW w:w="16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Distributions for Claims Allowed as of the Effective Date</w:t>
            </w:r>
          </w:p>
        </w:tc>
        <w:tc>
          <w:tcPr>
            <w:tcW w:w="16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No Postpetition Interest on Claims</w:t>
            </w:r>
          </w:p>
        </w:tc>
        <w:tc>
          <w:tcPr>
            <w:tcW w:w="16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Distributions by the Reorganized Debtors or Other Applicable Distribution Agent</w:t>
            </w:r>
          </w:p>
        </w:tc>
        <w:tc>
          <w:tcPr>
            <w:tcW w:w="16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Delivery and Distributions; Undeliverable or Unclaimed Distributions</w:t>
            </w:r>
          </w:p>
        </w:tc>
        <w:tc>
          <w:tcPr>
            <w:tcW w:w="16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1.</w:t>
            </w:r>
          </w:p>
        </w:tc>
        <w:tc>
          <w:tcPr>
            <w:tcW w:w="7740" w:type="dxa"/>
            <w:vAlign w:val="bottom"/>
          </w:tcPr>
          <w:p>
            <w:pPr>
              <w:ind w:left="60"/>
              <w:spacing w:after="0"/>
              <w:rPr>
                <w:sz w:val="20"/>
                <w:szCs w:val="20"/>
                <w:color w:val="auto"/>
              </w:rPr>
            </w:pPr>
            <w:r>
              <w:rPr>
                <w:rFonts w:ascii="Arial" w:cs="Arial" w:eastAsia="Arial" w:hAnsi="Arial"/>
                <w:sz w:val="14"/>
                <w:szCs w:val="14"/>
                <w:color w:val="auto"/>
              </w:rPr>
              <w:t>Record Date for Distributions</w:t>
            </w:r>
          </w:p>
        </w:tc>
        <w:tc>
          <w:tcPr>
            <w:tcW w:w="16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2.</w:t>
            </w:r>
          </w:p>
        </w:tc>
        <w:tc>
          <w:tcPr>
            <w:tcW w:w="7740" w:type="dxa"/>
            <w:vAlign w:val="bottom"/>
          </w:tcPr>
          <w:p>
            <w:pPr>
              <w:ind w:left="60"/>
              <w:spacing w:after="0"/>
              <w:rPr>
                <w:sz w:val="20"/>
                <w:szCs w:val="20"/>
                <w:color w:val="auto"/>
              </w:rPr>
            </w:pPr>
            <w:r>
              <w:rPr>
                <w:rFonts w:ascii="Arial" w:cs="Arial" w:eastAsia="Arial" w:hAnsi="Arial"/>
                <w:sz w:val="14"/>
                <w:szCs w:val="14"/>
                <w:color w:val="auto"/>
              </w:rPr>
              <w:t>Delivery of Distributions in General</w:t>
            </w:r>
          </w:p>
        </w:tc>
        <w:tc>
          <w:tcPr>
            <w:tcW w:w="16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3.</w:t>
            </w:r>
          </w:p>
        </w:tc>
        <w:tc>
          <w:tcPr>
            <w:tcW w:w="7740" w:type="dxa"/>
            <w:vAlign w:val="bottom"/>
          </w:tcPr>
          <w:p>
            <w:pPr>
              <w:ind w:left="60"/>
              <w:spacing w:after="0"/>
              <w:rPr>
                <w:sz w:val="20"/>
                <w:szCs w:val="20"/>
                <w:color w:val="auto"/>
              </w:rPr>
            </w:pPr>
            <w:r>
              <w:rPr>
                <w:rFonts w:ascii="Arial" w:cs="Arial" w:eastAsia="Arial" w:hAnsi="Arial"/>
                <w:sz w:val="14"/>
                <w:szCs w:val="14"/>
                <w:color w:val="auto"/>
              </w:rPr>
              <w:t>Minimum Distributions</w:t>
            </w:r>
          </w:p>
        </w:tc>
        <w:tc>
          <w:tcPr>
            <w:tcW w:w="16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4.</w:t>
            </w:r>
          </w:p>
        </w:tc>
        <w:tc>
          <w:tcPr>
            <w:tcW w:w="7740" w:type="dxa"/>
            <w:vAlign w:val="bottom"/>
          </w:tcPr>
          <w:p>
            <w:pPr>
              <w:ind w:left="60"/>
              <w:spacing w:after="0"/>
              <w:rPr>
                <w:sz w:val="20"/>
                <w:szCs w:val="20"/>
                <w:color w:val="auto"/>
              </w:rPr>
            </w:pPr>
            <w:r>
              <w:rPr>
                <w:rFonts w:ascii="Arial" w:cs="Arial" w:eastAsia="Arial" w:hAnsi="Arial"/>
                <w:sz w:val="14"/>
                <w:szCs w:val="14"/>
                <w:color w:val="auto"/>
              </w:rPr>
              <w:t>Undeliverable Distributions</w:t>
            </w:r>
          </w:p>
        </w:tc>
        <w:tc>
          <w:tcPr>
            <w:tcW w:w="16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E.</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Compliance with Tax Requirements</w:t>
            </w:r>
          </w:p>
        </w:tc>
        <w:tc>
          <w:tcPr>
            <w:tcW w:w="16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F.</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[Intentionally Omitted]</w:t>
            </w:r>
          </w:p>
        </w:tc>
        <w:tc>
          <w:tcPr>
            <w:tcW w:w="16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G.</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Means of Cash Payment</w:t>
            </w:r>
          </w:p>
        </w:tc>
        <w:tc>
          <w:tcPr>
            <w:tcW w:w="16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H.</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Timing and Calculation of Amounts to Be Distributed</w:t>
            </w:r>
          </w:p>
        </w:tc>
        <w:tc>
          <w:tcPr>
            <w:tcW w:w="16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I.</w:t>
            </w:r>
          </w:p>
        </w:tc>
        <w:tc>
          <w:tcPr>
            <w:tcW w:w="920" w:type="dxa"/>
            <w:vAlign w:val="bottom"/>
          </w:tcPr>
          <w:p>
            <w:pPr>
              <w:ind w:left="480"/>
              <w:spacing w:after="0"/>
              <w:rPr>
                <w:sz w:val="20"/>
                <w:szCs w:val="20"/>
                <w:color w:val="auto"/>
              </w:rPr>
            </w:pPr>
            <w:r>
              <w:rPr>
                <w:rFonts w:ascii="Arial" w:cs="Arial" w:eastAsia="Arial" w:hAnsi="Arial"/>
                <w:sz w:val="14"/>
                <w:szCs w:val="14"/>
                <w:i w:val="1"/>
                <w:iCs w:val="1"/>
                <w:color w:val="auto"/>
                <w:w w:val="96"/>
              </w:rPr>
              <w:t>Setoffs</w:t>
            </w:r>
          </w:p>
        </w:tc>
        <w:tc>
          <w:tcPr>
            <w:tcW w:w="77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32"/>
        </w:trPr>
        <w:tc>
          <w:tcPr>
            <w:tcW w:w="9780" w:type="dxa"/>
            <w:vAlign w:val="bottom"/>
            <w:gridSpan w:val="3"/>
          </w:tcPr>
          <w:p>
            <w:pPr>
              <w:spacing w:after="0"/>
              <w:rPr>
                <w:sz w:val="20"/>
                <w:szCs w:val="20"/>
                <w:color w:val="auto"/>
              </w:rPr>
            </w:pPr>
            <w:r>
              <w:rPr>
                <w:rFonts w:ascii="Arial" w:cs="Arial" w:eastAsia="Arial" w:hAnsi="Arial"/>
                <w:sz w:val="14"/>
                <w:szCs w:val="14"/>
                <w:color w:val="auto"/>
              </w:rPr>
              <w:t>ARTICLE VIII. PROCEDURES FOR RESOLVING CONTINGENT, UNLIQUIDATED, AND DISPUTED CLAIMS AND EQUITY INTERESTS</w:t>
            </w:r>
          </w:p>
        </w:tc>
        <w:tc>
          <w:tcPr>
            <w:tcW w:w="16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Resolution of Disputed Claims and Equity Interests</w:t>
            </w:r>
          </w:p>
        </w:tc>
        <w:tc>
          <w:tcPr>
            <w:tcW w:w="16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1.</w:t>
            </w:r>
          </w:p>
        </w:tc>
        <w:tc>
          <w:tcPr>
            <w:tcW w:w="7740" w:type="dxa"/>
            <w:vAlign w:val="bottom"/>
          </w:tcPr>
          <w:p>
            <w:pPr>
              <w:ind w:left="60"/>
              <w:spacing w:after="0"/>
              <w:rPr>
                <w:sz w:val="20"/>
                <w:szCs w:val="20"/>
                <w:color w:val="auto"/>
              </w:rPr>
            </w:pPr>
            <w:r>
              <w:rPr>
                <w:rFonts w:ascii="Arial" w:cs="Arial" w:eastAsia="Arial" w:hAnsi="Arial"/>
                <w:sz w:val="14"/>
                <w:szCs w:val="14"/>
                <w:color w:val="auto"/>
              </w:rPr>
              <w:t>Allowance of Claims and Equity Interests</w:t>
            </w:r>
          </w:p>
        </w:tc>
        <w:tc>
          <w:tcPr>
            <w:tcW w:w="16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2.</w:t>
            </w:r>
          </w:p>
        </w:tc>
        <w:tc>
          <w:tcPr>
            <w:tcW w:w="7740" w:type="dxa"/>
            <w:vAlign w:val="bottom"/>
          </w:tcPr>
          <w:p>
            <w:pPr>
              <w:ind w:left="60"/>
              <w:spacing w:after="0"/>
              <w:rPr>
                <w:sz w:val="20"/>
                <w:szCs w:val="20"/>
                <w:color w:val="auto"/>
              </w:rPr>
            </w:pPr>
            <w:r>
              <w:rPr>
                <w:rFonts w:ascii="Arial" w:cs="Arial" w:eastAsia="Arial" w:hAnsi="Arial"/>
                <w:sz w:val="14"/>
                <w:szCs w:val="14"/>
                <w:color w:val="auto"/>
              </w:rPr>
              <w:t>Prosecution of Objections to Claims and Equity Interests</w:t>
            </w:r>
          </w:p>
        </w:tc>
        <w:tc>
          <w:tcPr>
            <w:tcW w:w="16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3.</w:t>
            </w:r>
          </w:p>
        </w:tc>
        <w:tc>
          <w:tcPr>
            <w:tcW w:w="7740" w:type="dxa"/>
            <w:vAlign w:val="bottom"/>
          </w:tcPr>
          <w:p>
            <w:pPr>
              <w:ind w:left="60"/>
              <w:spacing w:after="0"/>
              <w:rPr>
                <w:sz w:val="20"/>
                <w:szCs w:val="20"/>
                <w:color w:val="auto"/>
              </w:rPr>
            </w:pPr>
            <w:r>
              <w:rPr>
                <w:rFonts w:ascii="Arial" w:cs="Arial" w:eastAsia="Arial" w:hAnsi="Arial"/>
                <w:sz w:val="14"/>
                <w:szCs w:val="14"/>
                <w:color w:val="auto"/>
              </w:rPr>
              <w:t>Claims Estimation</w:t>
            </w:r>
          </w:p>
        </w:tc>
        <w:tc>
          <w:tcPr>
            <w:tcW w:w="16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6"/>
        </w:trPr>
        <w:tc>
          <w:tcPr>
            <w:tcW w:w="112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4.</w:t>
            </w:r>
          </w:p>
        </w:tc>
        <w:tc>
          <w:tcPr>
            <w:tcW w:w="7740" w:type="dxa"/>
            <w:vAlign w:val="bottom"/>
          </w:tcPr>
          <w:p>
            <w:pPr>
              <w:ind w:left="60"/>
              <w:spacing w:after="0"/>
              <w:rPr>
                <w:sz w:val="20"/>
                <w:szCs w:val="20"/>
                <w:color w:val="auto"/>
              </w:rPr>
            </w:pPr>
            <w:r>
              <w:rPr>
                <w:rFonts w:ascii="Arial" w:cs="Arial" w:eastAsia="Arial" w:hAnsi="Arial"/>
                <w:sz w:val="14"/>
                <w:szCs w:val="14"/>
                <w:color w:val="auto"/>
              </w:rPr>
              <w:t>No Filings of Proofs of Claim or Equity Interests</w:t>
            </w:r>
          </w:p>
        </w:tc>
        <w:tc>
          <w:tcPr>
            <w:tcW w:w="16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8660" w:type="dxa"/>
            <w:vAlign w:val="bottom"/>
            <w:gridSpan w:val="2"/>
          </w:tcPr>
          <w:p>
            <w:pPr>
              <w:ind w:left="480"/>
              <w:spacing w:after="0"/>
              <w:rPr>
                <w:sz w:val="20"/>
                <w:szCs w:val="20"/>
                <w:color w:val="auto"/>
              </w:rPr>
            </w:pPr>
            <w:r>
              <w:rPr>
                <w:rFonts w:ascii="Arial" w:cs="Arial" w:eastAsia="Arial" w:hAnsi="Arial"/>
                <w:sz w:val="14"/>
                <w:szCs w:val="14"/>
                <w:i w:val="1"/>
                <w:iCs w:val="1"/>
                <w:color w:val="auto"/>
              </w:rPr>
              <w:t>No Distributions Pending Allowance</w:t>
            </w:r>
          </w:p>
        </w:tc>
        <w:tc>
          <w:tcPr>
            <w:tcW w:w="1680" w:type="dxa"/>
            <w:vAlign w:val="bottom"/>
          </w:tcPr>
          <w:p>
            <w:pPr>
              <w:jc w:val="right"/>
              <w:spacing w:after="0"/>
              <w:rPr>
                <w:sz w:val="20"/>
                <w:szCs w:val="20"/>
                <w:color w:val="auto"/>
              </w:rPr>
            </w:pPr>
            <w:r>
              <w:rPr>
                <w:rFonts w:ascii="Arial" w:cs="Arial" w:eastAsia="Arial" w:hAnsi="Arial"/>
                <w:sz w:val="14"/>
                <w:szCs w:val="14"/>
                <w:color w:val="auto"/>
              </w:rPr>
              <w:t>53</w:t>
            </w:r>
          </w:p>
        </w:tc>
      </w:tr>
    </w:tbl>
    <w:p>
      <w:pPr>
        <w:ind w:left="1600" w:hanging="1099"/>
        <w:spacing w:after="0"/>
        <w:tabs>
          <w:tab w:leader="none" w:pos="1600" w:val="left"/>
        </w:tabs>
        <w:numPr>
          <w:ilvl w:val="0"/>
          <w:numId w:val="146"/>
        </w:numPr>
        <w:rPr>
          <w:rFonts w:ascii="Arial" w:cs="Arial" w:eastAsia="Arial" w:hAnsi="Arial"/>
          <w:sz w:val="14"/>
          <w:szCs w:val="14"/>
          <w:i w:val="1"/>
          <w:iCs w:val="1"/>
          <w:color w:val="auto"/>
        </w:rPr>
      </w:pPr>
      <w:r>
        <w:rPr>
          <w:rFonts w:ascii="Arial" w:cs="Arial" w:eastAsia="Arial" w:hAnsi="Arial"/>
          <w:sz w:val="14"/>
          <w:szCs w:val="14"/>
          <w:i w:val="1"/>
          <w:iCs w:val="1"/>
          <w:color w:val="auto"/>
        </w:rPr>
        <w:t>Distributions on Account of Disputed Claims and Disputed Equity Interests Once They Are Allowed and Additional Distributions on Account of Previously</w:t>
      </w:r>
    </w:p>
    <w:p>
      <w:pPr>
        <w:spacing w:after="0" w:line="5"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6120" w:type="dxa"/>
            <w:vAlign w:val="bottom"/>
          </w:tcPr>
          <w:p>
            <w:pPr>
              <w:spacing w:after="0"/>
              <w:rPr>
                <w:sz w:val="20"/>
                <w:szCs w:val="20"/>
                <w:color w:val="auto"/>
              </w:rPr>
            </w:pPr>
            <w:r>
              <w:rPr>
                <w:rFonts w:ascii="Arial" w:cs="Arial" w:eastAsia="Arial" w:hAnsi="Arial"/>
                <w:sz w:val="14"/>
                <w:szCs w:val="14"/>
                <w:i w:val="1"/>
                <w:iCs w:val="1"/>
                <w:color w:val="auto"/>
              </w:rPr>
              <w:t>Allowed Claims and Allowed Equity Interests</w:t>
            </w:r>
          </w:p>
        </w:tc>
        <w:tc>
          <w:tcPr>
            <w:tcW w:w="3740" w:type="dxa"/>
            <w:vAlign w:val="bottom"/>
          </w:tcPr>
          <w:p>
            <w:pPr>
              <w:jc w:val="right"/>
              <w:spacing w:after="0"/>
              <w:rPr>
                <w:sz w:val="20"/>
                <w:szCs w:val="20"/>
                <w:color w:val="auto"/>
              </w:rPr>
            </w:pPr>
            <w:r>
              <w:rPr>
                <w:rFonts w:ascii="Arial" w:cs="Arial" w:eastAsia="Arial" w:hAnsi="Arial"/>
                <w:sz w:val="14"/>
                <w:szCs w:val="14"/>
                <w:color w:val="auto"/>
              </w:rPr>
              <w:t>54</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Reserve for Disputed Claims and Disputed Equity Interests</w:t>
            </w:r>
          </w:p>
        </w:tc>
        <w:tc>
          <w:tcPr>
            <w:tcW w:w="26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32"/>
        </w:trPr>
        <w:tc>
          <w:tcPr>
            <w:tcW w:w="8800" w:type="dxa"/>
            <w:vAlign w:val="bottom"/>
            <w:gridSpan w:val="3"/>
          </w:tcPr>
          <w:p>
            <w:pPr>
              <w:spacing w:after="0"/>
              <w:rPr>
                <w:sz w:val="20"/>
                <w:szCs w:val="20"/>
                <w:color w:val="auto"/>
              </w:rPr>
            </w:pPr>
            <w:r>
              <w:rPr>
                <w:rFonts w:ascii="Arial" w:cs="Arial" w:eastAsia="Arial" w:hAnsi="Arial"/>
                <w:sz w:val="14"/>
                <w:szCs w:val="14"/>
                <w:color w:val="auto"/>
              </w:rPr>
              <w:t>ARTICLE IX. CONDITIONS PRECEDENT TO CONFIRMATION AND CONSUMMATION OF THE PLAN</w:t>
            </w:r>
          </w:p>
        </w:tc>
        <w:tc>
          <w:tcPr>
            <w:tcW w:w="26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Conditions Precedent to Confirmation</w:t>
            </w:r>
          </w:p>
        </w:tc>
        <w:tc>
          <w:tcPr>
            <w:tcW w:w="26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Conditions Precedent to Consummation</w:t>
            </w:r>
          </w:p>
        </w:tc>
        <w:tc>
          <w:tcPr>
            <w:tcW w:w="26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Waiver of Conditions</w:t>
            </w:r>
          </w:p>
        </w:tc>
        <w:tc>
          <w:tcPr>
            <w:tcW w:w="26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Effect of Non-Occurrence of Conditions to Confirmation or Consummation</w:t>
            </w:r>
          </w:p>
        </w:tc>
        <w:tc>
          <w:tcPr>
            <w:tcW w:w="26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32"/>
        </w:trPr>
        <w:tc>
          <w:tcPr>
            <w:tcW w:w="8800" w:type="dxa"/>
            <w:vAlign w:val="bottom"/>
            <w:gridSpan w:val="3"/>
          </w:tcPr>
          <w:p>
            <w:pPr>
              <w:spacing w:after="0"/>
              <w:rPr>
                <w:sz w:val="20"/>
                <w:szCs w:val="20"/>
                <w:color w:val="auto"/>
              </w:rPr>
            </w:pPr>
            <w:r>
              <w:rPr>
                <w:rFonts w:ascii="Arial" w:cs="Arial" w:eastAsia="Arial" w:hAnsi="Arial"/>
                <w:sz w:val="14"/>
                <w:szCs w:val="14"/>
                <w:color w:val="auto"/>
              </w:rPr>
              <w:t>ARTICLE X. RELEASE, DISCHARGE, INJUNCTION AND RELATED PROVISIONS</w:t>
            </w:r>
          </w:p>
        </w:tc>
        <w:tc>
          <w:tcPr>
            <w:tcW w:w="26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980" w:type="dxa"/>
            <w:vAlign w:val="bottom"/>
          </w:tcPr>
          <w:p>
            <w:pPr>
              <w:ind w:left="480"/>
              <w:spacing w:after="0"/>
              <w:rPr>
                <w:sz w:val="20"/>
                <w:szCs w:val="20"/>
                <w:color w:val="auto"/>
              </w:rPr>
            </w:pPr>
            <w:r>
              <w:rPr>
                <w:rFonts w:ascii="Arial" w:cs="Arial" w:eastAsia="Arial" w:hAnsi="Arial"/>
                <w:sz w:val="14"/>
                <w:szCs w:val="14"/>
                <w:i w:val="1"/>
                <w:iCs w:val="1"/>
                <w:color w:val="auto"/>
                <w:w w:val="96"/>
              </w:rPr>
              <w:t>General</w:t>
            </w:r>
          </w:p>
        </w:tc>
        <w:tc>
          <w:tcPr>
            <w:tcW w:w="67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Release of Claims and Causes of Action</w:t>
            </w:r>
          </w:p>
        </w:tc>
        <w:tc>
          <w:tcPr>
            <w:tcW w:w="26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Waiver of Statutory Limitations on Releases</w:t>
            </w:r>
          </w:p>
        </w:tc>
        <w:tc>
          <w:tcPr>
            <w:tcW w:w="26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Discharge of Claims and Equity Interests</w:t>
            </w:r>
          </w:p>
        </w:tc>
        <w:tc>
          <w:tcPr>
            <w:tcW w:w="26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E.</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Exculpation</w:t>
            </w:r>
          </w:p>
        </w:tc>
        <w:tc>
          <w:tcPr>
            <w:tcW w:w="26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F.</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Preservation of Causes of Action</w:t>
            </w:r>
          </w:p>
        </w:tc>
        <w:tc>
          <w:tcPr>
            <w:tcW w:w="26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6"/>
        </w:trPr>
        <w:tc>
          <w:tcPr>
            <w:tcW w:w="1120" w:type="dxa"/>
            <w:vAlign w:val="bottom"/>
          </w:tcPr>
          <w:p>
            <w:pPr>
              <w:spacing w:after="0"/>
              <w:rPr>
                <w:sz w:val="14"/>
                <w:szCs w:val="14"/>
                <w:color w:val="auto"/>
              </w:rPr>
            </w:pPr>
          </w:p>
        </w:tc>
        <w:tc>
          <w:tcPr>
            <w:tcW w:w="980" w:type="dxa"/>
            <w:vAlign w:val="bottom"/>
          </w:tcPr>
          <w:p>
            <w:pPr>
              <w:ind w:left="480"/>
              <w:spacing w:after="0"/>
              <w:rPr>
                <w:sz w:val="20"/>
                <w:szCs w:val="20"/>
                <w:color w:val="auto"/>
              </w:rPr>
            </w:pPr>
            <w:r>
              <w:rPr>
                <w:rFonts w:ascii="Arial" w:cs="Arial" w:eastAsia="Arial" w:hAnsi="Arial"/>
                <w:sz w:val="14"/>
                <w:szCs w:val="14"/>
                <w:color w:val="auto"/>
              </w:rPr>
              <w:t>1.</w:t>
            </w:r>
          </w:p>
        </w:tc>
        <w:tc>
          <w:tcPr>
            <w:tcW w:w="6700" w:type="dxa"/>
            <w:vAlign w:val="bottom"/>
          </w:tcPr>
          <w:p>
            <w:pPr>
              <w:spacing w:after="0"/>
              <w:rPr>
                <w:sz w:val="20"/>
                <w:szCs w:val="20"/>
                <w:color w:val="auto"/>
              </w:rPr>
            </w:pPr>
            <w:r>
              <w:rPr>
                <w:rFonts w:ascii="Arial" w:cs="Arial" w:eastAsia="Arial" w:hAnsi="Arial"/>
                <w:sz w:val="14"/>
                <w:szCs w:val="14"/>
                <w:color w:val="auto"/>
              </w:rPr>
              <w:t>Maintenance of Causes of Action</w:t>
            </w:r>
          </w:p>
        </w:tc>
        <w:tc>
          <w:tcPr>
            <w:tcW w:w="26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6"/>
        </w:trPr>
        <w:tc>
          <w:tcPr>
            <w:tcW w:w="1120" w:type="dxa"/>
            <w:vAlign w:val="bottom"/>
          </w:tcPr>
          <w:p>
            <w:pPr>
              <w:spacing w:after="0"/>
              <w:rPr>
                <w:sz w:val="14"/>
                <w:szCs w:val="14"/>
                <w:color w:val="auto"/>
              </w:rPr>
            </w:pPr>
          </w:p>
        </w:tc>
        <w:tc>
          <w:tcPr>
            <w:tcW w:w="980" w:type="dxa"/>
            <w:vAlign w:val="bottom"/>
          </w:tcPr>
          <w:p>
            <w:pPr>
              <w:ind w:left="480"/>
              <w:spacing w:after="0"/>
              <w:rPr>
                <w:sz w:val="20"/>
                <w:szCs w:val="20"/>
                <w:color w:val="auto"/>
              </w:rPr>
            </w:pPr>
            <w:r>
              <w:rPr>
                <w:rFonts w:ascii="Arial" w:cs="Arial" w:eastAsia="Arial" w:hAnsi="Arial"/>
                <w:sz w:val="14"/>
                <w:szCs w:val="14"/>
                <w:color w:val="auto"/>
              </w:rPr>
              <w:t>2.</w:t>
            </w:r>
          </w:p>
        </w:tc>
        <w:tc>
          <w:tcPr>
            <w:tcW w:w="6700" w:type="dxa"/>
            <w:vAlign w:val="bottom"/>
          </w:tcPr>
          <w:p>
            <w:pPr>
              <w:spacing w:after="0"/>
              <w:rPr>
                <w:sz w:val="20"/>
                <w:szCs w:val="20"/>
                <w:color w:val="auto"/>
              </w:rPr>
            </w:pPr>
            <w:r>
              <w:rPr>
                <w:rFonts w:ascii="Arial" w:cs="Arial" w:eastAsia="Arial" w:hAnsi="Arial"/>
                <w:sz w:val="14"/>
                <w:szCs w:val="14"/>
                <w:color w:val="auto"/>
              </w:rPr>
              <w:t>Preservation of All Causes of Action Not Expressly Settled or Released</w:t>
            </w:r>
          </w:p>
        </w:tc>
        <w:tc>
          <w:tcPr>
            <w:tcW w:w="26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G.</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Injunction</w:t>
            </w:r>
          </w:p>
        </w:tc>
        <w:tc>
          <w:tcPr>
            <w:tcW w:w="26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H.</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Binding Nature of Plan</w:t>
            </w:r>
          </w:p>
        </w:tc>
        <w:tc>
          <w:tcPr>
            <w:tcW w:w="26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I.</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Protection Against Discriminatory Treatment</w:t>
            </w:r>
          </w:p>
        </w:tc>
        <w:tc>
          <w:tcPr>
            <w:tcW w:w="26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J.</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Integral Part of Plan</w:t>
            </w:r>
          </w:p>
        </w:tc>
        <w:tc>
          <w:tcPr>
            <w:tcW w:w="26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32"/>
        </w:trPr>
        <w:tc>
          <w:tcPr>
            <w:tcW w:w="8800" w:type="dxa"/>
            <w:vAlign w:val="bottom"/>
            <w:gridSpan w:val="3"/>
          </w:tcPr>
          <w:p>
            <w:pPr>
              <w:spacing w:after="0"/>
              <w:rPr>
                <w:sz w:val="20"/>
                <w:szCs w:val="20"/>
                <w:color w:val="auto"/>
              </w:rPr>
            </w:pPr>
            <w:r>
              <w:rPr>
                <w:rFonts w:ascii="Arial" w:cs="Arial" w:eastAsia="Arial" w:hAnsi="Arial"/>
                <w:sz w:val="14"/>
                <w:szCs w:val="14"/>
                <w:color w:val="auto"/>
              </w:rPr>
              <w:t>ARTICLE XI. RETENTION OF JURISDICTION</w:t>
            </w:r>
          </w:p>
        </w:tc>
        <w:tc>
          <w:tcPr>
            <w:tcW w:w="26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32"/>
        </w:trPr>
        <w:tc>
          <w:tcPr>
            <w:tcW w:w="8800" w:type="dxa"/>
            <w:vAlign w:val="bottom"/>
            <w:gridSpan w:val="3"/>
          </w:tcPr>
          <w:p>
            <w:pPr>
              <w:spacing w:after="0"/>
              <w:rPr>
                <w:sz w:val="20"/>
                <w:szCs w:val="20"/>
                <w:color w:val="auto"/>
              </w:rPr>
            </w:pPr>
            <w:r>
              <w:rPr>
                <w:rFonts w:ascii="Arial" w:cs="Arial" w:eastAsia="Arial" w:hAnsi="Arial"/>
                <w:sz w:val="14"/>
                <w:szCs w:val="14"/>
                <w:color w:val="auto"/>
              </w:rPr>
              <w:t>ARTICLE XII. MISCELLANEOUS PROVISIONS</w:t>
            </w:r>
          </w:p>
        </w:tc>
        <w:tc>
          <w:tcPr>
            <w:tcW w:w="2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23"/>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A.</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Substantial Consummation</w:t>
            </w:r>
          </w:p>
        </w:tc>
        <w:tc>
          <w:tcPr>
            <w:tcW w:w="2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Payment of Statutory Fees; Post-Effective Date Fees and Expenses</w:t>
            </w:r>
          </w:p>
        </w:tc>
        <w:tc>
          <w:tcPr>
            <w:tcW w:w="2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C.</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Statutory Committee</w:t>
            </w:r>
          </w:p>
        </w:tc>
        <w:tc>
          <w:tcPr>
            <w:tcW w:w="2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D.</w:t>
            </w:r>
          </w:p>
        </w:tc>
        <w:tc>
          <w:tcPr>
            <w:tcW w:w="980" w:type="dxa"/>
            <w:vAlign w:val="bottom"/>
          </w:tcPr>
          <w:p>
            <w:pPr>
              <w:ind w:left="480"/>
              <w:spacing w:after="0"/>
              <w:rPr>
                <w:sz w:val="20"/>
                <w:szCs w:val="20"/>
                <w:color w:val="auto"/>
              </w:rPr>
            </w:pPr>
            <w:r>
              <w:rPr>
                <w:rFonts w:ascii="Arial" w:cs="Arial" w:eastAsia="Arial" w:hAnsi="Arial"/>
                <w:sz w:val="14"/>
                <w:szCs w:val="14"/>
                <w:i w:val="1"/>
                <w:iCs w:val="1"/>
                <w:color w:val="auto"/>
                <w:w w:val="89"/>
              </w:rPr>
              <w:t>Conflicts</w:t>
            </w:r>
          </w:p>
        </w:tc>
        <w:tc>
          <w:tcPr>
            <w:tcW w:w="670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E.</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Modification of Plan</w:t>
            </w:r>
          </w:p>
        </w:tc>
        <w:tc>
          <w:tcPr>
            <w:tcW w:w="2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F.</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Revocation or Withdrawal of Plan</w:t>
            </w:r>
          </w:p>
        </w:tc>
        <w:tc>
          <w:tcPr>
            <w:tcW w:w="2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G.</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Successors and Assigns</w:t>
            </w:r>
          </w:p>
        </w:tc>
        <w:tc>
          <w:tcPr>
            <w:tcW w:w="26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H.</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Reservation of Rights</w:t>
            </w:r>
          </w:p>
        </w:tc>
        <w:tc>
          <w:tcPr>
            <w:tcW w:w="26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I.</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Further Assurances</w:t>
            </w:r>
          </w:p>
        </w:tc>
        <w:tc>
          <w:tcPr>
            <w:tcW w:w="26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J.</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Severability</w:t>
            </w:r>
          </w:p>
        </w:tc>
        <w:tc>
          <w:tcPr>
            <w:tcW w:w="26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K.</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Service of Documents</w:t>
            </w:r>
          </w:p>
        </w:tc>
        <w:tc>
          <w:tcPr>
            <w:tcW w:w="26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L.</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Exemption from Transfer Taxes Pursuant to Section 1146(a) of the Bankruptcy Code</w:t>
            </w:r>
          </w:p>
        </w:tc>
        <w:tc>
          <w:tcPr>
            <w:tcW w:w="26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M.</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Governing Law</w:t>
            </w:r>
          </w:p>
        </w:tc>
        <w:tc>
          <w:tcPr>
            <w:tcW w:w="26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N.</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Tax Reporting and Compliance</w:t>
            </w:r>
          </w:p>
        </w:tc>
        <w:tc>
          <w:tcPr>
            <w:tcW w:w="2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O.</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Schedules</w:t>
            </w:r>
          </w:p>
        </w:tc>
        <w:tc>
          <w:tcPr>
            <w:tcW w:w="2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P.</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No Strict Construction</w:t>
            </w:r>
          </w:p>
        </w:tc>
        <w:tc>
          <w:tcPr>
            <w:tcW w:w="2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Q.</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Entire Agreement</w:t>
            </w:r>
          </w:p>
        </w:tc>
        <w:tc>
          <w:tcPr>
            <w:tcW w:w="2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6"/>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R.</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Closing of Chapter 11 Cases</w:t>
            </w:r>
          </w:p>
        </w:tc>
        <w:tc>
          <w:tcPr>
            <w:tcW w:w="2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75"/>
        </w:trPr>
        <w:tc>
          <w:tcPr>
            <w:tcW w:w="1120" w:type="dxa"/>
            <w:vAlign w:val="bottom"/>
          </w:tcPr>
          <w:p>
            <w:pPr>
              <w:ind w:left="500"/>
              <w:spacing w:after="0"/>
              <w:rPr>
                <w:sz w:val="20"/>
                <w:szCs w:val="20"/>
                <w:color w:val="auto"/>
              </w:rPr>
            </w:pPr>
            <w:r>
              <w:rPr>
                <w:rFonts w:ascii="Arial" w:cs="Arial" w:eastAsia="Arial" w:hAnsi="Arial"/>
                <w:sz w:val="14"/>
                <w:szCs w:val="14"/>
                <w:i w:val="1"/>
                <w:iCs w:val="1"/>
                <w:color w:val="auto"/>
              </w:rPr>
              <w:t>S.</w:t>
            </w:r>
          </w:p>
        </w:tc>
        <w:tc>
          <w:tcPr>
            <w:tcW w:w="7680" w:type="dxa"/>
            <w:vAlign w:val="bottom"/>
            <w:gridSpan w:val="2"/>
          </w:tcPr>
          <w:p>
            <w:pPr>
              <w:ind w:left="480"/>
              <w:spacing w:after="0"/>
              <w:rPr>
                <w:sz w:val="20"/>
                <w:szCs w:val="20"/>
                <w:color w:val="auto"/>
              </w:rPr>
            </w:pPr>
            <w:r>
              <w:rPr>
                <w:rFonts w:ascii="Arial" w:cs="Arial" w:eastAsia="Arial" w:hAnsi="Arial"/>
                <w:sz w:val="14"/>
                <w:szCs w:val="14"/>
                <w:i w:val="1"/>
                <w:iCs w:val="1"/>
                <w:color w:val="auto"/>
              </w:rPr>
              <w:t>2002 Notice Parties</w:t>
            </w:r>
          </w:p>
        </w:tc>
        <w:tc>
          <w:tcPr>
            <w:tcW w:w="2660" w:type="dxa"/>
            <w:vAlign w:val="bottom"/>
          </w:tcPr>
          <w:p>
            <w:pPr>
              <w:jc w:val="right"/>
              <w:spacing w:after="0"/>
              <w:rPr>
                <w:sz w:val="20"/>
                <w:szCs w:val="20"/>
                <w:color w:val="auto"/>
              </w:rPr>
            </w:pPr>
            <w:r>
              <w:rPr>
                <w:rFonts w:ascii="Arial" w:cs="Arial" w:eastAsia="Arial" w:hAnsi="Arial"/>
                <w:sz w:val="14"/>
                <w:szCs w:val="14"/>
                <w:color w:val="auto"/>
              </w:rPr>
              <w:t>72</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2861945</wp:posOffset>
            </wp:positionH>
            <wp:positionV relativeFrom="page">
              <wp:posOffset>247015</wp:posOffset>
            </wp:positionV>
            <wp:extent cx="183769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37690" cy="6350"/>
                    </a:xfrm>
                    <a:prstGeom prst="rect">
                      <a:avLst/>
                    </a:prstGeom>
                    <a:noFill/>
                  </pic:spPr>
                </pic:pic>
              </a:graphicData>
            </a:graphic>
          </wp:anchor>
        </w:drawing>
        <w:t>SECOND AMENDED JOINT PREPACKAGED PLAN OF REORGANIZATION FOR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PLC AND ITS AFFILIATE DEBTORS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CHAPTER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161925</wp:posOffset>
            </wp:positionV>
            <wp:extent cx="183769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40" w:firstLine="498"/>
        <w:spacing w:after="0" w:line="272" w:lineRule="auto"/>
        <w:rPr>
          <w:sz w:val="20"/>
          <w:szCs w:val="20"/>
          <w:color w:val="auto"/>
        </w:rPr>
      </w:pPr>
      <w:r>
        <w:rPr>
          <w:rFonts w:ascii="Arial" w:cs="Arial" w:eastAsia="Arial" w:hAnsi="Arial"/>
          <w:sz w:val="13"/>
          <w:szCs w:val="13"/>
          <w:color w:val="auto"/>
        </w:rPr>
        <w:t>Weatherford International plc, Weatherford International Ltd., and Weatherford International, LLC (each a “</w:t>
      </w:r>
      <w:r>
        <w:rPr>
          <w:rFonts w:ascii="Arial" w:cs="Arial" w:eastAsia="Arial" w:hAnsi="Arial"/>
          <w:sz w:val="13"/>
          <w:szCs w:val="13"/>
          <w:b w:val="1"/>
          <w:bCs w:val="1"/>
          <w:u w:val="single" w:color="auto"/>
          <w:color w:val="auto"/>
        </w:rPr>
        <w:t>Debtor</w:t>
      </w:r>
      <w:r>
        <w:rPr>
          <w:rFonts w:ascii="Arial" w:cs="Arial" w:eastAsia="Arial" w:hAnsi="Arial"/>
          <w:sz w:val="13"/>
          <w:szCs w:val="13"/>
          <w:color w:val="auto"/>
        </w:rPr>
        <w:t>” and, collectively, the “</w:t>
      </w:r>
      <w:r>
        <w:rPr>
          <w:rFonts w:ascii="Arial" w:cs="Arial" w:eastAsia="Arial" w:hAnsi="Arial"/>
          <w:sz w:val="13"/>
          <w:szCs w:val="13"/>
          <w:b w:val="1"/>
          <w:bCs w:val="1"/>
          <w:u w:val="single" w:color="auto"/>
          <w:color w:val="auto"/>
        </w:rPr>
        <w:t>Debtors</w:t>
      </w:r>
      <w:r>
        <w:rPr>
          <w:rFonts w:ascii="Arial" w:cs="Arial" w:eastAsia="Arial" w:hAnsi="Arial"/>
          <w:sz w:val="13"/>
          <w:szCs w:val="13"/>
          <w:color w:val="auto"/>
        </w:rPr>
        <w:t>”) jointly propose the following amended prepackaged chapter 11 plan of reorganization (the “</w:t>
      </w:r>
      <w:r>
        <w:rPr>
          <w:rFonts w:ascii="Arial" w:cs="Arial" w:eastAsia="Arial" w:hAnsi="Arial"/>
          <w:sz w:val="13"/>
          <w:szCs w:val="13"/>
          <w:b w:val="1"/>
          <w:bCs w:val="1"/>
          <w:u w:val="single" w:color="auto"/>
          <w:color w:val="auto"/>
        </w:rPr>
        <w:t>Plan</w:t>
      </w:r>
      <w:r>
        <w:rPr>
          <w:rFonts w:ascii="Arial" w:cs="Arial" w:eastAsia="Arial" w:hAnsi="Arial"/>
          <w:sz w:val="13"/>
          <w:szCs w:val="13"/>
          <w:color w:val="auto"/>
        </w:rPr>
        <w:t>”) for the resolution of the outstanding Claims (as defined below) against, and Equity Interests (as defined below) in, each of the Debtors. Although proposed jointly for administrative purposes, this Plan constitutes a separate Plan for each Debtor for the resolution of outstanding Claims against and Equity Interests in each Debtor pursuant to the Bankruptcy Code (as defined below). The Debtors are the proponents of this Plan within the meaning of section 1129 of the Bankruptcy Code. Reference is made to the Disclosure Statement (as such term is defined herein and distributed contemporaneously herewith) for a discussion of the Debtors’ history, business, results of operations, historical financial information, and projections, and for a summary and analysis of this Plan, the treatment provided for herein and certain related matters. There also are other agreements and documents, which will be filed with the Bankruptcy Court (as defined below), that are referenced in this Plan or the Disclosure Statement as Exhibits and Plan Schedules. All such Exhibits and Plan Schedules are incorporated into and are a part of this Plan as if set forth in full herein. Subject to certain restrictions and requirements set forth in 11 U.S.C. § 1127, Fed. R. Bankr. P. 3019 and the terms and conditions set forth in this Plan, the Debtors reserve the right to alter, amend, modify, revoke or withdraw this Plan prior to its substantial consummation.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OF INTERPRETATION, COMPUTATION OF TIME AND DEFINED TERMS</w:t>
      </w:r>
    </w:p>
    <w:p>
      <w:pPr>
        <w:spacing w:after="0" w:line="175" w:lineRule="exact"/>
        <w:rPr>
          <w:sz w:val="20"/>
          <w:szCs w:val="20"/>
          <w:color w:val="auto"/>
        </w:rPr>
      </w:pPr>
    </w:p>
    <w:p>
      <w:pPr>
        <w:ind w:left="520" w:hanging="517"/>
        <w:spacing w:after="0"/>
        <w:tabs>
          <w:tab w:leader="none" w:pos="52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Rules of Interpretation; Computation of Time</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3"/>
          <w:szCs w:val="13"/>
          <w:u w:val="single" w:color="auto"/>
          <w:color w:val="auto"/>
        </w:rPr>
        <w:t>Article XII.D</w:t>
      </w:r>
      <w:r>
        <w:rPr>
          <w:rFonts w:ascii="Arial" w:cs="Arial" w:eastAsia="Arial" w:hAnsi="Arial"/>
          <w:sz w:val="13"/>
          <w:szCs w:val="13"/>
          <w:color w:val="auto"/>
        </w:rPr>
        <w:t xml:space="preserve"> of this Plan, the rights and obligations arising pursuant to this Plan will be governed by, and construed and enforced in accordance with the applicable federal law, including the Bankruptcy Code and Bankruptcy Rules; (h) except as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633" w:right="219" w:bottom="1440" w:gutter="0" w:footer="0" w:header="0"/>
        </w:sectPr>
      </w:pPr>
    </w:p>
    <w:bookmarkStart w:id="180" w:name="page181"/>
    <w:bookmarkEnd w:id="180"/>
    <w:p>
      <w:pPr>
        <w:spacing w:after="0" w:line="296" w:lineRule="auto"/>
        <w:rPr>
          <w:sz w:val="20"/>
          <w:szCs w:val="20"/>
          <w:color w:val="auto"/>
        </w:rPr>
      </w:pPr>
      <w:r>
        <w:rPr>
          <w:rFonts w:ascii="Arial" w:cs="Arial" w:eastAsia="Arial" w:hAnsi="Arial"/>
          <w:sz w:val="12"/>
          <w:szCs w:val="12"/>
          <w:color w:val="auto"/>
        </w:rPr>
        <w:t>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28"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38" w:lineRule="exact"/>
        <w:rPr>
          <w:sz w:val="20"/>
          <w:szCs w:val="20"/>
          <w:color w:val="auto"/>
        </w:rPr>
      </w:pPr>
    </w:p>
    <w:p>
      <w:pPr>
        <w:ind w:left="500" w:hanging="497"/>
        <w:spacing w:after="0"/>
        <w:tabs>
          <w:tab w:leader="none" w:pos="500" w:val="left"/>
        </w:tabs>
        <w:numPr>
          <w:ilvl w:val="0"/>
          <w:numId w:val="148"/>
        </w:numPr>
        <w:rPr>
          <w:rFonts w:ascii="Arial" w:cs="Arial" w:eastAsia="Arial" w:hAnsi="Arial"/>
          <w:sz w:val="14"/>
          <w:szCs w:val="14"/>
          <w:i w:val="1"/>
          <w:iCs w:val="1"/>
          <w:color w:val="auto"/>
        </w:rPr>
      </w:pPr>
      <w:r>
        <w:rPr>
          <w:rFonts w:ascii="Arial" w:cs="Arial" w:eastAsia="Arial" w:hAnsi="Arial"/>
          <w:sz w:val="14"/>
          <w:szCs w:val="14"/>
          <w:i w:val="1"/>
          <w:iCs w:val="1"/>
          <w:color w:val="auto"/>
        </w:rPr>
        <w:t>Defined Terms</w:t>
      </w:r>
    </w:p>
    <w:p>
      <w:pPr>
        <w:spacing w:after="0" w:line="170" w:lineRule="exact"/>
        <w:rPr>
          <w:rFonts w:ascii="Arial" w:cs="Arial" w:eastAsia="Arial" w:hAnsi="Arial"/>
          <w:sz w:val="14"/>
          <w:szCs w:val="14"/>
          <w:i w:val="1"/>
          <w:iCs w:val="1"/>
          <w:color w:val="auto"/>
        </w:rPr>
      </w:pPr>
    </w:p>
    <w:p>
      <w:pPr>
        <w:ind w:left="500" w:right="3660"/>
        <w:spacing w:after="0" w:line="532" w:lineRule="auto"/>
        <w:rPr>
          <w:rFonts w:ascii="Arial" w:cs="Arial" w:eastAsia="Arial" w:hAnsi="Arial"/>
          <w:sz w:val="14"/>
          <w:szCs w:val="14"/>
          <w:i w:val="1"/>
          <w:iCs w:val="1"/>
          <w:color w:val="auto"/>
        </w:rPr>
      </w:pPr>
      <w:r>
        <w:rPr>
          <w:rFonts w:ascii="Arial" w:cs="Arial" w:eastAsia="Arial" w:hAnsi="Arial"/>
          <w:sz w:val="13"/>
          <w:szCs w:val="13"/>
          <w:color w:val="auto"/>
        </w:rPr>
        <w:t>Unless the context otherwise requires, the following terms will have the following meanings when used in capitalized form herein: “</w:t>
      </w:r>
      <w:r>
        <w:rPr>
          <w:rFonts w:ascii="Arial" w:cs="Arial" w:eastAsia="Arial" w:hAnsi="Arial"/>
          <w:sz w:val="13"/>
          <w:szCs w:val="13"/>
          <w:i w:val="1"/>
          <w:iCs w:val="1"/>
          <w:color w:val="auto"/>
        </w:rPr>
        <w:t>510(b) Equity Claim</w:t>
      </w:r>
      <w:r>
        <w:rPr>
          <w:rFonts w:ascii="Arial" w:cs="Arial" w:eastAsia="Arial" w:hAnsi="Arial"/>
          <w:sz w:val="13"/>
          <w:szCs w:val="13"/>
          <w:color w:val="auto"/>
        </w:rPr>
        <w:t>” means any Claim subordinated pursuant to section 510(b) of the Bankruptcy Code.</w:t>
      </w:r>
    </w:p>
    <w:p>
      <w:pPr>
        <w:spacing w:after="0" w:line="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Accrued Professional Compensation</w:t>
      </w:r>
      <w:r>
        <w:rPr>
          <w:rFonts w:ascii="Arial" w:cs="Arial" w:eastAsia="Arial" w:hAnsi="Arial"/>
          <w:sz w:val="14"/>
          <w:szCs w:val="14"/>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 Hoc Noteholder Committee</w:t>
      </w:r>
      <w:r>
        <w:rPr>
          <w:rFonts w:ascii="Arial" w:cs="Arial" w:eastAsia="Arial" w:hAnsi="Arial"/>
          <w:sz w:val="13"/>
          <w:szCs w:val="13"/>
          <w:color w:val="auto"/>
        </w:rPr>
        <w:t>” means that certain ad hoc committee of Holders of the Prepetition Notes represented by Akin Gump Strauss Hauer &amp; Feld LLP and Evercore Group L.L.C.</w:t>
      </w:r>
    </w:p>
    <w:p>
      <w:pPr>
        <w:spacing w:after="0" w:line="182"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Ad Hoc Noteholder Committee Fees and Expenses</w:t>
      </w:r>
      <w:r>
        <w:rPr>
          <w:rFonts w:ascii="Arial" w:cs="Arial" w:eastAsia="Arial" w:hAnsi="Arial"/>
          <w:sz w:val="14"/>
          <w:szCs w:val="14"/>
          <w:color w:val="auto"/>
        </w:rPr>
        <w:t>” means all unpaid reasonable and documented fees and out-of-pocket expenses of the Ad Hoc Noteholder Committee Professionals incurred in connection with the Chapter 11 Cases.</w:t>
      </w:r>
    </w:p>
    <w:p>
      <w:pPr>
        <w:spacing w:after="0" w:line="13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 Hoc Noteholder Committee Professionals</w:t>
      </w:r>
      <w:r>
        <w:rPr>
          <w:rFonts w:ascii="Arial" w:cs="Arial" w:eastAsia="Arial" w:hAnsi="Arial"/>
          <w:sz w:val="13"/>
          <w:szCs w:val="13"/>
          <w:color w:val="auto"/>
        </w:rPr>
        <w:t>” means, collectively, (i) Akin Gump Strauss Hauer &amp; Feld LLP, Arthur Cox, one local law firm (and, with the consent of the Debtors, more</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81" w:name="page182"/>
    <w:bookmarkEnd w:id="181"/>
    <w:p>
      <w:pPr>
        <w:ind w:right="200"/>
        <w:spacing w:after="0" w:line="268" w:lineRule="auto"/>
        <w:rPr>
          <w:sz w:val="20"/>
          <w:szCs w:val="20"/>
          <w:color w:val="auto"/>
        </w:rPr>
      </w:pPr>
      <w:r>
        <w:rPr>
          <w:rFonts w:ascii="Arial" w:cs="Arial" w:eastAsia="Arial" w:hAnsi="Arial"/>
          <w:sz w:val="14"/>
          <w:szCs w:val="14"/>
          <w:color w:val="auto"/>
        </w:rPr>
        <w:t>than one local law firm) in each relevant jurisdiction outside of the United States and England &amp; Wales, as legal counsel to the Ad Hoc Noteholder Committee and (ii) Evercore Group L.L.C, as financial advisor to the Ad Hoc Noteholder Committee.</w:t>
      </w:r>
    </w:p>
    <w:p>
      <w:pPr>
        <w:spacing w:after="0" w:line="138" w:lineRule="exact"/>
        <w:rPr>
          <w:sz w:val="20"/>
          <w:szCs w:val="20"/>
          <w:color w:val="auto"/>
        </w:rPr>
      </w:pPr>
    </w:p>
    <w:p>
      <w:pPr>
        <w:ind w:right="20" w:firstLine="498"/>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Administrative Claim</w:t>
      </w:r>
      <w:r>
        <w:rPr>
          <w:rFonts w:ascii="Arial" w:cs="Arial" w:eastAsia="Arial" w:hAnsi="Arial"/>
          <w:sz w:val="13"/>
          <w:szCs w:val="13"/>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 (b) 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and (d) all requests for compensation or expense reimbursement for making a substantial contribution in the Chapter 11 Cases Allowed pursuant to sections 503(b)(3), (4) and (5) of the Bankruptcy Code.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w:t>
      </w:r>
      <w:r>
        <w:rPr>
          <w:rFonts w:ascii="Arial" w:cs="Arial" w:eastAsia="Arial" w:hAnsi="Arial"/>
          <w:sz w:val="14"/>
          <w:szCs w:val="14"/>
          <w:color w:val="auto"/>
        </w:rPr>
        <w:t>” means an “affiliate”, as defined in section 101(2)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 Debtor(s)</w:t>
      </w:r>
      <w:r>
        <w:rPr>
          <w:rFonts w:ascii="Arial" w:cs="Arial" w:eastAsia="Arial" w:hAnsi="Arial"/>
          <w:sz w:val="14"/>
          <w:szCs w:val="14"/>
          <w:color w:val="auto"/>
        </w:rPr>
        <w:t>” means, individually or collectively, any Debtor or Debtors other than Weatherford Parent.</w:t>
      </w:r>
    </w:p>
    <w:p>
      <w:pPr>
        <w:spacing w:after="0" w:line="171" w:lineRule="exact"/>
        <w:rPr>
          <w:sz w:val="20"/>
          <w:szCs w:val="20"/>
          <w:color w:val="auto"/>
        </w:rPr>
      </w:pPr>
    </w:p>
    <w:p>
      <w:pPr>
        <w:ind w:right="200" w:firstLine="498"/>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Allowed</w:t>
      </w:r>
      <w:r>
        <w:rPr>
          <w:rFonts w:ascii="Arial" w:cs="Arial" w:eastAsia="Arial" w:hAnsi="Arial"/>
          <w:sz w:val="12"/>
          <w:szCs w:val="12"/>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 (b) 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22"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Amended/New Corporate Governance Documents</w:t>
      </w:r>
      <w:r>
        <w:rPr>
          <w:rFonts w:ascii="Arial" w:cs="Arial" w:eastAsia="Arial" w:hAnsi="Arial"/>
          <w:sz w:val="14"/>
          <w:szCs w:val="14"/>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38"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Avoidance Actions</w:t>
      </w:r>
      <w:r>
        <w:rPr>
          <w:rFonts w:ascii="Arial" w:cs="Arial" w:eastAsia="Arial" w:hAnsi="Arial"/>
          <w:sz w:val="14"/>
          <w:szCs w:val="14"/>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3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Backstop Commitment Agreement</w:t>
      </w:r>
      <w:r>
        <w:rPr>
          <w:rFonts w:ascii="Arial" w:cs="Arial" w:eastAsia="Arial" w:hAnsi="Arial"/>
          <w:sz w:val="14"/>
          <w:szCs w:val="14"/>
          <w:color w:val="auto"/>
        </w:rPr>
        <w:t>” means that certain Backstop Commitment Agreement entered into by the Debtors and the Backstop Parties prior to the Petition Date, in the form attached to this Plan or to the Disclosure Statement or Filed with the Plan Supplement, as amended by the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color w:val="auto"/>
        </w:rPr>
        <w:t>First Amended Backstop Commitment Agreement dated September 9, 2019 and otherwise in form and substance acceptable to the Backstop Parties.</w:t>
      </w:r>
    </w:p>
    <w:p>
      <w:pPr>
        <w:spacing w:after="0" w:line="171" w:lineRule="exact"/>
        <w:rPr>
          <w:sz w:val="20"/>
          <w:szCs w:val="20"/>
          <w:color w:val="auto"/>
        </w:rPr>
      </w:pPr>
    </w:p>
    <w:p>
      <w:pPr>
        <w:ind w:right="3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Backstop Parties</w:t>
      </w:r>
      <w:r>
        <w:rPr>
          <w:rFonts w:ascii="Arial" w:cs="Arial" w:eastAsia="Arial" w:hAnsi="Arial"/>
          <w:sz w:val="14"/>
          <w:szCs w:val="14"/>
          <w:color w:val="auto"/>
        </w:rPr>
        <w:t>” means those parties that agree to backstop the Rights Offering for the Exit Senior Unsecured Notes pursuant to the Backstop Commitment Agreement, each in its respective capacity as such.</w:t>
      </w:r>
    </w:p>
    <w:p>
      <w:pPr>
        <w:spacing w:after="0" w:line="138" w:lineRule="exact"/>
        <w:rPr>
          <w:sz w:val="20"/>
          <w:szCs w:val="20"/>
          <w:color w:val="auto"/>
        </w:rPr>
      </w:pPr>
    </w:p>
    <w:p>
      <w:pPr>
        <w:ind w:right="80" w:firstLine="498"/>
        <w:spacing w:after="0" w:line="258" w:lineRule="auto"/>
        <w:rPr>
          <w:sz w:val="20"/>
          <w:szCs w:val="20"/>
          <w:color w:val="auto"/>
        </w:rPr>
      </w:pPr>
      <w:r>
        <w:rPr>
          <w:rFonts w:ascii="Arial" w:cs="Arial" w:eastAsia="Arial" w:hAnsi="Arial"/>
          <w:sz w:val="14"/>
          <w:szCs w:val="14"/>
          <w:i w:val="1"/>
          <w:iCs w:val="1"/>
          <w:color w:val="auto"/>
        </w:rPr>
        <w:t xml:space="preserve">“Ballots” </w:t>
      </w:r>
      <w:r>
        <w:rPr>
          <w:rFonts w:ascii="Arial" w:cs="Arial" w:eastAsia="Arial" w:hAnsi="Arial"/>
          <w:sz w:val="14"/>
          <w:szCs w:val="14"/>
          <w:color w:val="auto"/>
        </w:rPr>
        <w:t>means the ballots accompanying the Disclosure Statement upon which Holders of Impaired Claims and Equity Interests entitled to vote will, among other things, indicate their acceptance</w:t>
      </w:r>
      <w:r>
        <w:rPr>
          <w:rFonts w:ascii="Arial" w:cs="Arial" w:eastAsia="Arial" w:hAnsi="Arial"/>
          <w:sz w:val="14"/>
          <w:szCs w:val="14"/>
          <w:i w:val="1"/>
          <w:iCs w:val="1"/>
          <w:color w:val="auto"/>
        </w:rPr>
        <w:t xml:space="preserve"> </w:t>
      </w:r>
      <w:r>
        <w:rPr>
          <w:rFonts w:ascii="Arial" w:cs="Arial" w:eastAsia="Arial" w:hAnsi="Arial"/>
          <w:sz w:val="14"/>
          <w:szCs w:val="14"/>
          <w:color w:val="auto"/>
        </w:rPr>
        <w:t>or rejection of this Plan in accordance with this Plan and the procedures governing the solicitation process, and which must be actually received by the Voting and Claims Agent on or before the Voting Deadline.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Bankruptcy Code</w:t>
      </w:r>
      <w:r>
        <w:rPr>
          <w:rFonts w:ascii="Arial" w:cs="Arial" w:eastAsia="Arial" w:hAnsi="Arial"/>
          <w:sz w:val="14"/>
          <w:szCs w:val="14"/>
          <w:color w:val="auto"/>
        </w:rPr>
        <w:t>” means title 11 of the United States Code, 11 U.S.C. §§ 101-1532, as amended from time to time and as applicable to the Chapter 11 Cases.</w:t>
      </w:r>
    </w:p>
    <w:p>
      <w:pPr>
        <w:spacing w:after="0" w:line="171" w:lineRule="exact"/>
        <w:rPr>
          <w:sz w:val="20"/>
          <w:szCs w:val="20"/>
          <w:color w:val="auto"/>
        </w:rPr>
      </w:pPr>
    </w:p>
    <w:p>
      <w:pPr>
        <w:jc w:val="both"/>
        <w:ind w:right="4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Bankruptcy Court</w:t>
      </w:r>
      <w:r>
        <w:rPr>
          <w:rFonts w:ascii="Arial" w:cs="Arial" w:eastAsia="Arial" w:hAnsi="Arial"/>
          <w:sz w:val="14"/>
          <w:szCs w:val="14"/>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Bankruptcy Rules</w:t>
      </w:r>
      <w:r>
        <w:rPr>
          <w:rFonts w:ascii="Arial" w:cs="Arial" w:eastAsia="Arial" w:hAnsi="Arial"/>
          <w:sz w:val="12"/>
          <w:szCs w:val="12"/>
          <w:color w:val="auto"/>
        </w:rPr>
        <w:t>” means the Federal Rules of Bankruptcy Procedure and the Local Rules of the Bankruptcy Court, in each case as amended from time to time and as applicable to the Chapter 11</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Cases.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 Day</w:t>
      </w:r>
      <w:r>
        <w:rPr>
          <w:rFonts w:ascii="Arial" w:cs="Arial" w:eastAsia="Arial" w:hAnsi="Arial"/>
          <w:sz w:val="14"/>
          <w:szCs w:val="14"/>
          <w:color w:val="auto"/>
        </w:rPr>
        <w:t>” means any day, other than a Saturday, Sunday or “legal holiday” (as defined in Bankruptcy Rule 9006(a)).</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Cash</w:t>
      </w:r>
      <w:r>
        <w:rPr>
          <w:rFonts w:ascii="Arial" w:cs="Arial" w:eastAsia="Arial" w:hAnsi="Arial"/>
          <w:sz w:val="14"/>
          <w:szCs w:val="14"/>
          <w:color w:val="auto"/>
        </w:rPr>
        <w:t>” means the legal tender of the United States of America or the equivalent thereof.</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Causes of Action</w:t>
      </w:r>
      <w:r>
        <w:rPr>
          <w:rFonts w:ascii="Arial" w:cs="Arial" w:eastAsia="Arial" w:hAnsi="Arial"/>
          <w:sz w:val="13"/>
          <w:szCs w:val="13"/>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36" w:lineRule="exact"/>
        <w:rPr>
          <w:sz w:val="20"/>
          <w:szCs w:val="20"/>
          <w:color w:val="auto"/>
        </w:rPr>
      </w:pPr>
    </w:p>
    <w:p>
      <w:pPr>
        <w:ind w:right="4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Chapter 11 Case(s)</w:t>
      </w:r>
      <w:r>
        <w:rPr>
          <w:rFonts w:ascii="Arial" w:cs="Arial" w:eastAsia="Arial" w:hAnsi="Arial"/>
          <w:sz w:val="13"/>
          <w:szCs w:val="13"/>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83" w:name="page184"/>
    <w:bookmarkEnd w:id="183"/>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Claim</w:t>
      </w:r>
      <w:r>
        <w:rPr>
          <w:rFonts w:ascii="Arial" w:cs="Arial" w:eastAsia="Arial" w:hAnsi="Arial"/>
          <w:sz w:val="14"/>
          <w:szCs w:val="14"/>
          <w:color w:val="auto"/>
        </w:rPr>
        <w:t>” means any “claim” (as defined in section 101(5) of the Bankruptcy Code) against any Debtor.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Claims Register</w:t>
      </w:r>
      <w:r>
        <w:rPr>
          <w:rFonts w:ascii="Arial" w:cs="Arial" w:eastAsia="Arial" w:hAnsi="Arial"/>
          <w:sz w:val="14"/>
          <w:szCs w:val="14"/>
          <w:color w:val="auto"/>
        </w:rPr>
        <w:t>” means the official register of Claims and Equity Interests maintained by the Voting and Claims Agent.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Class(es)</w:t>
      </w:r>
      <w:r>
        <w:rPr>
          <w:rFonts w:ascii="Arial" w:cs="Arial" w:eastAsia="Arial" w:hAnsi="Arial"/>
          <w:sz w:val="14"/>
          <w:szCs w:val="14"/>
          <w:color w:val="auto"/>
        </w:rPr>
        <w:t xml:space="preserve">” means a category of Holders of Claims or Equity Interests as set forth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hereof pursuant to section 1122(a) of the Bankruptcy Code.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Collateral</w:t>
      </w:r>
      <w:r>
        <w:rPr>
          <w:rFonts w:ascii="Arial" w:cs="Arial" w:eastAsia="Arial" w:hAnsi="Arial"/>
          <w:sz w:val="14"/>
          <w:szCs w:val="14"/>
          <w:color w:val="auto"/>
        </w:rPr>
        <w:t>” means any property or interest in property of the Debtors’ Estates that is subject to a valid and enforceable Lien to secure a Claim.</w:t>
      </w:r>
    </w:p>
    <w:p>
      <w:pPr>
        <w:spacing w:after="0" w:line="171" w:lineRule="exact"/>
        <w:rPr>
          <w:sz w:val="20"/>
          <w:szCs w:val="20"/>
          <w:color w:val="auto"/>
        </w:rPr>
      </w:pPr>
    </w:p>
    <w:p>
      <w:pPr>
        <w:ind w:right="120" w:firstLine="529"/>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Committee</w:t>
      </w:r>
      <w:r>
        <w:rPr>
          <w:rFonts w:ascii="Arial" w:cs="Arial" w:eastAsia="Arial" w:hAnsi="Arial"/>
          <w:sz w:val="14"/>
          <w:szCs w:val="14"/>
          <w:color w:val="auto"/>
        </w:rPr>
        <w:t xml:space="preserve">” means the official committee of unsecured creditors appointed in the Chapter 11 Cases pursuant to section 1102 of the Bankruptcy Code by the United States Trustee, pursuant to the </w:t>
      </w:r>
      <w:r>
        <w:rPr>
          <w:rFonts w:ascii="Arial" w:cs="Arial" w:eastAsia="Arial" w:hAnsi="Arial"/>
          <w:sz w:val="14"/>
          <w:szCs w:val="14"/>
          <w:i w:val="1"/>
          <w:iCs w:val="1"/>
          <w:color w:val="auto"/>
        </w:rPr>
        <w:t xml:space="preserve">Notice of Appointment of Committee of Unsecured Creditors </w:t>
      </w:r>
      <w:r>
        <w:rPr>
          <w:rFonts w:ascii="Arial" w:cs="Arial" w:eastAsia="Arial" w:hAnsi="Arial"/>
          <w:sz w:val="14"/>
          <w:szCs w:val="14"/>
          <w:color w:val="auto"/>
        </w:rPr>
        <w:t>[Docket No. 182] on July 17, 2019, and as such may be reconstituted from time to time.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Confirmation</w:t>
      </w:r>
      <w:r>
        <w:rPr>
          <w:rFonts w:ascii="Arial" w:cs="Arial" w:eastAsia="Arial" w:hAnsi="Arial"/>
          <w:sz w:val="13"/>
          <w:szCs w:val="13"/>
          <w:color w:val="auto"/>
        </w:rPr>
        <w:t xml:space="preserve">” means the occurrence of the Confirmation Date, subject to all conditions specified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of this Plan having been satisfied or waived pursuant to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of this Plan.</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Confirmation Date</w:t>
      </w:r>
      <w:r>
        <w:rPr>
          <w:rFonts w:ascii="Arial" w:cs="Arial" w:eastAsia="Arial" w:hAnsi="Arial"/>
          <w:sz w:val="14"/>
          <w:szCs w:val="14"/>
          <w:color w:val="auto"/>
        </w:rPr>
        <w:t>” means the date on which the clerk of the Bankruptcy Court enters the Confirmation Order on the docket of the Bankruptcy Court in the Chapter 11 Cases.</w:t>
      </w:r>
    </w:p>
    <w:p>
      <w:pPr>
        <w:spacing w:after="0" w:line="171" w:lineRule="exact"/>
        <w:rPr>
          <w:sz w:val="20"/>
          <w:szCs w:val="20"/>
          <w:color w:val="auto"/>
        </w:rPr>
      </w:pPr>
    </w:p>
    <w:p>
      <w:pPr>
        <w:ind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Confirmation Hearing</w:t>
      </w:r>
      <w:r>
        <w:rPr>
          <w:rFonts w:ascii="Arial" w:cs="Arial" w:eastAsia="Arial" w:hAnsi="Arial"/>
          <w:sz w:val="13"/>
          <w:szCs w:val="13"/>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15" w:lineRule="exact"/>
        <w:rPr>
          <w:sz w:val="20"/>
          <w:szCs w:val="20"/>
          <w:color w:val="auto"/>
        </w:rPr>
      </w:pPr>
    </w:p>
    <w:p>
      <w:pPr>
        <w:ind w:right="12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Confirmation Order</w:t>
      </w:r>
      <w:r>
        <w:rPr>
          <w:rFonts w:ascii="Arial" w:cs="Arial" w:eastAsia="Arial" w:hAnsi="Arial"/>
          <w:sz w:val="12"/>
          <w:szCs w:val="12"/>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DIP Required Lenders.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Consenting Noteholders</w:t>
      </w:r>
      <w:r>
        <w:rPr>
          <w:rFonts w:ascii="Arial" w:cs="Arial" w:eastAsia="Arial" w:hAnsi="Arial"/>
          <w:sz w:val="14"/>
          <w:szCs w:val="14"/>
          <w:color w:val="auto"/>
        </w:rPr>
        <w:t>” means those Holders of the Prepetition Notes that are party to the Restructuring Support Agreement as “Consenting Noteholders” thereunder.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Consummation</w:t>
      </w:r>
      <w:r>
        <w:rPr>
          <w:rFonts w:ascii="Arial" w:cs="Arial" w:eastAsia="Arial" w:hAnsi="Arial"/>
          <w:sz w:val="14"/>
          <w:szCs w:val="14"/>
          <w:color w:val="auto"/>
        </w:rPr>
        <w:t>” means the occurrence of the Effective Date.</w:t>
      </w:r>
    </w:p>
    <w:p>
      <w:pPr>
        <w:spacing w:after="0" w:line="171" w:lineRule="exact"/>
        <w:rPr>
          <w:sz w:val="20"/>
          <w:szCs w:val="20"/>
          <w:color w:val="auto"/>
        </w:rPr>
      </w:pPr>
    </w:p>
    <w:p>
      <w:pPr>
        <w:ind w:right="160" w:firstLine="529"/>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D&amp;O Liability Insurance Policies</w:t>
      </w:r>
      <w:r>
        <w:rPr>
          <w:rFonts w:ascii="Arial" w:cs="Arial" w:eastAsia="Arial" w:hAnsi="Arial"/>
          <w:sz w:val="13"/>
          <w:szCs w:val="13"/>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D&amp;O Tail Policy</w:t>
      </w:r>
      <w:r>
        <w:rPr>
          <w:rFonts w:ascii="Arial" w:cs="Arial" w:eastAsia="Arial" w:hAnsi="Arial"/>
          <w:sz w:val="14"/>
          <w:szCs w:val="14"/>
          <w:color w:val="auto"/>
        </w:rPr>
        <w:t>” means that certain directors’ &amp; officers’ liability insurance policy purchased by the Debtors on or about June, 2019.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84" w:name="page185"/>
    <w:bookmarkEnd w:id="184"/>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Debtor Release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X.B</w:t>
      </w:r>
      <w:r>
        <w:rPr>
          <w:rFonts w:ascii="Arial" w:cs="Arial" w:eastAsia="Arial" w:hAnsi="Arial"/>
          <w:sz w:val="14"/>
          <w:szCs w:val="14"/>
          <w:color w:val="auto"/>
        </w:rPr>
        <w:t xml:space="preserve"> hereof.</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Debtor Releasing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X.B</w:t>
      </w:r>
      <w:r>
        <w:rPr>
          <w:rFonts w:ascii="Arial" w:cs="Arial" w:eastAsia="Arial" w:hAnsi="Arial"/>
          <w:sz w:val="14"/>
          <w:szCs w:val="14"/>
          <w:color w:val="auto"/>
        </w:rPr>
        <w:t xml:space="preserve"> hereof.</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 xml:space="preserve">“DIP Agent” </w:t>
      </w:r>
      <w:r>
        <w:rPr>
          <w:rFonts w:ascii="Arial" w:cs="Arial" w:eastAsia="Arial" w:hAnsi="Arial"/>
          <w:sz w:val="14"/>
          <w:szCs w:val="14"/>
          <w:color w:val="auto"/>
        </w:rPr>
        <w:t>means Citibank, N.A., or its duly appointed successor, in its capacity as administrative agent and collateral agent under the DIP Credit Agreement.</w:t>
      </w:r>
    </w:p>
    <w:p>
      <w:pPr>
        <w:spacing w:after="0" w:line="171" w:lineRule="exact"/>
        <w:rPr>
          <w:sz w:val="20"/>
          <w:szCs w:val="20"/>
          <w:color w:val="auto"/>
        </w:rPr>
      </w:pPr>
    </w:p>
    <w:p>
      <w:pPr>
        <w:ind w:right="140" w:firstLine="529"/>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DIP Credit Agreement</w:t>
      </w:r>
      <w:r>
        <w:rPr>
          <w:rFonts w:ascii="Arial" w:cs="Arial" w:eastAsia="Arial" w:hAnsi="Arial"/>
          <w:sz w:val="13"/>
          <w:szCs w:val="13"/>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15"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DIP Contingent Obligations</w:t>
      </w:r>
      <w:r>
        <w:rPr>
          <w:rFonts w:ascii="Arial" w:cs="Arial" w:eastAsia="Arial" w:hAnsi="Arial"/>
          <w:sz w:val="14"/>
          <w:szCs w:val="14"/>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38" w:lineRule="exact"/>
        <w:rPr>
          <w:sz w:val="20"/>
          <w:szCs w:val="20"/>
          <w:color w:val="auto"/>
        </w:rPr>
      </w:pPr>
    </w:p>
    <w:p>
      <w:pPr>
        <w:ind w:firstLine="498"/>
        <w:spacing w:after="0" w:line="353" w:lineRule="auto"/>
        <w:rPr>
          <w:sz w:val="20"/>
          <w:szCs w:val="20"/>
          <w:color w:val="auto"/>
        </w:rPr>
      </w:pPr>
      <w:r>
        <w:rPr>
          <w:rFonts w:ascii="Arial" w:cs="Arial" w:eastAsia="Arial" w:hAnsi="Arial"/>
          <w:sz w:val="12"/>
          <w:szCs w:val="12"/>
          <w:i w:val="1"/>
          <w:iCs w:val="1"/>
          <w:color w:val="auto"/>
        </w:rPr>
        <w:t xml:space="preserve">“DIP Facility” </w:t>
      </w:r>
      <w:r>
        <w:rPr>
          <w:rFonts w:ascii="Arial" w:cs="Arial" w:eastAsia="Arial" w:hAnsi="Arial"/>
          <w:sz w:val="12"/>
          <w:szCs w:val="12"/>
          <w:color w:val="auto"/>
        </w:rPr>
        <w:t>means the debtor-in-possession financing facility provided by the DIP Lenders consisting of a (i) up to $750,000,000 debtor-in-possession first lien revolving credit facility provided</w:t>
      </w:r>
      <w:r>
        <w:rPr>
          <w:rFonts w:ascii="Arial" w:cs="Arial" w:eastAsia="Arial" w:hAnsi="Arial"/>
          <w:sz w:val="12"/>
          <w:szCs w:val="12"/>
          <w:i w:val="1"/>
          <w:iCs w:val="1"/>
          <w:color w:val="auto"/>
        </w:rPr>
        <w:t xml:space="preserve"> </w:t>
      </w:r>
      <w:r>
        <w:rPr>
          <w:rFonts w:ascii="Arial" w:cs="Arial" w:eastAsia="Arial" w:hAnsi="Arial"/>
          <w:sz w:val="12"/>
          <w:szCs w:val="12"/>
          <w:color w:val="auto"/>
        </w:rPr>
        <w:t>by certain lenders and (ii) a $1,000,000,000 debtor-in-possession term loan facility provided by certain of the Consenting Noteholders and fully backstopped by certain of the Consenting Noteholders.</w:t>
      </w:r>
    </w:p>
    <w:p>
      <w:pPr>
        <w:spacing w:after="0" w:line="92" w:lineRule="exact"/>
        <w:rPr>
          <w:sz w:val="20"/>
          <w:szCs w:val="20"/>
          <w:color w:val="auto"/>
        </w:rPr>
      </w:pPr>
    </w:p>
    <w:p>
      <w:pPr>
        <w:ind w:right="180" w:firstLine="529"/>
        <w:spacing w:after="0" w:line="353" w:lineRule="auto"/>
        <w:rPr>
          <w:sz w:val="20"/>
          <w:szCs w:val="20"/>
          <w:color w:val="auto"/>
        </w:rPr>
      </w:pPr>
      <w:r>
        <w:rPr>
          <w:rFonts w:ascii="Arial" w:cs="Arial" w:eastAsia="Arial" w:hAnsi="Arial"/>
          <w:sz w:val="12"/>
          <w:szCs w:val="12"/>
          <w:i w:val="1"/>
          <w:iCs w:val="1"/>
          <w:color w:val="auto"/>
        </w:rPr>
        <w:t xml:space="preserve">“DIP Facility Claims” </w:t>
      </w:r>
      <w:r>
        <w:rPr>
          <w:rFonts w:ascii="Arial" w:cs="Arial" w:eastAsia="Arial" w:hAnsi="Arial"/>
          <w:sz w:val="12"/>
          <w:szCs w:val="12"/>
          <w:color w:val="auto"/>
        </w:rPr>
        <w:t>means any and all Claims arising from, under, or in connection with the DIP Credit Agreement or any other DIP Financing Documents, including Claims for all principal</w:t>
      </w:r>
      <w:r>
        <w:rPr>
          <w:rFonts w:ascii="Arial" w:cs="Arial" w:eastAsia="Arial" w:hAnsi="Arial"/>
          <w:sz w:val="12"/>
          <w:szCs w:val="12"/>
          <w:i w:val="1"/>
          <w:iCs w:val="1"/>
          <w:color w:val="auto"/>
        </w:rPr>
        <w:t xml:space="preserve"> </w:t>
      </w:r>
      <w:r>
        <w:rPr>
          <w:rFonts w:ascii="Arial" w:cs="Arial" w:eastAsia="Arial" w:hAnsi="Arial"/>
          <w:sz w:val="12"/>
          <w:szCs w:val="12"/>
          <w:color w:val="auto"/>
        </w:rPr>
        <w:t>amounts outstanding, interest, fees, expenses, costs, and other charges and all other “Obligations,” “Swap Obligations,” and “Banking Services Obligations” as defined in the DIP Credit Agreement.</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 xml:space="preserve">“DIP Facility Liens” </w:t>
      </w:r>
      <w:r>
        <w:rPr>
          <w:rFonts w:ascii="Arial" w:cs="Arial" w:eastAsia="Arial" w:hAnsi="Arial"/>
          <w:sz w:val="14"/>
          <w:szCs w:val="14"/>
          <w:color w:val="auto"/>
        </w:rPr>
        <w:t>means the Liens securing the payment of the DIP Facility Claims.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DIP Final Order</w:t>
      </w:r>
      <w:r>
        <w:rPr>
          <w:rFonts w:ascii="Arial" w:cs="Arial" w:eastAsia="Arial" w:hAnsi="Arial"/>
          <w:sz w:val="14"/>
          <w:szCs w:val="14"/>
          <w:color w:val="auto"/>
        </w:rPr>
        <w:t>” means the “Final Order” as defined in the DIP Credit Agreement.</w:t>
      </w:r>
    </w:p>
    <w:p>
      <w:pPr>
        <w:spacing w:after="0" w:line="171" w:lineRule="exact"/>
        <w:rPr>
          <w:sz w:val="20"/>
          <w:szCs w:val="20"/>
          <w:color w:val="auto"/>
        </w:rPr>
      </w:pPr>
    </w:p>
    <w:p>
      <w:pPr>
        <w:ind w:right="160" w:firstLine="498"/>
        <w:spacing w:after="0" w:line="258" w:lineRule="auto"/>
        <w:rPr>
          <w:sz w:val="20"/>
          <w:szCs w:val="20"/>
          <w:color w:val="auto"/>
        </w:rPr>
      </w:pPr>
      <w:r>
        <w:rPr>
          <w:rFonts w:ascii="Arial" w:cs="Arial" w:eastAsia="Arial" w:hAnsi="Arial"/>
          <w:sz w:val="14"/>
          <w:szCs w:val="14"/>
          <w:i w:val="1"/>
          <w:iCs w:val="1"/>
          <w:color w:val="auto"/>
        </w:rPr>
        <w:t xml:space="preserve">“DIP Financing Documents” </w:t>
      </w:r>
      <w:r>
        <w:rPr>
          <w:rFonts w:ascii="Arial" w:cs="Arial" w:eastAsia="Arial" w:hAnsi="Arial"/>
          <w:sz w:val="14"/>
          <w:szCs w:val="14"/>
          <w:color w:val="auto"/>
        </w:rPr>
        <w:t>means the “Loan Documents” and the “Swap Agreements” as defined in the DIP Credit Agreement, as well as any documents evidencing “Banking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 (as defined in the DIP Credit Agreement), and the DIP Orders, in each case as amended, amended and restated, supplemented or otherwise modified from time to time in accordance with the terms thereof prior to the Effective Date.</w:t>
      </w:r>
    </w:p>
    <w:p>
      <w:pPr>
        <w:spacing w:after="0" w:line="145"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DIP Lenders</w:t>
      </w:r>
      <w:r>
        <w:rPr>
          <w:rFonts w:ascii="Arial" w:cs="Arial" w:eastAsia="Arial" w:hAnsi="Arial"/>
          <w:sz w:val="14"/>
          <w:szCs w:val="14"/>
          <w:color w:val="auto"/>
        </w:rPr>
        <w:t>” means the banks, financial, institutions, and other lenders party to the DIP Facility from time to time, and each arranger, bookrunner, syndication agent, manager, and documentation agent party to the DIP Credit Agreement from time to time.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DIP Orders</w:t>
      </w:r>
      <w:r>
        <w:rPr>
          <w:rFonts w:ascii="Arial" w:cs="Arial" w:eastAsia="Arial" w:hAnsi="Arial"/>
          <w:sz w:val="14"/>
          <w:szCs w:val="14"/>
          <w:color w:val="auto"/>
        </w:rPr>
        <w:t>” means, collectively, the “Interim Order” as defined in the DIP Credit Agreement and the DIP Final Order.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DIP Required Lenders</w:t>
      </w:r>
      <w:r>
        <w:rPr>
          <w:rFonts w:ascii="Arial" w:cs="Arial" w:eastAsia="Arial" w:hAnsi="Arial"/>
          <w:sz w:val="14"/>
          <w:szCs w:val="14"/>
          <w:color w:val="auto"/>
        </w:rPr>
        <w:t>” shall mean the “Required Lenders” as defined in the DIP Credit Agreement.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85" w:name="page186"/>
    <w:bookmarkEnd w:id="185"/>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Disclosure Statement</w:t>
      </w:r>
      <w:r>
        <w:rPr>
          <w:rFonts w:ascii="Arial" w:cs="Arial" w:eastAsia="Arial" w:hAnsi="Arial"/>
          <w:sz w:val="14"/>
          <w:szCs w:val="14"/>
          <w:color w:val="auto"/>
        </w:rPr>
        <w:t xml:space="preserve">” means that certain </w:t>
      </w:r>
      <w:r>
        <w:rPr>
          <w:rFonts w:ascii="Arial" w:cs="Arial" w:eastAsia="Arial" w:hAnsi="Arial"/>
          <w:sz w:val="14"/>
          <w:szCs w:val="14"/>
          <w:i w:val="1"/>
          <w:iCs w:val="1"/>
          <w:color w:val="auto"/>
        </w:rPr>
        <w:t>Disclosure Statement for Joint Prepackaged Plan Of Reorganization For Weatherford International plc And Its Affiliate Debtors Under Chapter 11 Of The</w:t>
      </w:r>
      <w:r>
        <w:rPr>
          <w:rFonts w:ascii="Arial" w:cs="Arial" w:eastAsia="Arial" w:hAnsi="Arial"/>
          <w:sz w:val="14"/>
          <w:szCs w:val="14"/>
          <w:color w:val="auto"/>
        </w:rPr>
        <w:t xml:space="preserve"> </w:t>
      </w:r>
      <w:r>
        <w:rPr>
          <w:rFonts w:ascii="Arial" w:cs="Arial" w:eastAsia="Arial" w:hAnsi="Arial"/>
          <w:sz w:val="14"/>
          <w:szCs w:val="14"/>
          <w:i w:val="1"/>
          <w:iCs w:val="1"/>
          <w:color w:val="auto"/>
        </w:rPr>
        <w:t>Bankruptcy Code</w:t>
      </w:r>
      <w:r>
        <w:rPr>
          <w:rFonts w:ascii="Arial" w:cs="Arial" w:eastAsia="Arial" w:hAnsi="Arial"/>
          <w:sz w:val="14"/>
          <w:szCs w:val="14"/>
          <w:color w:val="auto"/>
        </w:rPr>
        <w:t>, dated as of June 28, 2019 (as amended, supplemented, or modified from time to time).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Disputed</w:t>
      </w:r>
      <w:r>
        <w:rPr>
          <w:rFonts w:ascii="Arial" w:cs="Arial" w:eastAsia="Arial" w:hAnsi="Arial"/>
          <w:sz w:val="13"/>
          <w:szCs w:val="13"/>
          <w:color w:val="auto"/>
        </w:rPr>
        <w:t>” means any Claim or Equity Interest, or any portion thereof, that has not been Allowed, but has not been disallowed pursuant to this Plan or a Final Order of the Bankruptcy Court.</w:t>
      </w:r>
    </w:p>
    <w:p>
      <w:pPr>
        <w:spacing w:after="0" w:line="182"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i w:val="1"/>
          <w:iCs w:val="1"/>
          <w:color w:val="auto"/>
        </w:rPr>
        <w:t xml:space="preserve">“Distribution Agent” </w:t>
      </w:r>
      <w:r>
        <w:rPr>
          <w:rFonts w:ascii="Arial" w:cs="Arial" w:eastAsia="Arial" w:hAnsi="Arial"/>
          <w:sz w:val="14"/>
          <w:szCs w:val="14"/>
          <w:color w:val="auto"/>
        </w:rPr>
        <w:t>means the Reorganized Debtors or any party designated by the Reorganized Debtors to serve as distribution agent under this Plan. For purposes of distributions under this Plan</w:t>
      </w:r>
      <w:r>
        <w:rPr>
          <w:rFonts w:ascii="Arial" w:cs="Arial" w:eastAsia="Arial" w:hAnsi="Arial"/>
          <w:sz w:val="14"/>
          <w:szCs w:val="14"/>
          <w:i w:val="1"/>
          <w:iCs w:val="1"/>
          <w:color w:val="auto"/>
        </w:rPr>
        <w:t xml:space="preserve"> </w:t>
      </w:r>
      <w:r>
        <w:rPr>
          <w:rFonts w:ascii="Arial" w:cs="Arial" w:eastAsia="Arial" w:hAnsi="Arial"/>
          <w:sz w:val="14"/>
          <w:szCs w:val="14"/>
          <w:color w:val="auto"/>
        </w:rPr>
        <w:t>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5" w:lineRule="exact"/>
        <w:rPr>
          <w:sz w:val="20"/>
          <w:szCs w:val="20"/>
          <w:color w:val="auto"/>
        </w:rPr>
      </w:pPr>
    </w:p>
    <w:p>
      <w:pPr>
        <w:jc w:val="both"/>
        <w:ind w:right="12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Distribution Record Date</w:t>
      </w:r>
      <w:r>
        <w:rPr>
          <w:rFonts w:ascii="Arial" w:cs="Arial" w:eastAsia="Arial" w:hAnsi="Arial"/>
          <w:sz w:val="14"/>
          <w:szCs w:val="14"/>
          <w:color w:val="auto"/>
        </w:rPr>
        <w:t xml:space="preserve">” means the date for determining which Holders of Claims and Equity Interests are eligible to receive distributions under this Plan, which date will be the Effective Date, subject to </w:t>
      </w:r>
      <w:r>
        <w:rPr>
          <w:rFonts w:ascii="Arial" w:cs="Arial" w:eastAsia="Arial" w:hAnsi="Arial"/>
          <w:sz w:val="14"/>
          <w:szCs w:val="14"/>
          <w:u w:val="single" w:color="auto"/>
          <w:color w:val="auto"/>
        </w:rPr>
        <w:t>Article VII.D</w:t>
      </w:r>
      <w:r>
        <w:rPr>
          <w:rFonts w:ascii="Arial" w:cs="Arial" w:eastAsia="Arial" w:hAnsi="Arial"/>
          <w:sz w:val="14"/>
          <w:szCs w:val="14"/>
          <w:color w:val="auto"/>
        </w:rPr>
        <w:t xml:space="preserve"> of this Plan. The Distribution Record Date shall not apply to the Prepetition Notes Claims or any securities of the Debtors deposited with DTC, the holders of which shall receive a distribution in accordance with Article VII of this Plan and, as applicable, the customary procedures of DTC.</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DTC</w:t>
      </w:r>
      <w:r>
        <w:rPr>
          <w:rFonts w:ascii="Arial" w:cs="Arial" w:eastAsia="Arial" w:hAnsi="Arial"/>
          <w:sz w:val="14"/>
          <w:szCs w:val="14"/>
          <w:color w:val="auto"/>
        </w:rPr>
        <w:t>” means the Depository Trust Company.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Effective Date</w:t>
      </w:r>
      <w:r>
        <w:rPr>
          <w:rFonts w:ascii="Arial" w:cs="Arial" w:eastAsia="Arial" w:hAnsi="Arial"/>
          <w:sz w:val="14"/>
          <w:szCs w:val="14"/>
          <w:color w:val="auto"/>
        </w:rPr>
        <w:t xml:space="preserve">” means the first Business Day on which the conditions specified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of this Plan, have been satisfied or waived in accordance with the terms of </w:t>
      </w:r>
      <w:r>
        <w:rPr>
          <w:rFonts w:ascii="Arial" w:cs="Arial" w:eastAsia="Arial" w:hAnsi="Arial"/>
          <w:sz w:val="14"/>
          <w:szCs w:val="14"/>
          <w:u w:val="single" w:color="auto"/>
          <w:color w:val="auto"/>
        </w:rPr>
        <w:t>Article IX</w:t>
      </w:r>
      <w:r>
        <w:rPr>
          <w:rFonts w:ascii="Arial" w:cs="Arial" w:eastAsia="Arial" w:hAnsi="Arial"/>
          <w:sz w:val="14"/>
          <w:szCs w:val="14"/>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Election Amount</w:t>
      </w:r>
      <w:r>
        <w:rPr>
          <w:rFonts w:ascii="Arial" w:cs="Arial" w:eastAsia="Arial" w:hAnsi="Arial"/>
          <w:sz w:val="14"/>
          <w:szCs w:val="14"/>
          <w:color w:val="auto"/>
        </w:rPr>
        <w:t>” has the meaning set forth in Article V.V of this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Employment Plans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VI.G</w:t>
      </w:r>
      <w:r>
        <w:rPr>
          <w:rFonts w:ascii="Arial" w:cs="Arial" w:eastAsia="Arial" w:hAnsi="Arial"/>
          <w:sz w:val="14"/>
          <w:szCs w:val="14"/>
          <w:color w:val="auto"/>
        </w:rPr>
        <w:t xml:space="preserve"> of this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Entity</w:t>
      </w:r>
      <w:r>
        <w:rPr>
          <w:rFonts w:ascii="Arial" w:cs="Arial" w:eastAsia="Arial" w:hAnsi="Arial"/>
          <w:sz w:val="14"/>
          <w:szCs w:val="14"/>
          <w:color w:val="auto"/>
        </w:rPr>
        <w:t>” means an “entity” as defined in section 101(15) of the Bankruptcy Code.</w:t>
      </w:r>
    </w:p>
    <w:p>
      <w:pPr>
        <w:spacing w:after="0" w:line="171" w:lineRule="exact"/>
        <w:rPr>
          <w:sz w:val="20"/>
          <w:szCs w:val="20"/>
          <w:color w:val="auto"/>
        </w:rPr>
      </w:pPr>
    </w:p>
    <w:p>
      <w:pPr>
        <w:jc w:val="both"/>
        <w:ind w:right="260" w:firstLine="498"/>
        <w:spacing w:after="0" w:line="29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Equity Interest</w:t>
      </w:r>
      <w:r>
        <w:rPr>
          <w:rFonts w:ascii="Arial" w:cs="Arial" w:eastAsia="Arial" w:hAnsi="Arial"/>
          <w:sz w:val="12"/>
          <w:szCs w:val="12"/>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ind w:right="40" w:firstLine="3"/>
        <w:spacing w:after="0" w:line="254" w:lineRule="auto"/>
        <w:tabs>
          <w:tab w:leader="none" w:pos="196" w:val="left"/>
        </w:tabs>
        <w:numPr>
          <w:ilvl w:val="0"/>
          <w:numId w:val="149"/>
        </w:numPr>
        <w:rPr>
          <w:rFonts w:ascii="Arial" w:cs="Arial" w:eastAsia="Arial" w:hAnsi="Arial"/>
          <w:sz w:val="14"/>
          <w:szCs w:val="14"/>
          <w:color w:val="auto"/>
        </w:rPr>
      </w:pPr>
      <w:r>
        <w:rPr>
          <w:rFonts w:ascii="Arial" w:cs="Arial" w:eastAsia="Arial" w:hAnsi="Arial"/>
          <w:sz w:val="14"/>
          <w:szCs w:val="14"/>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Equity Security</w:t>
      </w:r>
      <w:r>
        <w:rPr>
          <w:rFonts w:ascii="Arial" w:cs="Arial" w:eastAsia="Arial" w:hAnsi="Arial"/>
          <w:sz w:val="14"/>
          <w:szCs w:val="14"/>
          <w:color w:val="auto"/>
        </w:rPr>
        <w:t>” means an “equity security” as defined in section 101(16)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Estate(s)</w:t>
      </w:r>
      <w:r>
        <w:rPr>
          <w:rFonts w:ascii="Arial" w:cs="Arial" w:eastAsia="Arial" w:hAnsi="Arial"/>
          <w:sz w:val="14"/>
          <w:szCs w:val="14"/>
          <w:color w:val="auto"/>
        </w:rPr>
        <w:t>” means, individually, the estate of each of the Debtors and, collectively, the estates of all of the Debtors created under section 541 of the Bankruptcy Code.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86" w:name="page187"/>
    <w:bookmarkEnd w:id="186"/>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xml:space="preserve">” means the Securities Exchange Act of 1934, 15 U.S.C. §§ 78a </w:t>
      </w:r>
      <w:r>
        <w:rPr>
          <w:rFonts w:ascii="Arial" w:cs="Arial" w:eastAsia="Arial" w:hAnsi="Arial"/>
          <w:sz w:val="13"/>
          <w:szCs w:val="13"/>
          <w:i w:val="1"/>
          <w:iCs w:val="1"/>
          <w:color w:val="auto"/>
        </w:rPr>
        <w:t>et seq</w:t>
      </w:r>
      <w:r>
        <w:rPr>
          <w:rFonts w:ascii="Arial" w:cs="Arial" w:eastAsia="Arial" w:hAnsi="Arial"/>
          <w:sz w:val="13"/>
          <w:szCs w:val="13"/>
          <w:color w:val="auto"/>
        </w:rPr>
        <w:t>., as now in effect or hereafter amended, and any rules and regulations promulgated thereunder.</w:t>
      </w:r>
    </w:p>
    <w:p>
      <w:pPr>
        <w:spacing w:after="0" w:line="182" w:lineRule="exact"/>
        <w:rPr>
          <w:sz w:val="20"/>
          <w:szCs w:val="20"/>
          <w:color w:val="auto"/>
        </w:rPr>
      </w:pPr>
    </w:p>
    <w:p>
      <w:pPr>
        <w:ind w:right="280" w:firstLine="498"/>
        <w:spacing w:after="0" w:line="31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Exculpated Parties</w:t>
      </w:r>
      <w:r>
        <w:rPr>
          <w:rFonts w:ascii="Arial" w:cs="Arial" w:eastAsia="Arial" w:hAnsi="Arial"/>
          <w:sz w:val="12"/>
          <w:szCs w:val="12"/>
          <w:color w:val="auto"/>
        </w:rPr>
        <w:t>” means, collectively: (a) the Debtors; (b) the Reorganized Debtors; (c) the Prepetition Agents; (d) the Prepetition Lenders; (e) the Exit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Exculpation</w:t>
      </w:r>
      <w:r>
        <w:rPr>
          <w:rFonts w:ascii="Arial" w:cs="Arial" w:eastAsia="Arial" w:hAnsi="Arial"/>
          <w:sz w:val="14"/>
          <w:szCs w:val="14"/>
          <w:color w:val="auto"/>
        </w:rPr>
        <w:t xml:space="preserve">” means the exculpation provision set forth in </w:t>
      </w:r>
      <w:r>
        <w:rPr>
          <w:rFonts w:ascii="Arial" w:cs="Arial" w:eastAsia="Arial" w:hAnsi="Arial"/>
          <w:sz w:val="14"/>
          <w:szCs w:val="14"/>
          <w:u w:val="single" w:color="auto"/>
          <w:color w:val="auto"/>
        </w:rPr>
        <w:t>Article X.E</w:t>
      </w:r>
      <w:r>
        <w:rPr>
          <w:rFonts w:ascii="Arial" w:cs="Arial" w:eastAsia="Arial" w:hAnsi="Arial"/>
          <w:sz w:val="14"/>
          <w:szCs w:val="14"/>
          <w:color w:val="auto"/>
        </w:rPr>
        <w:t xml:space="preserve"> hereof.</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Executory Contract</w:t>
      </w:r>
      <w:r>
        <w:rPr>
          <w:rFonts w:ascii="Arial" w:cs="Arial" w:eastAsia="Arial" w:hAnsi="Arial"/>
          <w:sz w:val="14"/>
          <w:szCs w:val="14"/>
          <w:color w:val="auto"/>
        </w:rPr>
        <w:t>” means a contract to which any Debtor is a party that is subject to assumption or rejection under section 365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Exhibit</w:t>
      </w:r>
      <w:r>
        <w:rPr>
          <w:rFonts w:ascii="Arial" w:cs="Arial" w:eastAsia="Arial" w:hAnsi="Arial"/>
          <w:sz w:val="13"/>
          <w:szCs w:val="13"/>
          <w:color w:val="auto"/>
        </w:rPr>
        <w:t>” means an exhibit annexed to either this Plan or as an appendix to the Disclosure Statement (as such exhibits are amended, modified or otherwise supplemented from time to time).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Existing Common Stock</w:t>
      </w:r>
      <w:r>
        <w:rPr>
          <w:rFonts w:ascii="Arial" w:cs="Arial" w:eastAsia="Arial" w:hAnsi="Arial"/>
          <w:sz w:val="14"/>
          <w:szCs w:val="14"/>
          <w:color w:val="auto"/>
        </w:rPr>
        <w:t>” means all ordinary shares of $0.0001 each in share capital of Weatherford Parent issued and outstanding immediately prior to the Effective Date.</w:t>
      </w:r>
    </w:p>
    <w:p>
      <w:pPr>
        <w:spacing w:after="0" w:line="171" w:lineRule="exact"/>
        <w:rPr>
          <w:sz w:val="20"/>
          <w:szCs w:val="20"/>
          <w:color w:val="auto"/>
        </w:rPr>
      </w:pPr>
    </w:p>
    <w:p>
      <w:pPr>
        <w:ind w:right="2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Facility</w:t>
      </w:r>
      <w:r>
        <w:rPr>
          <w:rFonts w:ascii="Arial" w:cs="Arial" w:eastAsia="Arial" w:hAnsi="Arial"/>
          <w:sz w:val="14"/>
          <w:szCs w:val="14"/>
          <w:color w:val="auto"/>
        </w:rPr>
        <w:t>” means the secured revolving credit facility with availability of at least $600,000,000, including a letter of credit sublimit of $500,000,000, as contemplated under the Exit Facility Credit Agreement.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Facility Agent</w:t>
      </w:r>
      <w:r>
        <w:rPr>
          <w:rFonts w:ascii="Arial" w:cs="Arial" w:eastAsia="Arial" w:hAnsi="Arial"/>
          <w:sz w:val="14"/>
          <w:szCs w:val="14"/>
          <w:color w:val="auto"/>
        </w:rPr>
        <w:t>” means the administrative agent and collateral agent under the Exit Facility Credit Agreement, solely in its capacity as such.</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Facility Credit Agreement</w:t>
      </w:r>
      <w:r>
        <w:rPr>
          <w:rFonts w:ascii="Arial" w:cs="Arial" w:eastAsia="Arial" w:hAnsi="Arial"/>
          <w:sz w:val="14"/>
          <w:szCs w:val="14"/>
          <w:color w:val="auto"/>
        </w:rPr>
        <w:t>” means the credit agreement for the Exit Facility, the terms and conditions of which are acceptable to the Debtors and the Consenting Noteholders in the manner set forth in the Restructuring Support Agreement.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Facility Lenders</w:t>
      </w:r>
      <w:r>
        <w:rPr>
          <w:rFonts w:ascii="Arial" w:cs="Arial" w:eastAsia="Arial" w:hAnsi="Arial"/>
          <w:sz w:val="14"/>
          <w:szCs w:val="14"/>
          <w:color w:val="auto"/>
        </w:rPr>
        <w:t>” means each of the lenders under the Exit Facility Credit Agreement, solely in their respective capacities as such.</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Facility Loan Documents</w:t>
      </w:r>
      <w:r>
        <w:rPr>
          <w:rFonts w:ascii="Arial" w:cs="Arial" w:eastAsia="Arial" w:hAnsi="Arial"/>
          <w:sz w:val="14"/>
          <w:szCs w:val="14"/>
          <w:color w:val="auto"/>
        </w:rPr>
        <w:t>” means the Exit Facility Credit Agreement, and other documents (including UCC financing statements), contracts, and agreements entered into with respect to, or in connection with, the Exit Facility Credit Agreement.</w:t>
      </w:r>
    </w:p>
    <w:p>
      <w:pPr>
        <w:spacing w:after="0" w:line="138"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Senior Unsecured Notes</w:t>
      </w:r>
      <w:r>
        <w:rPr>
          <w:rFonts w:ascii="Arial" w:cs="Arial" w:eastAsia="Arial" w:hAnsi="Arial"/>
          <w:sz w:val="14"/>
          <w:szCs w:val="14"/>
          <w:color w:val="auto"/>
        </w:rPr>
        <w:t>” means, the senior unsecured notes to be issued by Reorganized Weatherford Delaware and/or Reorganized Weatherford Bermuda, or both, on the Effective Date in the amount of up to $2,100,000,000, which Exit Senior Unsecured Notes shall consist of the Rights Offering Notes and the Takeback Notes and shall have the terms set forth in the Exit Senior Unsecured Notes Indenture.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87" w:name="page188"/>
    <w:bookmarkEnd w:id="187"/>
    <w:p>
      <w:pPr>
        <w:ind w:right="2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Senior Unsecured Notes Documents</w:t>
      </w:r>
      <w:r>
        <w:rPr>
          <w:rFonts w:ascii="Arial" w:cs="Arial" w:eastAsia="Arial" w:hAnsi="Arial"/>
          <w:sz w:val="14"/>
          <w:szCs w:val="14"/>
          <w:color w:val="auto"/>
        </w:rPr>
        <w:t>” means the Exit Senior Unsecured Notes, the Exit Senior Unsecured Notes Indenture, and other documents, contracts, and agreements entered into with respect, or in connection with, the Exit Senior Unsecured Notes Indenture.</w:t>
      </w:r>
    </w:p>
    <w:p>
      <w:pPr>
        <w:spacing w:after="0" w:line="138" w:lineRule="exact"/>
        <w:rPr>
          <w:sz w:val="20"/>
          <w:szCs w:val="20"/>
          <w:color w:val="auto"/>
        </w:rPr>
      </w:pPr>
    </w:p>
    <w:p>
      <w:pPr>
        <w:jc w:val="both"/>
        <w:ind w:right="6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Senior Unsecured Notes Indenture</w:t>
      </w:r>
      <w:r>
        <w:rPr>
          <w:rFonts w:ascii="Arial" w:cs="Arial" w:eastAsia="Arial" w:hAnsi="Arial"/>
          <w:sz w:val="14"/>
          <w:szCs w:val="14"/>
          <w:color w:val="auto"/>
        </w:rPr>
        <w:t>” means, the indenture or indentures governing the Exit Senior Unsecured Notes, in substantially the form Filed with the Bankruptcy Court, which indenture or indentures will contain terms and conditions consistent with the Restructuring Support Agreement and otherwise acceptable to the initial holders of the Exit Senior Unsecured Notes and the Debtors, and otherwise reasonably acceptable to the Required Consenting Noteholders.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Exit Senior Unsecured Notes Indenture Trustee</w:t>
      </w:r>
      <w:r>
        <w:rPr>
          <w:rFonts w:ascii="Arial" w:cs="Arial" w:eastAsia="Arial" w:hAnsi="Arial"/>
          <w:sz w:val="14"/>
          <w:szCs w:val="14"/>
          <w:color w:val="auto"/>
        </w:rPr>
        <w:t>” means the indenture trustee under the Exit Senior Unsecured Notes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File</w:t>
      </w:r>
      <w:r>
        <w:rPr>
          <w:rFonts w:ascii="Arial" w:cs="Arial" w:eastAsia="Arial" w:hAnsi="Arial"/>
          <w:sz w:val="14"/>
          <w:szCs w:val="14"/>
          <w:color w:val="auto"/>
        </w:rPr>
        <w:t>” or “</w:t>
      </w:r>
      <w:r>
        <w:rPr>
          <w:rFonts w:ascii="Arial" w:cs="Arial" w:eastAsia="Arial" w:hAnsi="Arial"/>
          <w:sz w:val="14"/>
          <w:szCs w:val="14"/>
          <w:i w:val="1"/>
          <w:iCs w:val="1"/>
          <w:color w:val="auto"/>
        </w:rPr>
        <w:t>Filed</w:t>
      </w:r>
      <w:r>
        <w:rPr>
          <w:rFonts w:ascii="Arial" w:cs="Arial" w:eastAsia="Arial" w:hAnsi="Arial"/>
          <w:sz w:val="14"/>
          <w:szCs w:val="14"/>
          <w:color w:val="auto"/>
        </w:rPr>
        <w:t>” or “Filing” means file, filed or filing with the Bankruptcy Court or its authorized designee in the Chapter 11 Cases.</w:t>
      </w:r>
    </w:p>
    <w:p>
      <w:pPr>
        <w:spacing w:after="0" w:line="171" w:lineRule="exact"/>
        <w:rPr>
          <w:sz w:val="20"/>
          <w:szCs w:val="20"/>
          <w:color w:val="auto"/>
        </w:rPr>
      </w:pPr>
    </w:p>
    <w:p>
      <w:pPr>
        <w:ind w:right="140" w:firstLine="498"/>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Final Order</w:t>
      </w:r>
      <w:r>
        <w:rPr>
          <w:rFonts w:ascii="Arial" w:cs="Arial" w:eastAsia="Arial" w:hAnsi="Arial"/>
          <w:sz w:val="13"/>
          <w:szCs w:val="13"/>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38"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General Unsecured Claim</w:t>
      </w:r>
      <w:r>
        <w:rPr>
          <w:rFonts w:ascii="Arial" w:cs="Arial" w:eastAsia="Arial" w:hAnsi="Arial"/>
          <w:sz w:val="14"/>
          <w:szCs w:val="14"/>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Governmental Unit</w:t>
      </w:r>
      <w:r>
        <w:rPr>
          <w:rFonts w:ascii="Arial" w:cs="Arial" w:eastAsia="Arial" w:hAnsi="Arial"/>
          <w:sz w:val="14"/>
          <w:szCs w:val="14"/>
          <w:color w:val="auto"/>
        </w:rPr>
        <w:t>” means a “governmental unit” as defined in section 101(27)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Holder</w:t>
      </w:r>
      <w:r>
        <w:rPr>
          <w:rFonts w:ascii="Arial" w:cs="Arial" w:eastAsia="Arial" w:hAnsi="Arial"/>
          <w:sz w:val="14"/>
          <w:szCs w:val="14"/>
          <w:color w:val="auto"/>
        </w:rPr>
        <w:t>” means either a Prepetition Noteholder or an Entity holding a Claim or Equity Interest, as the context requires.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Impaired</w:t>
      </w:r>
      <w:r>
        <w:rPr>
          <w:rFonts w:ascii="Arial" w:cs="Arial" w:eastAsia="Arial" w:hAnsi="Arial"/>
          <w:sz w:val="14"/>
          <w:szCs w:val="14"/>
          <w:color w:val="auto"/>
        </w:rPr>
        <w:t>” means, when used in reference to a Claim or Equity Interest, a Claim or Equity Interest that is “impaired” within the meaning of section 1124 of the Bankruptcy Code.</w:t>
      </w:r>
    </w:p>
    <w:p>
      <w:pPr>
        <w:spacing w:after="0" w:line="171"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Indemnification Provisions</w:t>
      </w:r>
      <w:r>
        <w:rPr>
          <w:rFonts w:ascii="Arial" w:cs="Arial" w:eastAsia="Arial" w:hAnsi="Arial"/>
          <w:sz w:val="14"/>
          <w:szCs w:val="14"/>
          <w:color w:val="auto"/>
        </w:rPr>
        <w:t>” means, collectively, each of the provisions in existence immediately prior to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88" w:name="page189"/>
    <w:bookmarkEnd w:id="188"/>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Indemnified Parties</w:t>
      </w:r>
      <w:r>
        <w:rPr>
          <w:rFonts w:ascii="Arial" w:cs="Arial" w:eastAsia="Arial" w:hAnsi="Arial"/>
          <w:sz w:val="13"/>
          <w:szCs w:val="13"/>
          <w:color w:val="auto"/>
        </w:rPr>
        <w:t>” means each of the Debtors’ and their respective subsidiaries’ respective current and former directors, officers, and managers in their respective capacities as such.</w:t>
      </w:r>
    </w:p>
    <w:p>
      <w:pPr>
        <w:spacing w:after="0" w:line="182" w:lineRule="exact"/>
        <w:rPr>
          <w:sz w:val="20"/>
          <w:szCs w:val="20"/>
          <w:color w:val="auto"/>
        </w:rPr>
      </w:pPr>
    </w:p>
    <w:p>
      <w:pPr>
        <w:ind w:right="12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Initial Distribution Date</w:t>
      </w:r>
      <w:r>
        <w:rPr>
          <w:rFonts w:ascii="Arial" w:cs="Arial" w:eastAsia="Arial" w:hAnsi="Arial"/>
          <w:sz w:val="14"/>
          <w:szCs w:val="14"/>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hereof, distributions under this Plan will be made to Holders of Allowed Claims and Allowed Equity Interests;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applicable distributions under this Plan on account of the DIP Facility Claims and the Prepetition Debt Claims will be made to the applicable Distribution Agent on the Effective Date, and each such Distribution Agent will make, transmit or cause to be transmitted its respective distributions as soon as practicable thereafter pursuant to the terms of this Plan.</w:t>
      </w:r>
    </w:p>
    <w:p>
      <w:pPr>
        <w:spacing w:after="0" w:line="148" w:lineRule="exact"/>
        <w:rPr>
          <w:sz w:val="20"/>
          <w:szCs w:val="20"/>
          <w:color w:val="auto"/>
        </w:rPr>
      </w:pPr>
    </w:p>
    <w:p>
      <w:pPr>
        <w:ind w:right="12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Insurance Contract</w:t>
      </w:r>
      <w:r>
        <w:rPr>
          <w:rFonts w:ascii="Arial" w:cs="Arial" w:eastAsia="Arial" w:hAnsi="Arial"/>
          <w:sz w:val="13"/>
          <w:szCs w:val="13"/>
          <w:color w:val="auto"/>
        </w:rPr>
        <w:t>” means all insurance policies and all surety bonds and related agreements of indemnity that have been issued at any time to, or provide coverage to, any of the Debtors and all agreements, documents, or instruments relating thereto. For the avoidance of doubt, each of the D&amp;O Liability Insurance Policies will constitute an Insurance Contract.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Intercompany Claim</w:t>
      </w:r>
      <w:r>
        <w:rPr>
          <w:rFonts w:ascii="Arial" w:cs="Arial" w:eastAsia="Arial" w:hAnsi="Arial"/>
          <w:sz w:val="14"/>
          <w:szCs w:val="14"/>
          <w:color w:val="auto"/>
        </w:rPr>
        <w:t>” means any Claim against any of the Debtors held by another Debtor, other than an Administrative Claim.</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Intercompany Equity Interest</w:t>
      </w:r>
      <w:r>
        <w:rPr>
          <w:rFonts w:ascii="Arial" w:cs="Arial" w:eastAsia="Arial" w:hAnsi="Arial"/>
          <w:sz w:val="14"/>
          <w:szCs w:val="14"/>
          <w:color w:val="auto"/>
        </w:rPr>
        <w:t>” means direct and indirect Equity Interests in a Debtor other than Weatherford Parent held by another Debtor or an affiliate of a Debtor.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Irish Examinership Proceedings</w:t>
      </w:r>
      <w:r>
        <w:rPr>
          <w:rFonts w:ascii="Arial" w:cs="Arial" w:eastAsia="Arial" w:hAnsi="Arial"/>
          <w:sz w:val="13"/>
          <w:szCs w:val="13"/>
          <w:color w:val="auto"/>
        </w:rPr>
        <w:t>” means the examinership process under the Companies Act 2014 of Ireland (as amended) with respect to, and commenced by, Weatherford Parent.</w:t>
      </w:r>
    </w:p>
    <w:p>
      <w:pPr>
        <w:spacing w:after="0" w:line="182" w:lineRule="exact"/>
        <w:rPr>
          <w:sz w:val="20"/>
          <w:szCs w:val="20"/>
          <w:color w:val="auto"/>
        </w:rPr>
      </w:pPr>
    </w:p>
    <w:p>
      <w:pPr>
        <w:ind w:firstLine="529"/>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Irish Scheme of Arrangement</w:t>
      </w:r>
      <w:r>
        <w:rPr>
          <w:rFonts w:ascii="Arial" w:cs="Arial" w:eastAsia="Arial" w:hAnsi="Arial"/>
          <w:sz w:val="14"/>
          <w:szCs w:val="14"/>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5" w:lineRule="exact"/>
        <w:rPr>
          <w:sz w:val="20"/>
          <w:szCs w:val="20"/>
          <w:color w:val="auto"/>
        </w:rPr>
      </w:pPr>
    </w:p>
    <w:p>
      <w:pPr>
        <w:ind w:right="280" w:firstLine="529"/>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Lien</w:t>
      </w:r>
      <w:r>
        <w:rPr>
          <w:rFonts w:ascii="Arial" w:cs="Arial" w:eastAsia="Arial" w:hAnsi="Arial"/>
          <w:sz w:val="13"/>
          <w:szCs w:val="13"/>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15"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Litigation Claims</w:t>
      </w:r>
      <w:r>
        <w:rPr>
          <w:rFonts w:ascii="Arial" w:cs="Arial" w:eastAsia="Arial" w:hAnsi="Arial"/>
          <w:sz w:val="14"/>
          <w:szCs w:val="14"/>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Local Rules</w:t>
      </w:r>
      <w:r>
        <w:rPr>
          <w:rFonts w:ascii="Arial" w:cs="Arial" w:eastAsia="Arial" w:hAnsi="Arial"/>
          <w:sz w:val="14"/>
          <w:szCs w:val="14"/>
          <w:color w:val="auto"/>
        </w:rPr>
        <w:t>” means the Bankruptcy Local Rules for the Southern District of Texas.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89" w:name="page190"/>
    <w:bookmarkEnd w:id="189"/>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New Board</w:t>
      </w:r>
      <w:r>
        <w:rPr>
          <w:rFonts w:ascii="Arial" w:cs="Arial" w:eastAsia="Arial" w:hAnsi="Arial"/>
          <w:sz w:val="13"/>
          <w:szCs w:val="13"/>
          <w:color w:val="auto"/>
        </w:rPr>
        <w:t>” means the initial board of directors of Reorganized Parent to be put in place on and as of the Effective Date in accordance with the Restructuring Support Agreement.</w:t>
      </w:r>
    </w:p>
    <w:p>
      <w:pPr>
        <w:spacing w:after="0" w:line="182"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New Common Stock</w:t>
      </w:r>
      <w:r>
        <w:rPr>
          <w:rFonts w:ascii="Arial" w:cs="Arial" w:eastAsia="Arial" w:hAnsi="Arial"/>
          <w:sz w:val="14"/>
          <w:szCs w:val="14"/>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38" w:lineRule="exact"/>
        <w:rPr>
          <w:sz w:val="20"/>
          <w:szCs w:val="20"/>
          <w:color w:val="auto"/>
        </w:rPr>
      </w:pPr>
    </w:p>
    <w:p>
      <w:pPr>
        <w:ind w:right="32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New Management Incentive Plan</w:t>
      </w:r>
      <w:r>
        <w:rPr>
          <w:rFonts w:ascii="Arial" w:cs="Arial" w:eastAsia="Arial" w:hAnsi="Arial"/>
          <w:sz w:val="12"/>
          <w:szCs w:val="12"/>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92"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New Registration Rights Agreement</w:t>
      </w:r>
      <w:r>
        <w:rPr>
          <w:rFonts w:ascii="Arial" w:cs="Arial" w:eastAsia="Arial" w:hAnsi="Arial"/>
          <w:sz w:val="14"/>
          <w:szCs w:val="14"/>
          <w:color w:val="auto"/>
        </w:rPr>
        <w:t>” means the registration rights agreement with respect to the New Common Stock, in substantially the form Filed with the Plan Supplement, which agreement will contain terms and conditions as are acceptable to the Required Consenting Noteholders in their sole discretion.</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New Warrants</w:t>
      </w:r>
      <w:r>
        <w:rPr>
          <w:rFonts w:ascii="Arial" w:cs="Arial" w:eastAsia="Arial" w:hAnsi="Arial"/>
          <w:sz w:val="14"/>
          <w:szCs w:val="14"/>
          <w:color w:val="auto"/>
        </w:rPr>
        <w:t>” means the warrants contemplated under the New Warrant Agreement.</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New Warrant Agreement</w:t>
      </w:r>
      <w:r>
        <w:rPr>
          <w:rFonts w:ascii="Arial" w:cs="Arial" w:eastAsia="Arial" w:hAnsi="Arial"/>
          <w:sz w:val="14"/>
          <w:szCs w:val="14"/>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New Warrant Term Sheet</w:t>
      </w:r>
      <w:r>
        <w:rPr>
          <w:rFonts w:ascii="Arial" w:cs="Arial" w:eastAsia="Arial" w:hAnsi="Arial"/>
          <w:sz w:val="14"/>
          <w:szCs w:val="14"/>
          <w:color w:val="auto"/>
        </w:rPr>
        <w:t>” means the term sheet filed with the Plan Supplement.</w:t>
      </w:r>
    </w:p>
    <w:p>
      <w:pPr>
        <w:spacing w:after="0" w:line="171" w:lineRule="exact"/>
        <w:rPr>
          <w:sz w:val="20"/>
          <w:szCs w:val="20"/>
          <w:color w:val="auto"/>
        </w:rPr>
      </w:pPr>
    </w:p>
    <w:p>
      <w:pPr>
        <w:ind w:right="60" w:firstLine="498"/>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Non-Debtor Releasing Parties</w:t>
      </w:r>
      <w:r>
        <w:rPr>
          <w:rFonts w:ascii="Arial" w:cs="Arial" w:eastAsia="Arial" w:hAnsi="Arial"/>
          <w:sz w:val="12"/>
          <w:szCs w:val="12"/>
          <w:color w:val="auto"/>
        </w:rPr>
        <w:t>” means, collectively: (a) the Prepetition Agents; (b) the Prepetition Lenders; (c) the Exit Senior Unsecured Notes Indenture Trustee; (d) the DIP Agent; (e) the DIP Lenders; (f) the Prepetition Notes Indenture Trustee; (g) the Ad Hoc Noteholder Committee and the members thereof in their capacities as such; (h) the Consenting Noteholders; (i) the Backstop Parties;</w:t>
      </w:r>
    </w:p>
    <w:p>
      <w:pPr>
        <w:spacing w:after="0" w:line="1" w:lineRule="exact"/>
        <w:rPr>
          <w:sz w:val="20"/>
          <w:szCs w:val="20"/>
          <w:color w:val="auto"/>
        </w:rPr>
      </w:pPr>
    </w:p>
    <w:p>
      <w:pPr>
        <w:ind w:right="20" w:firstLine="3"/>
        <w:spacing w:after="0" w:line="251" w:lineRule="auto"/>
        <w:tabs>
          <w:tab w:leader="none" w:pos="165"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Distribution Agents; (k) the Exit Facility Agent; (l) the Exit Facility Lenders; (m) the Provisional Liquidator; (n) the Committee and its current and former members in their capacities as such; (o) the Holders of Existing Common Stock and Unexercised Equity Interests that do not affirmatively opt out of the Release; and (p) the Prepetition Noteholders that are not party to the Restructuring Support Agreement and do not affirmatively opt out of the Release.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Notice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XII.K</w:t>
      </w:r>
      <w:r>
        <w:rPr>
          <w:rFonts w:ascii="Arial" w:cs="Arial" w:eastAsia="Arial" w:hAnsi="Arial"/>
          <w:sz w:val="14"/>
          <w:szCs w:val="14"/>
          <w:color w:val="auto"/>
        </w:rPr>
        <w:t xml:space="preserve"> of this Plan.</w:t>
      </w:r>
    </w:p>
    <w:p>
      <w:pPr>
        <w:spacing w:after="0" w:line="171"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NOL Order</w:t>
      </w:r>
      <w:r>
        <w:rPr>
          <w:rFonts w:ascii="Arial" w:cs="Arial" w:eastAsia="Arial" w:hAnsi="Arial"/>
          <w:sz w:val="14"/>
          <w:szCs w:val="14"/>
          <w:color w:val="auto"/>
        </w:rPr>
        <w:t xml:space="preserve">” means the </w:t>
      </w:r>
      <w:r>
        <w:rPr>
          <w:rFonts w:ascii="Arial" w:cs="Arial" w:eastAsia="Arial" w:hAnsi="Arial"/>
          <w:sz w:val="14"/>
          <w:szCs w:val="14"/>
          <w:i w:val="1"/>
          <w:iCs w:val="1"/>
          <w:color w:val="auto"/>
        </w:rPr>
        <w:t>Final Order Establishing Notification Procedures and Approving Restrictions on Certain Transfers of Stock of, and Claims Against, the Debtors</w:t>
      </w:r>
      <w:r>
        <w:rPr>
          <w:rFonts w:ascii="Arial" w:cs="Arial" w:eastAsia="Arial" w:hAnsi="Arial"/>
          <w:sz w:val="14"/>
          <w:szCs w:val="14"/>
          <w:color w:val="auto"/>
        </w:rPr>
        <w:t xml:space="preserve"> issued by the Bankruptcy Court and appearing on the docket at number 172.</w:t>
      </w:r>
    </w:p>
    <w:p>
      <w:pPr>
        <w:spacing w:after="0" w:line="138"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Other Priority Claim</w:t>
      </w:r>
      <w:r>
        <w:rPr>
          <w:rFonts w:ascii="Arial" w:cs="Arial" w:eastAsia="Arial" w:hAnsi="Arial"/>
          <w:sz w:val="14"/>
          <w:szCs w:val="14"/>
          <w:color w:val="auto"/>
        </w:rPr>
        <w:t>” means any Claim accorded priority in right of payment under section 507(a) of the Bankruptcy Code, other than a Priority Tax Claim or an Administrative Claim or a DIP Facility Claim.</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Other Secured Claim</w:t>
      </w:r>
      <w:r>
        <w:rPr>
          <w:rFonts w:ascii="Arial" w:cs="Arial" w:eastAsia="Arial" w:hAnsi="Arial"/>
          <w:sz w:val="14"/>
          <w:szCs w:val="14"/>
          <w:color w:val="auto"/>
        </w:rPr>
        <w:t>” means any Secured Claim other than an Administrative Claim, Secured Tax Claim, DIP Facility Claim, or Prepetition A&amp;R Credit Agreement Claim.</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190" w:name="page191"/>
    <w:bookmarkEnd w:id="190"/>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Overallotment Right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V.V</w:t>
      </w:r>
      <w:r>
        <w:rPr>
          <w:rFonts w:ascii="Arial" w:cs="Arial" w:eastAsia="Arial" w:hAnsi="Arial"/>
          <w:sz w:val="14"/>
          <w:szCs w:val="14"/>
          <w:color w:val="auto"/>
        </w:rPr>
        <w:t xml:space="preserve"> of this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Participating Holder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V.V</w:t>
      </w:r>
      <w:r>
        <w:rPr>
          <w:rFonts w:ascii="Arial" w:cs="Arial" w:eastAsia="Arial" w:hAnsi="Arial"/>
          <w:sz w:val="14"/>
          <w:szCs w:val="14"/>
          <w:color w:val="auto"/>
        </w:rPr>
        <w:t xml:space="preserve"> of this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Parent Subsidiary</w:t>
      </w:r>
      <w:r>
        <w:rPr>
          <w:rFonts w:ascii="Arial" w:cs="Arial" w:eastAsia="Arial" w:hAnsi="Arial"/>
          <w:sz w:val="14"/>
          <w:szCs w:val="14"/>
          <w:color w:val="auto"/>
        </w:rPr>
        <w:t>” means each direct and indirect, wholly-owned subsidiary of Weatherford Parent.</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Person</w:t>
      </w:r>
      <w:r>
        <w:rPr>
          <w:rFonts w:ascii="Arial" w:cs="Arial" w:eastAsia="Arial" w:hAnsi="Arial"/>
          <w:sz w:val="14"/>
          <w:szCs w:val="14"/>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Petition Date</w:t>
      </w:r>
      <w:r>
        <w:rPr>
          <w:rFonts w:ascii="Arial" w:cs="Arial" w:eastAsia="Arial" w:hAnsi="Arial"/>
          <w:sz w:val="14"/>
          <w:szCs w:val="14"/>
          <w:color w:val="auto"/>
        </w:rPr>
        <w:t>” means the date on which the Debtors commence the Chapter 11 Cases.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Plan Objection Deadline</w:t>
      </w:r>
      <w:r>
        <w:rPr>
          <w:rFonts w:ascii="Arial" w:cs="Arial" w:eastAsia="Arial" w:hAnsi="Arial"/>
          <w:sz w:val="14"/>
          <w:szCs w:val="14"/>
          <w:color w:val="auto"/>
        </w:rPr>
        <w:t>” means the date and time by which objections to Confirmation and Consummation of this Plan must be Filed with the Bankruptcy Court.</w:t>
      </w:r>
    </w:p>
    <w:p>
      <w:pPr>
        <w:spacing w:after="0" w:line="171" w:lineRule="exact"/>
        <w:rPr>
          <w:sz w:val="20"/>
          <w:szCs w:val="20"/>
          <w:color w:val="auto"/>
        </w:rPr>
      </w:pPr>
    </w:p>
    <w:p>
      <w:pPr>
        <w:ind w:right="6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Plan Schedule</w:t>
      </w:r>
      <w:r>
        <w:rPr>
          <w:rFonts w:ascii="Arial" w:cs="Arial" w:eastAsia="Arial" w:hAnsi="Arial"/>
          <w:sz w:val="13"/>
          <w:szCs w:val="13"/>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DIP Required Lenders.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Plan Securities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V.K</w:t>
      </w:r>
      <w:r>
        <w:rPr>
          <w:rFonts w:ascii="Arial" w:cs="Arial" w:eastAsia="Arial" w:hAnsi="Arial"/>
          <w:sz w:val="14"/>
          <w:szCs w:val="14"/>
          <w:color w:val="auto"/>
        </w:rPr>
        <w:t xml:space="preserve"> of this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Plan Securities and Documents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V.K</w:t>
      </w:r>
      <w:r>
        <w:rPr>
          <w:rFonts w:ascii="Arial" w:cs="Arial" w:eastAsia="Arial" w:hAnsi="Arial"/>
          <w:sz w:val="14"/>
          <w:szCs w:val="14"/>
          <w:color w:val="auto"/>
        </w:rPr>
        <w:t xml:space="preserve"> of this Plan.</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Plan Supplement</w:t>
      </w:r>
      <w:r>
        <w:rPr>
          <w:rFonts w:ascii="Arial" w:cs="Arial" w:eastAsia="Arial" w:hAnsi="Arial"/>
          <w:sz w:val="13"/>
          <w:szCs w:val="13"/>
          <w:color w:val="auto"/>
        </w:rPr>
        <w:t>” means, collectively, the compilation of documents and forms of documents, and all exhibits, attachments, schedules, agreements, documents and instruments 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DIP Required Lenders. The Exhibits and Plan Schedules (or substantially final forms thereof) will be Filed with the Bankruptcy Court at least seven (7) days prior to the Confirmation Hearing.</w:t>
      </w:r>
    </w:p>
    <w:p>
      <w:pPr>
        <w:spacing w:after="0" w:line="138"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Agents</w:t>
      </w:r>
      <w:r>
        <w:rPr>
          <w:rFonts w:ascii="Arial" w:cs="Arial" w:eastAsia="Arial" w:hAnsi="Arial"/>
          <w:sz w:val="14"/>
          <w:szCs w:val="14"/>
          <w:color w:val="auto"/>
        </w:rPr>
        <w:t>” means, collectively, the Prepetition A&amp;R Credit Agreement Agent, the Prepetition Revolving Credit Agreement Agent, the Prepetition Revolving Credit Agreement Collateral Agent, and the Prepetition Term Loan Administrative Agent.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A&amp;R Claims</w:t>
      </w:r>
      <w:r>
        <w:rPr>
          <w:rFonts w:ascii="Arial" w:cs="Arial" w:eastAsia="Arial" w:hAnsi="Arial"/>
          <w:sz w:val="14"/>
          <w:szCs w:val="14"/>
          <w:color w:val="auto"/>
        </w:rPr>
        <w:t>” means any and all Claims arising from, under or in connection with the Prepetition A&amp;R Credit Agreement (including, without limitation, any and all</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color w:val="auto"/>
        </w:rPr>
        <w:t>“Indebtedness” as defined therein) or any other Prepetition Loan Document relating to the Prepetition A&amp;R Credit Agreement.</w:t>
      </w:r>
    </w:p>
    <w:p>
      <w:pPr>
        <w:spacing w:after="0" w:line="171"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A&amp;R Credit Agreement</w:t>
      </w:r>
      <w:r>
        <w:rPr>
          <w:rFonts w:ascii="Arial" w:cs="Arial" w:eastAsia="Arial" w:hAnsi="Arial"/>
          <w:sz w:val="14"/>
          <w:szCs w:val="14"/>
          <w:color w:val="auto"/>
        </w:rPr>
        <w:t>” means that certain Amended and Restated Credit Agreement, dated as of May 9, 2016, by and among Weatherford International Ltd., Weatherford International plc, WOFS Assurance Limited, the Prepetition A&amp;R Credit Agreement Agent, the Prepetition A&amp;R Credit Agreement Lenders, and the Prepetition A&amp;R Credit Agreement Issuing Banks party thereto, as amended, supplemented, or modified from time to time prior to the Petition Date.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A&amp;R Credit Agreement Agent</w:t>
      </w:r>
      <w:r>
        <w:rPr>
          <w:rFonts w:ascii="Arial" w:cs="Arial" w:eastAsia="Arial" w:hAnsi="Arial"/>
          <w:sz w:val="14"/>
          <w:szCs w:val="14"/>
          <w:color w:val="auto"/>
        </w:rPr>
        <w:t>” means JPMorgan Chase Bank, N.A., in its capacity as administrative agent under the Prepetition A&amp;R Credit Agreement.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A&amp;R Credit Agreement Issuing Banks</w:t>
      </w:r>
      <w:r>
        <w:rPr>
          <w:rFonts w:ascii="Arial" w:cs="Arial" w:eastAsia="Arial" w:hAnsi="Arial"/>
          <w:sz w:val="14"/>
          <w:szCs w:val="14"/>
          <w:color w:val="auto"/>
        </w:rPr>
        <w:t>” means the issuing banks party to the Prepetition A&amp;R Credit Agreement from time to time.</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A&amp;R Credit Agreement Lenders</w:t>
      </w:r>
      <w:r>
        <w:rPr>
          <w:rFonts w:ascii="Arial" w:cs="Arial" w:eastAsia="Arial" w:hAnsi="Arial"/>
          <w:sz w:val="14"/>
          <w:szCs w:val="14"/>
          <w:color w:val="auto"/>
        </w:rPr>
        <w:t>” means the lenders (including the swingline lender) party to the Prepetition A&amp;R Credit Agreement from time to time and the Prepetition A&amp;R Credit Agreement Issuing Banks.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Prepetition Debt Claims</w:t>
      </w:r>
      <w:r>
        <w:rPr>
          <w:rFonts w:ascii="Arial" w:cs="Arial" w:eastAsia="Arial" w:hAnsi="Arial"/>
          <w:sz w:val="13"/>
          <w:szCs w:val="13"/>
          <w:color w:val="auto"/>
        </w:rPr>
        <w:t>” means, collectively, the Prepetition A&amp;R Claims, the Prepetition Revolving Credit Claims, the Prepetition Term Loan Claims, and the Prepetition Notes Claims.</w:t>
      </w:r>
    </w:p>
    <w:p>
      <w:pPr>
        <w:spacing w:after="0" w:line="182"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Debt Documents</w:t>
      </w:r>
      <w:r>
        <w:rPr>
          <w:rFonts w:ascii="Arial" w:cs="Arial" w:eastAsia="Arial" w:hAnsi="Arial"/>
          <w:sz w:val="14"/>
          <w:szCs w:val="14"/>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Prepetition Lenders</w:t>
      </w:r>
      <w:r>
        <w:rPr>
          <w:rFonts w:ascii="Arial" w:cs="Arial" w:eastAsia="Arial" w:hAnsi="Arial"/>
          <w:sz w:val="12"/>
          <w:szCs w:val="12"/>
          <w:color w:val="auto"/>
        </w:rPr>
        <w:t>” means, collectively, the Prepetition A&amp;R Credit Agreement Lenders, the Prepetition Revolving Credit Agreement Lenders, and the Prepetition Term Loan Agreement Lenders.</w:t>
      </w:r>
    </w:p>
    <w:p>
      <w:pPr>
        <w:spacing w:after="0" w:line="194"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Loan Documents</w:t>
      </w:r>
      <w:r>
        <w:rPr>
          <w:rFonts w:ascii="Arial" w:cs="Arial" w:eastAsia="Arial" w:hAnsi="Arial"/>
          <w:sz w:val="14"/>
          <w:szCs w:val="14"/>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Noteholders</w:t>
      </w:r>
      <w:r>
        <w:rPr>
          <w:rFonts w:ascii="Arial" w:cs="Arial" w:eastAsia="Arial" w:hAnsi="Arial"/>
          <w:sz w:val="14"/>
          <w:szCs w:val="14"/>
          <w:color w:val="auto"/>
        </w:rPr>
        <w:t>” means, collectively, the record holders of and owners of beneficial interests in the Prepetition Notes.</w:t>
      </w:r>
    </w:p>
    <w:p>
      <w:pPr>
        <w:spacing w:after="0" w:line="171" w:lineRule="exact"/>
        <w:rPr>
          <w:sz w:val="20"/>
          <w:szCs w:val="20"/>
          <w:color w:val="auto"/>
        </w:rPr>
      </w:pPr>
    </w:p>
    <w:p>
      <w:pPr>
        <w:ind w:right="40" w:firstLine="49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Prepetition Notes</w:t>
      </w:r>
      <w:r>
        <w:rPr>
          <w:rFonts w:ascii="Arial" w:cs="Arial" w:eastAsia="Arial" w:hAnsi="Arial"/>
          <w:sz w:val="13"/>
          <w:szCs w:val="13"/>
          <w:color w:val="auto"/>
        </w:rPr>
        <w:t>” means, collectively, (i) those certain 5.125% senior unsecured notes due 2020, issued by Weatherford International Ltd. pursuant to the applicable Prepetition Notes Indenture, in an aggregate principal amount outstanding of $365,107,000 (the “</w:t>
      </w:r>
      <w:r>
        <w:rPr>
          <w:rFonts w:ascii="Arial" w:cs="Arial" w:eastAsia="Arial" w:hAnsi="Arial"/>
          <w:sz w:val="13"/>
          <w:szCs w:val="13"/>
          <w:i w:val="1"/>
          <w:iCs w:val="1"/>
          <w:u w:val="single" w:color="auto"/>
          <w:color w:val="auto"/>
        </w:rPr>
        <w:t>5.125% Notes</w:t>
      </w:r>
      <w:r>
        <w:rPr>
          <w:rFonts w:ascii="Arial" w:cs="Arial" w:eastAsia="Arial" w:hAnsi="Arial"/>
          <w:sz w:val="13"/>
          <w:szCs w:val="13"/>
          <w:color w:val="auto"/>
        </w:rPr>
        <w:t>”); (ii) those certain 7.750% senior unsecured notes due 2021, issued by Weatherford International Ltd. pursuant to the applicable Prepetition Notes Indenture, in an aggregate principal amount outstanding of $750,000,000 (the “</w:t>
      </w:r>
      <w:r>
        <w:rPr>
          <w:rFonts w:ascii="Arial" w:cs="Arial" w:eastAsia="Arial" w:hAnsi="Arial"/>
          <w:sz w:val="13"/>
          <w:szCs w:val="13"/>
          <w:i w:val="1"/>
          <w:iCs w:val="1"/>
          <w:u w:val="single" w:color="auto"/>
          <w:color w:val="auto"/>
        </w:rPr>
        <w:t>7.750% Notes</w:t>
      </w:r>
      <w:r>
        <w:rPr>
          <w:rFonts w:ascii="Arial" w:cs="Arial" w:eastAsia="Arial" w:hAnsi="Arial"/>
          <w:sz w:val="13"/>
          <w:szCs w:val="13"/>
          <w:color w:val="auto"/>
        </w:rPr>
        <w:t>”); (iii) those certain 5.875% exchangeable senior unsecured notes due 2021, issued by Weatherford International Ltd. pursuant to the applicable Prepetition Notes Indenture, in an aggregate principal amount outstanding of $1,265,000,000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92" w:name="page193"/>
    <w:bookmarkEnd w:id="192"/>
    <w:p>
      <w:pPr>
        <w:ind w:right="40"/>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5.875% Notes</w:t>
      </w:r>
      <w:r>
        <w:rPr>
          <w:rFonts w:ascii="Arial" w:cs="Arial" w:eastAsia="Arial" w:hAnsi="Arial"/>
          <w:sz w:val="12"/>
          <w:szCs w:val="12"/>
          <w:color w:val="auto"/>
        </w:rPr>
        <w:t>”); (iv) those certain 4.500% senior unsecured notes due 2022, issued by Weatherford International Ltd. pursuant to the applicable Prepetition Notes Indenture, in an aggregate principal amount outstanding of $646,286,000 (the “</w:t>
      </w:r>
      <w:r>
        <w:rPr>
          <w:rFonts w:ascii="Arial" w:cs="Arial" w:eastAsia="Arial" w:hAnsi="Arial"/>
          <w:sz w:val="12"/>
          <w:szCs w:val="12"/>
          <w:i w:val="1"/>
          <w:iCs w:val="1"/>
          <w:u w:val="single" w:color="auto"/>
          <w:color w:val="auto"/>
        </w:rPr>
        <w:t>4.500% Notes</w:t>
      </w:r>
      <w:r>
        <w:rPr>
          <w:rFonts w:ascii="Arial" w:cs="Arial" w:eastAsia="Arial" w:hAnsi="Arial"/>
          <w:sz w:val="12"/>
          <w:szCs w:val="12"/>
          <w:color w:val="auto"/>
        </w:rPr>
        <w:t>”); (v) those certain 8.250% senior unsecured notes due 2023, issued by Weatherford International Ltd. pursuant to the applicable Prepetition Notes Indenture, in an aggregate principal amount outstanding of $750,000,000 (the “</w:t>
      </w:r>
      <w:r>
        <w:rPr>
          <w:rFonts w:ascii="Arial" w:cs="Arial" w:eastAsia="Arial" w:hAnsi="Arial"/>
          <w:sz w:val="12"/>
          <w:szCs w:val="12"/>
          <w:i w:val="1"/>
          <w:iCs w:val="1"/>
          <w:u w:val="single" w:color="auto"/>
          <w:color w:val="auto"/>
        </w:rPr>
        <w:t>8.250% Notes</w:t>
      </w:r>
      <w:r>
        <w:rPr>
          <w:rFonts w:ascii="Arial" w:cs="Arial" w:eastAsia="Arial" w:hAnsi="Arial"/>
          <w:sz w:val="12"/>
          <w:szCs w:val="12"/>
          <w:color w:val="auto"/>
        </w:rPr>
        <w:t>”); (vi) those certain 9.875% senior unsecured notes due 2024, issued by Weatherford International Ltd. pursuant to the applicable Prepetition Notes Indenture, in an aggregate principal amount outstanding of $790,000,000 (the “</w:t>
      </w:r>
      <w:r>
        <w:rPr>
          <w:rFonts w:ascii="Arial" w:cs="Arial" w:eastAsia="Arial" w:hAnsi="Arial"/>
          <w:sz w:val="12"/>
          <w:szCs w:val="12"/>
          <w:i w:val="1"/>
          <w:iCs w:val="1"/>
          <w:u w:val="single" w:color="auto"/>
          <w:color w:val="auto"/>
        </w:rPr>
        <w:t>9.875% 2024 Notes</w:t>
      </w:r>
      <w:r>
        <w:rPr>
          <w:rFonts w:ascii="Arial" w:cs="Arial" w:eastAsia="Arial" w:hAnsi="Arial"/>
          <w:sz w:val="12"/>
          <w:szCs w:val="12"/>
          <w:color w:val="auto"/>
        </w:rPr>
        <w:t>”); (vii) those certain 6.500% senior unsecured notes due 2036, issued by Weatherford International Ltd. pursuant to the applicable Prepetition Notes Indenture, in an aggregate principal amount outstanding of $453,045,000 (the “</w:t>
      </w:r>
      <w:r>
        <w:rPr>
          <w:rFonts w:ascii="Arial" w:cs="Arial" w:eastAsia="Arial" w:hAnsi="Arial"/>
          <w:sz w:val="12"/>
          <w:szCs w:val="12"/>
          <w:i w:val="1"/>
          <w:iCs w:val="1"/>
          <w:u w:val="single" w:color="auto"/>
          <w:color w:val="auto"/>
        </w:rPr>
        <w:t>6.500% Notes</w:t>
      </w:r>
      <w:r>
        <w:rPr>
          <w:rFonts w:ascii="Arial" w:cs="Arial" w:eastAsia="Arial" w:hAnsi="Arial"/>
          <w:sz w:val="12"/>
          <w:szCs w:val="12"/>
          <w:color w:val="auto"/>
        </w:rPr>
        <w:t>”); (viii) those certain 7.000% senior unsecured notes due 2038, issued by Weatherford International Ltd. pursuant to the applicable Prepetition Notes Indenture, in an aggregate principal amount outstanding of $461,300,000 (the “</w:t>
      </w:r>
      <w:r>
        <w:rPr>
          <w:rFonts w:ascii="Arial" w:cs="Arial" w:eastAsia="Arial" w:hAnsi="Arial"/>
          <w:sz w:val="12"/>
          <w:szCs w:val="12"/>
          <w:i w:val="1"/>
          <w:iCs w:val="1"/>
          <w:u w:val="single" w:color="auto"/>
          <w:color w:val="auto"/>
        </w:rPr>
        <w:t>7.000%</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Notes</w:t>
      </w:r>
      <w:r>
        <w:rPr>
          <w:rFonts w:ascii="Arial" w:cs="Arial" w:eastAsia="Arial" w:hAnsi="Arial"/>
          <w:sz w:val="12"/>
          <w:szCs w:val="12"/>
          <w:color w:val="auto"/>
        </w:rPr>
        <w:t>”); (ix) those certain 9.875% senior unsecured notes due 2039, issued by Weatherford International Ltd. pursuant to the applicable Prepetition Notes Indenture, in an aggregate principal amount</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of $250,000,000 (the “</w:t>
      </w:r>
      <w:r>
        <w:rPr>
          <w:rFonts w:ascii="Arial" w:cs="Arial" w:eastAsia="Arial" w:hAnsi="Arial"/>
          <w:sz w:val="12"/>
          <w:szCs w:val="12"/>
          <w:i w:val="1"/>
          <w:iCs w:val="1"/>
          <w:u w:val="single" w:color="auto"/>
          <w:color w:val="auto"/>
        </w:rPr>
        <w:t>9.875% 2039 Notes</w:t>
      </w:r>
      <w:r>
        <w:rPr>
          <w:rFonts w:ascii="Arial" w:cs="Arial" w:eastAsia="Arial" w:hAnsi="Arial"/>
          <w:sz w:val="12"/>
          <w:szCs w:val="12"/>
          <w:color w:val="auto"/>
        </w:rPr>
        <w:t>”); (x) those certain 6.750% senior unsecured notes due 2040, issued by Weatherford International Ltd. pursuant to the applicable Prepetition Notes Indenture, in an aggregate principal amount outstanding of $462,601,000 (the “</w:t>
      </w:r>
      <w:r>
        <w:rPr>
          <w:rFonts w:ascii="Arial" w:cs="Arial" w:eastAsia="Arial" w:hAnsi="Arial"/>
          <w:sz w:val="12"/>
          <w:szCs w:val="12"/>
          <w:i w:val="1"/>
          <w:iCs w:val="1"/>
          <w:u w:val="single" w:color="auto"/>
          <w:color w:val="auto"/>
        </w:rPr>
        <w:t>6.750% Notes</w:t>
      </w:r>
      <w:r>
        <w:rPr>
          <w:rFonts w:ascii="Arial" w:cs="Arial" w:eastAsia="Arial" w:hAnsi="Arial"/>
          <w:sz w:val="12"/>
          <w:szCs w:val="12"/>
          <w:color w:val="auto"/>
        </w:rPr>
        <w:t>”); (xi) those certain 5.950% senior unsecured notes due 2042, issued by Weatherford International Ltd. pursuant to the applicable Prepetition Notes Indenture, in an aggregate principal amount outstanding of $374,961,000 (the “</w:t>
      </w:r>
      <w:r>
        <w:rPr>
          <w:rFonts w:ascii="Arial" w:cs="Arial" w:eastAsia="Arial" w:hAnsi="Arial"/>
          <w:sz w:val="12"/>
          <w:szCs w:val="12"/>
          <w:i w:val="1"/>
          <w:iCs w:val="1"/>
          <w:u w:val="single" w:color="auto"/>
          <w:color w:val="auto"/>
        </w:rPr>
        <w:t>5.950% Notes</w:t>
      </w:r>
      <w:r>
        <w:rPr>
          <w:rFonts w:ascii="Arial" w:cs="Arial" w:eastAsia="Arial" w:hAnsi="Arial"/>
          <w:sz w:val="12"/>
          <w:szCs w:val="12"/>
          <w:color w:val="auto"/>
        </w:rPr>
        <w:t>”); (xii) those certain 9.875% senior unsecured notes due 2025, issued by Weatherford International LLC pursuant to the applicable Prepetition Notes Indenture, in an aggregate principal amount outstanding of $600,000,000 (the “</w:t>
      </w:r>
      <w:r>
        <w:rPr>
          <w:rFonts w:ascii="Arial" w:cs="Arial" w:eastAsia="Arial" w:hAnsi="Arial"/>
          <w:sz w:val="12"/>
          <w:szCs w:val="12"/>
          <w:i w:val="1"/>
          <w:iCs w:val="1"/>
          <w:u w:val="single" w:color="auto"/>
          <w:color w:val="auto"/>
        </w:rPr>
        <w:t>9.875% 2025 Notes</w:t>
      </w:r>
      <w:r>
        <w:rPr>
          <w:rFonts w:ascii="Arial" w:cs="Arial" w:eastAsia="Arial" w:hAnsi="Arial"/>
          <w:sz w:val="12"/>
          <w:szCs w:val="12"/>
          <w:color w:val="auto"/>
        </w:rPr>
        <w:t>”); and (xiii) those certain</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6.800% senior unsecured notes due 2037, issued by Weatherford International LLC pursuant to the applicable Prepetition Notes Indenture, in an aggregate principal amount outstanding of $258,767,000 (the “</w:t>
      </w:r>
      <w:r>
        <w:rPr>
          <w:rFonts w:ascii="Arial" w:cs="Arial" w:eastAsia="Arial" w:hAnsi="Arial"/>
          <w:sz w:val="14"/>
          <w:szCs w:val="14"/>
          <w:i w:val="1"/>
          <w:iCs w:val="1"/>
          <w:u w:val="single" w:color="auto"/>
          <w:color w:val="auto"/>
        </w:rPr>
        <w:t>6.800% Notes</w:t>
      </w:r>
      <w:r>
        <w:rPr>
          <w:rFonts w:ascii="Arial" w:cs="Arial" w:eastAsia="Arial" w:hAnsi="Arial"/>
          <w:sz w:val="14"/>
          <w:szCs w:val="14"/>
          <w:color w:val="auto"/>
        </w:rPr>
        <w:t>”).</w:t>
      </w:r>
    </w:p>
    <w:p>
      <w:pPr>
        <w:spacing w:after="0" w:line="148"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Notes Claims</w:t>
      </w:r>
      <w:r>
        <w:rPr>
          <w:rFonts w:ascii="Arial" w:cs="Arial" w:eastAsia="Arial" w:hAnsi="Arial"/>
          <w:sz w:val="14"/>
          <w:szCs w:val="14"/>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38" w:lineRule="exact"/>
        <w:rPr>
          <w:sz w:val="20"/>
          <w:szCs w:val="20"/>
          <w:color w:val="auto"/>
        </w:rPr>
      </w:pPr>
    </w:p>
    <w:p>
      <w:pPr>
        <w:ind w:right="80" w:firstLine="49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Prepetition Notes Indentures</w:t>
      </w:r>
      <w:r>
        <w:rPr>
          <w:rFonts w:ascii="Arial" w:cs="Arial" w:eastAsia="Arial" w:hAnsi="Arial"/>
          <w:sz w:val="13"/>
          <w:szCs w:val="13"/>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 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 the 6.800% Notes, and with respect to each such Indenture, as amended, restated, modified, supplemented, or replaced from time to time prior to the Petition Date.</w:t>
      </w:r>
    </w:p>
    <w:p>
      <w:pPr>
        <w:spacing w:after="0" w:line="136"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Notes Indenture Trustee</w:t>
      </w:r>
      <w:r>
        <w:rPr>
          <w:rFonts w:ascii="Arial" w:cs="Arial" w:eastAsia="Arial" w:hAnsi="Arial"/>
          <w:sz w:val="14"/>
          <w:szCs w:val="14"/>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93" w:name="page194"/>
    <w:bookmarkEnd w:id="193"/>
    <w:p>
      <w:pPr>
        <w:jc w:val="both"/>
        <w:ind w:right="16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Notes Indenture Trustee Charging Lien</w:t>
      </w:r>
      <w:r>
        <w:rPr>
          <w:rFonts w:ascii="Arial" w:cs="Arial" w:eastAsia="Arial" w:hAnsi="Arial"/>
          <w:sz w:val="14"/>
          <w:szCs w:val="14"/>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45" w:lineRule="exact"/>
        <w:rPr>
          <w:sz w:val="20"/>
          <w:szCs w:val="20"/>
          <w:color w:val="auto"/>
        </w:rPr>
      </w:pPr>
    </w:p>
    <w:p>
      <w:pPr>
        <w:ind w:firstLine="49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Prepetition Notes Indenture Trustee Fees and Expenses</w:t>
      </w:r>
      <w:r>
        <w:rPr>
          <w:rFonts w:ascii="Arial" w:cs="Arial" w:eastAsia="Arial" w:hAnsi="Arial"/>
          <w:sz w:val="13"/>
          <w:szCs w:val="13"/>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any foreign insolvency proceeding.</w:t>
      </w:r>
    </w:p>
    <w:p>
      <w:pPr>
        <w:spacing w:after="0" w:line="132" w:lineRule="exact"/>
        <w:rPr>
          <w:sz w:val="20"/>
          <w:szCs w:val="20"/>
          <w:color w:val="auto"/>
        </w:rPr>
      </w:pPr>
    </w:p>
    <w:p>
      <w:pPr>
        <w:ind w:right="8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Revolving Credit Agreement</w:t>
      </w:r>
      <w:r>
        <w:rPr>
          <w:rFonts w:ascii="Arial" w:cs="Arial" w:eastAsia="Arial" w:hAnsi="Arial"/>
          <w:sz w:val="14"/>
          <w:szCs w:val="14"/>
          <w:color w:val="auto"/>
        </w:rPr>
        <w:t>” means that certain 364-Day Revolving Credit Agreement, dated as of August 16, 2018, by and among Weatherford International Ltd., the other borrowers party thereto, Weatherford International plc, the Prepetition Revolving Credit Agreement Agent, the Prepetition Revolving Credit Agreement Lenders, and the Prepetition Revolving Credit Agreement Collateral Agent, as amended, supplemented, or modified from time to time prior to the Petition Date.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Revolving Credit Agreement Agent</w:t>
      </w:r>
      <w:r>
        <w:rPr>
          <w:rFonts w:ascii="Arial" w:cs="Arial" w:eastAsia="Arial" w:hAnsi="Arial"/>
          <w:sz w:val="14"/>
          <w:szCs w:val="14"/>
          <w:color w:val="auto"/>
        </w:rPr>
        <w:t>” means JPMorgan Chase Bank, N.A., in its capacity as administrative agent under the Prepetition Revolving Credit Agreement.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Prepetition Revolving Credit Agreement Collateral Agent</w:t>
      </w:r>
      <w:r>
        <w:rPr>
          <w:rFonts w:ascii="Arial" w:cs="Arial" w:eastAsia="Arial" w:hAnsi="Arial"/>
          <w:sz w:val="13"/>
          <w:szCs w:val="13"/>
          <w:color w:val="auto"/>
        </w:rPr>
        <w:t>” means Morgan Stanley Senior Funding, Inc., in its capacity as collateral agent under the Prepetition Revolving Credit Agreement.</w:t>
      </w:r>
    </w:p>
    <w:p>
      <w:pPr>
        <w:spacing w:after="0" w:line="182" w:lineRule="exact"/>
        <w:rPr>
          <w:sz w:val="20"/>
          <w:szCs w:val="20"/>
          <w:color w:val="auto"/>
        </w:rPr>
      </w:pPr>
    </w:p>
    <w:p>
      <w:pPr>
        <w:ind w:right="200" w:firstLine="529"/>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Revolving Credit Claims</w:t>
      </w:r>
      <w:r>
        <w:rPr>
          <w:rFonts w:ascii="Arial" w:cs="Arial" w:eastAsia="Arial" w:hAnsi="Arial"/>
          <w:sz w:val="14"/>
          <w:szCs w:val="14"/>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Revolving Credit Agreement Lenders</w:t>
      </w:r>
      <w:r>
        <w:rPr>
          <w:rFonts w:ascii="Arial" w:cs="Arial" w:eastAsia="Arial" w:hAnsi="Arial"/>
          <w:sz w:val="14"/>
          <w:szCs w:val="14"/>
          <w:color w:val="auto"/>
        </w:rPr>
        <w:t>” means the lenders (including the swingline lender) party to the Prepetition Revolving Credit Agreement from time to time.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Revolving Credit Agreement Liens</w:t>
      </w:r>
      <w:r>
        <w:rPr>
          <w:rFonts w:ascii="Arial" w:cs="Arial" w:eastAsia="Arial" w:hAnsi="Arial"/>
          <w:sz w:val="14"/>
          <w:szCs w:val="14"/>
          <w:color w:val="auto"/>
        </w:rPr>
        <w:t>” means the Liens securing the payment of the Prepetition Revolving Credit Claims.</w:t>
      </w:r>
    </w:p>
    <w:p>
      <w:pPr>
        <w:spacing w:after="0" w:line="171" w:lineRule="exact"/>
        <w:rPr>
          <w:sz w:val="20"/>
          <w:szCs w:val="20"/>
          <w:color w:val="auto"/>
        </w:rPr>
      </w:pPr>
    </w:p>
    <w:p>
      <w:pPr>
        <w:ind w:right="40" w:firstLine="529"/>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Term Loan Agreement</w:t>
      </w:r>
      <w:r>
        <w:rPr>
          <w:rFonts w:ascii="Arial" w:cs="Arial" w:eastAsia="Arial" w:hAnsi="Arial"/>
          <w:sz w:val="14"/>
          <w:szCs w:val="14"/>
          <w:color w:val="auto"/>
        </w:rPr>
        <w:t>” means that certain Term Loan Agreement, dated as of May 4, 2016, by and among Weatherford International Ltd., Weatherford International plc, the Prepetition Term Loan Agent and the Prepetition Term Loan Lenders, as amended, supplemented, or modified from time to time prior to the Petition Date.</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Term Loan Administrative Agent</w:t>
      </w:r>
      <w:r>
        <w:rPr>
          <w:rFonts w:ascii="Arial" w:cs="Arial" w:eastAsia="Arial" w:hAnsi="Arial"/>
          <w:sz w:val="14"/>
          <w:szCs w:val="14"/>
          <w:color w:val="auto"/>
        </w:rPr>
        <w:t>” means JPMorgan Chase Bank, N.A., in its capacity as administrative agent under the Prepetition Term Loan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94" w:name="page195"/>
    <w:bookmarkEnd w:id="194"/>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Term Loan Claims</w:t>
      </w:r>
      <w:r>
        <w:rPr>
          <w:rFonts w:ascii="Arial" w:cs="Arial" w:eastAsia="Arial" w:hAnsi="Arial"/>
          <w:sz w:val="14"/>
          <w:szCs w:val="14"/>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Term Loan Agreement Lenders</w:t>
      </w:r>
      <w:r>
        <w:rPr>
          <w:rFonts w:ascii="Arial" w:cs="Arial" w:eastAsia="Arial" w:hAnsi="Arial"/>
          <w:sz w:val="14"/>
          <w:szCs w:val="14"/>
          <w:color w:val="auto"/>
        </w:rPr>
        <w:t>” means the lenders party to the Prepetition Term Loan Agreement from time to time.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Prepetition Term Loan Agreement Liens</w:t>
      </w:r>
      <w:r>
        <w:rPr>
          <w:rFonts w:ascii="Arial" w:cs="Arial" w:eastAsia="Arial" w:hAnsi="Arial"/>
          <w:sz w:val="14"/>
          <w:szCs w:val="14"/>
          <w:color w:val="auto"/>
        </w:rPr>
        <w:t>” means the Liens securing the payment of the Prepetition Term Loan Claims.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Priority Tax Claim</w:t>
      </w:r>
      <w:r>
        <w:rPr>
          <w:rFonts w:ascii="Arial" w:cs="Arial" w:eastAsia="Arial" w:hAnsi="Arial"/>
          <w:sz w:val="14"/>
          <w:szCs w:val="14"/>
          <w:color w:val="auto"/>
        </w:rPr>
        <w:t>” means any Claim of a Governmental Unit of the kind specified in section 507(a)(8)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Pro Rata</w:t>
      </w:r>
      <w:r>
        <w:rPr>
          <w:rFonts w:ascii="Arial" w:cs="Arial" w:eastAsia="Arial" w:hAnsi="Arial"/>
          <w:sz w:val="12"/>
          <w:szCs w:val="12"/>
          <w:color w:val="auto"/>
        </w:rPr>
        <w:t>” means the proportion that an Allowed Claim or Allowed Equity Interest in a particular class bears to the aggregate amount of Allowed Claims or Allowed Equity Interests in that Class.</w:t>
      </w:r>
    </w:p>
    <w:p>
      <w:pPr>
        <w:spacing w:after="0" w:line="194"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Professional</w:t>
      </w:r>
      <w:r>
        <w:rPr>
          <w:rFonts w:ascii="Arial" w:cs="Arial" w:eastAsia="Arial" w:hAnsi="Arial"/>
          <w:sz w:val="14"/>
          <w:szCs w:val="14"/>
          <w:color w:val="auto"/>
        </w:rPr>
        <w:t>” means any Person or Entity retained by the Debtors or the Committee in the Chapter 11 Cases pursuant to section 327, 328, 363, and/or 1103 of the Bankruptcy Code (other than an ordinary course professional).</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Professional Fee Claim</w:t>
      </w:r>
      <w:r>
        <w:rPr>
          <w:rFonts w:ascii="Arial" w:cs="Arial" w:eastAsia="Arial" w:hAnsi="Arial"/>
          <w:sz w:val="14"/>
          <w:szCs w:val="14"/>
          <w:color w:val="auto"/>
        </w:rPr>
        <w:t>” means a Claim for Accrued Professional Compensation under sections 327, 328, 329, 330, 331, or 503 of the Bankruptcy Code.</w:t>
      </w:r>
    </w:p>
    <w:p>
      <w:pPr>
        <w:spacing w:after="0" w:line="171" w:lineRule="exact"/>
        <w:rPr>
          <w:sz w:val="20"/>
          <w:szCs w:val="20"/>
          <w:color w:val="auto"/>
        </w:rPr>
      </w:pPr>
    </w:p>
    <w:p>
      <w:pPr>
        <w:ind w:right="2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Professional Fee Claim Reserve</w:t>
      </w:r>
      <w:r>
        <w:rPr>
          <w:rFonts w:ascii="Arial" w:cs="Arial" w:eastAsia="Arial" w:hAnsi="Arial"/>
          <w:sz w:val="14"/>
          <w:szCs w:val="14"/>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38"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Provisional Liquidator</w:t>
      </w:r>
      <w:r>
        <w:rPr>
          <w:rFonts w:ascii="Arial" w:cs="Arial" w:eastAsia="Arial" w:hAnsi="Arial"/>
          <w:sz w:val="14"/>
          <w:szCs w:val="14"/>
          <w:color w:val="auto"/>
        </w:rPr>
        <w:t>” means John C. McKenna, as provisional liquidator of Weatherford Bermuda, or any replacement or additional provisional liquidator appointed by the Supreme Court of Bermuda in proceedings 2019: No.270.</w:t>
      </w:r>
    </w:p>
    <w:p>
      <w:pPr>
        <w:spacing w:after="0" w:line="138" w:lineRule="exact"/>
        <w:rPr>
          <w:sz w:val="20"/>
          <w:szCs w:val="20"/>
          <w:color w:val="auto"/>
        </w:rPr>
      </w:pPr>
    </w:p>
    <w:p>
      <w:pPr>
        <w:ind w:right="20" w:firstLine="529"/>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Related Persons</w:t>
      </w:r>
      <w:r>
        <w:rPr>
          <w:rFonts w:ascii="Arial" w:cs="Arial" w:eastAsia="Arial" w:hAnsi="Arial"/>
          <w:sz w:val="12"/>
          <w:szCs w:val="12"/>
          <w:color w:val="auto"/>
        </w:rPr>
        <w:t xml:space="preserve">” means, with respect to any Person, such Person’s predecessors, successors, assigns and present and former Affiliates (whether by operation of law or otherwise) and subsidiaries, and each of their respective current and former officers, directors, principals, employees, shareholders, members (including </w:t>
      </w:r>
      <w:r>
        <w:rPr>
          <w:rFonts w:ascii="Arial" w:cs="Arial" w:eastAsia="Arial" w:hAnsi="Arial"/>
          <w:sz w:val="12"/>
          <w:szCs w:val="12"/>
          <w:i w:val="1"/>
          <w:iCs w:val="1"/>
          <w:color w:val="auto"/>
        </w:rPr>
        <w:t>ex officio</w:t>
      </w:r>
      <w:r>
        <w:rPr>
          <w:rFonts w:ascii="Arial" w:cs="Arial" w:eastAsia="Arial" w:hAnsi="Arial"/>
          <w:sz w:val="12"/>
          <w:szCs w:val="12"/>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that no insurer of any Debtor will constitute a Related Person.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Release</w:t>
      </w:r>
      <w:r>
        <w:rPr>
          <w:rFonts w:ascii="Arial" w:cs="Arial" w:eastAsia="Arial" w:hAnsi="Arial"/>
          <w:sz w:val="14"/>
          <w:szCs w:val="14"/>
          <w:color w:val="auto"/>
        </w:rPr>
        <w:t xml:space="preserve">” means the release given by the Releasing Parties to the Released Parties as set forth in </w:t>
      </w:r>
      <w:r>
        <w:rPr>
          <w:rFonts w:ascii="Arial" w:cs="Arial" w:eastAsia="Arial" w:hAnsi="Arial"/>
          <w:sz w:val="14"/>
          <w:szCs w:val="14"/>
          <w:u w:val="single" w:color="auto"/>
          <w:color w:val="auto"/>
        </w:rPr>
        <w:t>Article X.B</w:t>
      </w:r>
      <w:r>
        <w:rPr>
          <w:rFonts w:ascii="Arial" w:cs="Arial" w:eastAsia="Arial" w:hAnsi="Arial"/>
          <w:sz w:val="14"/>
          <w:szCs w:val="14"/>
          <w:color w:val="auto"/>
        </w:rPr>
        <w:t xml:space="preserve"> hereof.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95" w:name="page196"/>
    <w:bookmarkEnd w:id="195"/>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Released Parties</w:t>
      </w:r>
      <w:r>
        <w:rPr>
          <w:rFonts w:ascii="Arial" w:cs="Arial" w:eastAsia="Arial" w:hAnsi="Arial"/>
          <w:sz w:val="12"/>
          <w:szCs w:val="12"/>
          <w:color w:val="auto"/>
        </w:rPr>
        <w:t>” means, collectively: (a) the Debtors; (b) the Reorganized Debtors; (c) the Prepetition Agents; (d) the Prepetition Lenders; (e) the Exit Senior Unsecured Notes Indenture Trustee;</w:t>
      </w:r>
    </w:p>
    <w:p>
      <w:pPr>
        <w:spacing w:after="0" w:line="37" w:lineRule="exact"/>
        <w:rPr>
          <w:sz w:val="20"/>
          <w:szCs w:val="20"/>
          <w:color w:val="auto"/>
        </w:rPr>
      </w:pPr>
    </w:p>
    <w:p>
      <w:pPr>
        <w:ind w:left="180" w:hanging="177"/>
        <w:spacing w:after="0"/>
        <w:tabs>
          <w:tab w:leader="none" w:pos="18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DIP Agent; (g) the DIP Lenders; (h) the Prepetition Notes Indenture Trustee; (i) the Ad Hoc Noteholder Committee and the members thereof in their capacities as such; (j) the Consenting Noteholders;</w:t>
      </w:r>
    </w:p>
    <w:p>
      <w:pPr>
        <w:spacing w:after="0" w:line="27" w:lineRule="exact"/>
        <w:rPr>
          <w:rFonts w:ascii="Arial" w:cs="Arial" w:eastAsia="Arial" w:hAnsi="Arial"/>
          <w:sz w:val="12"/>
          <w:szCs w:val="12"/>
          <w:color w:val="auto"/>
        </w:rPr>
      </w:pPr>
    </w:p>
    <w:p>
      <w:pPr>
        <w:ind w:right="120" w:firstLine="3"/>
        <w:spacing w:after="0" w:line="292" w:lineRule="auto"/>
        <w:tabs>
          <w:tab w:leader="none" w:pos="196"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Releasing Party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X.B</w:t>
      </w:r>
      <w:r>
        <w:rPr>
          <w:rFonts w:ascii="Arial" w:cs="Arial" w:eastAsia="Arial" w:hAnsi="Arial"/>
          <w:sz w:val="14"/>
          <w:szCs w:val="14"/>
          <w:color w:val="auto"/>
        </w:rPr>
        <w:t xml:space="preserve"> hereof.</w:t>
      </w:r>
    </w:p>
    <w:p>
      <w:pPr>
        <w:spacing w:after="0" w:line="171" w:lineRule="exact"/>
        <w:rPr>
          <w:sz w:val="20"/>
          <w:szCs w:val="20"/>
          <w:color w:val="auto"/>
        </w:rPr>
      </w:pPr>
    </w:p>
    <w:p>
      <w:pPr>
        <w:jc w:val="both"/>
        <w:ind w:right="18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Reorganization Steps Overview</w:t>
      </w:r>
      <w:r>
        <w:rPr>
          <w:rFonts w:ascii="Arial" w:cs="Arial" w:eastAsia="Arial" w:hAnsi="Arial"/>
          <w:sz w:val="14"/>
          <w:szCs w:val="14"/>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DIP Required Lenders.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Reorganized Debtors</w:t>
      </w:r>
      <w:r>
        <w:rPr>
          <w:rFonts w:ascii="Arial" w:cs="Arial" w:eastAsia="Arial" w:hAnsi="Arial"/>
          <w:sz w:val="13"/>
          <w:szCs w:val="13"/>
          <w:color w:val="auto"/>
        </w:rPr>
        <w:t>” means, subject to the Restructuring Transactions, the Debtors as reorganized pursuant to this Plan on or after the Effective Date, and their respective successors.</w:t>
      </w:r>
    </w:p>
    <w:p>
      <w:pPr>
        <w:spacing w:after="0" w:line="182"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Reorganized Parent</w:t>
      </w:r>
      <w:r>
        <w:rPr>
          <w:rFonts w:ascii="Arial" w:cs="Arial" w:eastAsia="Arial" w:hAnsi="Arial"/>
          <w:sz w:val="14"/>
          <w:szCs w:val="14"/>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38"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Reorganized Weatherford Bermuda</w:t>
      </w:r>
      <w:r>
        <w:rPr>
          <w:rFonts w:ascii="Arial" w:cs="Arial" w:eastAsia="Arial" w:hAnsi="Arial"/>
          <w:sz w:val="14"/>
          <w:szCs w:val="14"/>
          <w:color w:val="auto"/>
        </w:rPr>
        <w:t>” means, subject to the Restructuring Transactions, Weatherford International Ltd., a Bermuda exempted company, as reorganized pursuant to this Plan on the Effective Date, and its successors.</w:t>
      </w:r>
    </w:p>
    <w:p>
      <w:pPr>
        <w:spacing w:after="0" w:line="138"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Reorganized Weatherford Delaware</w:t>
      </w:r>
      <w:r>
        <w:rPr>
          <w:rFonts w:ascii="Arial" w:cs="Arial" w:eastAsia="Arial" w:hAnsi="Arial"/>
          <w:sz w:val="14"/>
          <w:szCs w:val="14"/>
          <w:color w:val="auto"/>
        </w:rPr>
        <w:t>” means, subject to the Restructuring Transactions, Weatherford International, LLC, a Delaware limited liability company, as reorganized pursuant to this Plan on the Effective Date, and its successors.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Required Consenting Noteholders</w:t>
      </w:r>
      <w:r>
        <w:rPr>
          <w:rFonts w:ascii="Arial" w:cs="Arial" w:eastAsia="Arial" w:hAnsi="Arial"/>
          <w:sz w:val="14"/>
          <w:szCs w:val="14"/>
          <w:color w:val="auto"/>
        </w:rPr>
        <w:t>” means the “Required Consenting Noteholders” under, and as defined in, the Restructuring Support Agreement.</w:t>
      </w:r>
    </w:p>
    <w:p>
      <w:pPr>
        <w:spacing w:after="0" w:line="171" w:lineRule="exact"/>
        <w:rPr>
          <w:sz w:val="20"/>
          <w:szCs w:val="20"/>
          <w:color w:val="auto"/>
        </w:rPr>
      </w:pPr>
    </w:p>
    <w:p>
      <w:pPr>
        <w:ind w:right="20" w:firstLine="49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Restructuring Documents</w:t>
      </w:r>
      <w:r>
        <w:rPr>
          <w:rFonts w:ascii="Arial" w:cs="Arial" w:eastAsia="Arial" w:hAnsi="Arial"/>
          <w:sz w:val="13"/>
          <w:szCs w:val="13"/>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Exit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DIP Required Lenders.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96" w:name="page197"/>
    <w:bookmarkEnd w:id="196"/>
    <w:p>
      <w:pPr>
        <w:ind w:right="4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Restructuring Support Agreement</w:t>
      </w:r>
      <w:r>
        <w:rPr>
          <w:rFonts w:ascii="Arial" w:cs="Arial" w:eastAsia="Arial" w:hAnsi="Arial"/>
          <w:sz w:val="14"/>
          <w:szCs w:val="14"/>
          <w:color w:val="auto"/>
        </w:rPr>
        <w:t>” means that certain Restructuring Support Agreement, dated as of May 10, 2019, by and among the Debtors and the Consenting Noteholders (as amended, supplemented or modified from time to time).</w:t>
      </w:r>
    </w:p>
    <w:p>
      <w:pPr>
        <w:spacing w:after="0" w:line="138"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Restructuring Term Sheet</w:t>
      </w:r>
      <w:r>
        <w:rPr>
          <w:rFonts w:ascii="Arial" w:cs="Arial" w:eastAsia="Arial" w:hAnsi="Arial"/>
          <w:sz w:val="14"/>
          <w:szCs w:val="14"/>
          <w:color w:val="auto"/>
        </w:rPr>
        <w:t>” means the term sheet attached as Exhibit A to the Restructuring Support Agreement, a copy of which is attached to the Disclosure Statement as Exhibit B (as amended, supplemented, or modified from time to time).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Restructuring Transaction</w:t>
      </w:r>
      <w:r>
        <w:rPr>
          <w:rFonts w:ascii="Arial" w:cs="Arial" w:eastAsia="Arial" w:hAnsi="Arial"/>
          <w:sz w:val="14"/>
          <w:szCs w:val="14"/>
          <w:color w:val="auto"/>
        </w:rPr>
        <w:t xml:space="preserve">” has the meaning ascribed thereto in </w:t>
      </w:r>
      <w:r>
        <w:rPr>
          <w:rFonts w:ascii="Arial" w:cs="Arial" w:eastAsia="Arial" w:hAnsi="Arial"/>
          <w:sz w:val="14"/>
          <w:szCs w:val="14"/>
          <w:u w:val="single" w:color="auto"/>
          <w:color w:val="auto"/>
        </w:rPr>
        <w:t>Article V.A</w:t>
      </w:r>
      <w:r>
        <w:rPr>
          <w:rFonts w:ascii="Arial" w:cs="Arial" w:eastAsia="Arial" w:hAnsi="Arial"/>
          <w:sz w:val="14"/>
          <w:szCs w:val="14"/>
          <w:color w:val="auto"/>
        </w:rPr>
        <w:t xml:space="preserve"> of this Plan.</w:t>
      </w:r>
    </w:p>
    <w:p>
      <w:pPr>
        <w:spacing w:after="0" w:line="171" w:lineRule="exact"/>
        <w:rPr>
          <w:sz w:val="20"/>
          <w:szCs w:val="20"/>
          <w:color w:val="auto"/>
        </w:rPr>
      </w:pPr>
    </w:p>
    <w:p>
      <w:pPr>
        <w:ind w:right="16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Rights Offering</w:t>
      </w:r>
      <w:r>
        <w:rPr>
          <w:rFonts w:ascii="Arial" w:cs="Arial" w:eastAsia="Arial" w:hAnsi="Arial"/>
          <w:sz w:val="13"/>
          <w:szCs w:val="13"/>
          <w:color w:val="auto"/>
        </w:rPr>
        <w:t>” means that certain rights offering pursuant to which each holder of Prepetition Notes is entitled to receive Subscription Rights to acquire the Rights Offering Notes on a Pro Rata basis in accordance with the Rights Offering Procedures and which will be backstopped by the Backstop Parties pursuant to the Backstop Commitment Agreement.</w:t>
      </w:r>
    </w:p>
    <w:p>
      <w:pPr>
        <w:spacing w:after="0" w:line="115"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Rights Offering Notes</w:t>
      </w:r>
      <w:r>
        <w:rPr>
          <w:rFonts w:ascii="Arial" w:cs="Arial" w:eastAsia="Arial" w:hAnsi="Arial"/>
          <w:sz w:val="14"/>
          <w:szCs w:val="14"/>
          <w:color w:val="auto"/>
        </w:rPr>
        <w:t xml:space="preserve">” means up to $1,600,000,000 of the Exit Senior Unsecured Notes, which shall be issued for cash pursuant to the Rights Offering and the Backstop Commitment Agreement;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principal amount of the Rights Offering Notes will be reduced dollar for dollar based on the amount of the Exit Facility commitments in excess of $650,000,000 as of the Effective Date, but,</w:t>
      </w:r>
      <w:r>
        <w:rPr>
          <w:rFonts w:ascii="Arial" w:cs="Arial" w:eastAsia="Arial" w:hAnsi="Arial"/>
          <w:sz w:val="14"/>
          <w:szCs w:val="14"/>
          <w:i w:val="1"/>
          <w:iCs w:val="1"/>
          <w:color w:val="auto"/>
        </w:rPr>
        <w:t xml:space="preserve"> </w:t>
      </w:r>
      <w:r>
        <w:rPr>
          <w:rFonts w:ascii="Arial" w:cs="Arial" w:eastAsia="Arial" w:hAnsi="Arial"/>
          <w:sz w:val="14"/>
          <w:szCs w:val="14"/>
          <w:color w:val="auto"/>
        </w:rPr>
        <w:t>in any case, to no less than $1,500,000,000.</w:t>
      </w:r>
    </w:p>
    <w:p>
      <w:pPr>
        <w:spacing w:after="0" w:line="145" w:lineRule="exact"/>
        <w:rPr>
          <w:sz w:val="20"/>
          <w:szCs w:val="20"/>
          <w:color w:val="auto"/>
        </w:rPr>
      </w:pPr>
    </w:p>
    <w:p>
      <w:pPr>
        <w:ind w:right="4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Rights Offering Procedures</w:t>
      </w:r>
      <w:r>
        <w:rPr>
          <w:rFonts w:ascii="Arial" w:cs="Arial" w:eastAsia="Arial" w:hAnsi="Arial"/>
          <w:sz w:val="14"/>
          <w:szCs w:val="14"/>
          <w:color w:val="auto"/>
        </w:rPr>
        <w:t>” means the procedures for the implementation of the Rights Offering as described in the Disclosure Statement, in form and substance acceptable to the Required Consenting Noteholders (as amended, supplemented, or modified from time to time).</w:t>
      </w:r>
    </w:p>
    <w:p>
      <w:pPr>
        <w:spacing w:after="0" w:line="138" w:lineRule="exact"/>
        <w:rPr>
          <w:sz w:val="20"/>
          <w:szCs w:val="20"/>
          <w:color w:val="auto"/>
        </w:rPr>
      </w:pPr>
    </w:p>
    <w:p>
      <w:pPr>
        <w:ind w:right="18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Schedules</w:t>
      </w:r>
      <w:r>
        <w:rPr>
          <w:rFonts w:ascii="Arial" w:cs="Arial" w:eastAsia="Arial" w:hAnsi="Arial"/>
          <w:sz w:val="12"/>
          <w:szCs w:val="12"/>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w:t>
      </w:r>
      <w:r>
        <w:rPr>
          <w:rFonts w:ascii="Arial" w:cs="Arial" w:eastAsia="Arial" w:hAnsi="Arial"/>
          <w:sz w:val="14"/>
          <w:szCs w:val="14"/>
          <w:color w:val="auto"/>
        </w:rPr>
        <w:t>” means the U.S. Securities and Exchange Commission.</w:t>
      </w:r>
    </w:p>
    <w:p>
      <w:pPr>
        <w:spacing w:after="0" w:line="171" w:lineRule="exact"/>
        <w:rPr>
          <w:sz w:val="20"/>
          <w:szCs w:val="20"/>
          <w:color w:val="auto"/>
        </w:rPr>
      </w:pPr>
    </w:p>
    <w:p>
      <w:pPr>
        <w:ind w:right="18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Secured Claim</w:t>
      </w:r>
      <w:r>
        <w:rPr>
          <w:rFonts w:ascii="Arial" w:cs="Arial" w:eastAsia="Arial" w:hAnsi="Arial"/>
          <w:sz w:val="14"/>
          <w:szCs w:val="14"/>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Secured Tax Claim</w:t>
      </w:r>
      <w:r>
        <w:rPr>
          <w:rFonts w:ascii="Arial" w:cs="Arial" w:eastAsia="Arial" w:hAnsi="Arial"/>
          <w:sz w:val="14"/>
          <w:szCs w:val="14"/>
          <w:color w:val="auto"/>
        </w:rPr>
        <w:t>” means any Secured Claim which, absent its secured status, would be entitled to priority in right of payment under section 507(a)(8)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Act</w:t>
      </w:r>
      <w:r>
        <w:rPr>
          <w:rFonts w:ascii="Arial" w:cs="Arial" w:eastAsia="Arial" w:hAnsi="Arial"/>
          <w:sz w:val="14"/>
          <w:szCs w:val="14"/>
          <w:color w:val="auto"/>
        </w:rPr>
        <w:t>” means the Securities Act of 1933, 15 U.S.C. §§ 77c-77aa, as now in effect or hereafter amended, and the rules and regulations promulgated thereunder.</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Stamp or Similar Tax</w:t>
      </w:r>
      <w:r>
        <w:rPr>
          <w:rFonts w:ascii="Arial" w:cs="Arial" w:eastAsia="Arial" w:hAnsi="Arial"/>
          <w:sz w:val="13"/>
          <w:szCs w:val="13"/>
          <w:color w:val="auto"/>
        </w:rPr>
        <w:t>” means any stamp tax, recording tax, conveyance fee, intangible or similar tax, mortgage tax, personal or real property tax, real estate transfer tax, sales tax, use tax,</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97" w:name="page198"/>
    <w:bookmarkEnd w:id="197"/>
    <w:p>
      <w:pPr>
        <w:ind w:right="180"/>
        <w:spacing w:after="0" w:line="268" w:lineRule="auto"/>
        <w:rPr>
          <w:sz w:val="20"/>
          <w:szCs w:val="20"/>
          <w:color w:val="auto"/>
        </w:rPr>
      </w:pPr>
      <w:r>
        <w:rPr>
          <w:rFonts w:ascii="Arial" w:cs="Arial" w:eastAsia="Arial" w:hAnsi="Arial"/>
          <w:sz w:val="14"/>
          <w:szCs w:val="14"/>
          <w:color w:val="auto"/>
        </w:rPr>
        <w:t>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Subscription Rights</w:t>
      </w:r>
      <w:r>
        <w:rPr>
          <w:rFonts w:ascii="Arial" w:cs="Arial" w:eastAsia="Arial" w:hAnsi="Arial"/>
          <w:sz w:val="14"/>
          <w:szCs w:val="14"/>
          <w:color w:val="auto"/>
        </w:rPr>
        <w:t>” means the subscription rights to acquire Rights Offering Notes in accordance with the Rights Offering Procedures.</w:t>
      </w:r>
    </w:p>
    <w:p>
      <w:pPr>
        <w:spacing w:after="0" w:line="171" w:lineRule="exact"/>
        <w:rPr>
          <w:sz w:val="20"/>
          <w:szCs w:val="20"/>
          <w:color w:val="auto"/>
        </w:rPr>
      </w:pPr>
    </w:p>
    <w:p>
      <w:pPr>
        <w:ind w:right="60" w:firstLine="529"/>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Subsequent Distribution</w:t>
      </w:r>
      <w:r>
        <w:rPr>
          <w:rFonts w:ascii="Arial" w:cs="Arial" w:eastAsia="Arial" w:hAnsi="Arial"/>
          <w:sz w:val="14"/>
          <w:szCs w:val="14"/>
          <w:color w:val="auto"/>
        </w:rPr>
        <w:t>” means any distribution of property under this Plan to Holders of Allowed Claims or Allowed Equity Interests other than the initial distribution given to such Holders on the Initial Distribution Date.</w:t>
      </w:r>
    </w:p>
    <w:p>
      <w:pPr>
        <w:spacing w:after="0" w:line="138" w:lineRule="exact"/>
        <w:rPr>
          <w:sz w:val="20"/>
          <w:szCs w:val="20"/>
          <w:color w:val="auto"/>
        </w:rPr>
      </w:pPr>
    </w:p>
    <w:p>
      <w:pPr>
        <w:ind w:right="20" w:firstLine="498"/>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Subsequent Distribution Date</w:t>
      </w:r>
      <w:r>
        <w:rPr>
          <w:rFonts w:ascii="Arial" w:cs="Arial" w:eastAsia="Arial" w:hAnsi="Arial"/>
          <w:sz w:val="14"/>
          <w:szCs w:val="14"/>
          <w:color w:val="auto"/>
        </w:rPr>
        <w:t xml:space="preserve">” means the last Business Day of the month following the end of each calendar quarter after the Effective Date;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if the Effective Date is within thirty (30) days of the end of a calendar quarter, then the first Subsequent Distribution Date will be the last Business Day of the month following the end of the first (1</w:t>
      </w:r>
      <w:r>
        <w:rPr>
          <w:rFonts w:ascii="Arial" w:cs="Arial" w:eastAsia="Arial" w:hAnsi="Arial"/>
          <w:sz w:val="17"/>
          <w:szCs w:val="17"/>
          <w:color w:val="auto"/>
          <w:vertAlign w:val="superscript"/>
        </w:rPr>
        <w:t>st</w:t>
      </w:r>
      <w:r>
        <w:rPr>
          <w:rFonts w:ascii="Arial" w:cs="Arial" w:eastAsia="Arial" w:hAnsi="Arial"/>
          <w:sz w:val="14"/>
          <w:szCs w:val="14"/>
          <w:color w:val="auto"/>
        </w:rPr>
        <w:t>) calendar quarter after the calendar quarter in which the Effective Date falls.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Takeback Notes</w:t>
      </w:r>
      <w:r>
        <w:rPr>
          <w:rFonts w:ascii="Arial" w:cs="Arial" w:eastAsia="Arial" w:hAnsi="Arial"/>
          <w:sz w:val="14"/>
          <w:szCs w:val="14"/>
          <w:color w:val="auto"/>
        </w:rPr>
        <w:t>” means $500,000,000 of Exit Senior Unsecured Notes which shall be issued to Holders of Allowed Prepetition Notes Claims pursuant to the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Third Party Release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X.B</w:t>
      </w:r>
      <w:r>
        <w:rPr>
          <w:rFonts w:ascii="Arial" w:cs="Arial" w:eastAsia="Arial" w:hAnsi="Arial"/>
          <w:sz w:val="14"/>
          <w:szCs w:val="14"/>
          <w:color w:val="auto"/>
        </w:rPr>
        <w:t xml:space="preserve"> hereof.</w:t>
      </w:r>
    </w:p>
    <w:p>
      <w:pPr>
        <w:spacing w:after="0" w:line="171" w:lineRule="exact"/>
        <w:rPr>
          <w:sz w:val="20"/>
          <w:szCs w:val="20"/>
          <w:color w:val="auto"/>
        </w:rPr>
      </w:pPr>
    </w:p>
    <w:p>
      <w:pPr>
        <w:ind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Unexercised Equity Interests</w:t>
      </w:r>
      <w:r>
        <w:rPr>
          <w:rFonts w:ascii="Arial" w:cs="Arial" w:eastAsia="Arial" w:hAnsi="Arial"/>
          <w:sz w:val="12"/>
          <w:szCs w:val="12"/>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Unexpired Lease</w:t>
      </w:r>
      <w:r>
        <w:rPr>
          <w:rFonts w:ascii="Arial" w:cs="Arial" w:eastAsia="Arial" w:hAnsi="Arial"/>
          <w:sz w:val="14"/>
          <w:szCs w:val="14"/>
          <w:color w:val="auto"/>
        </w:rPr>
        <w:t>” means a lease to which any Debtor is a party that is subject to assumption or rejection under section 365 of the Bankruptcy Code.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Unimpaired</w:t>
      </w:r>
      <w:r>
        <w:rPr>
          <w:rFonts w:ascii="Arial" w:cs="Arial" w:eastAsia="Arial" w:hAnsi="Arial"/>
          <w:sz w:val="13"/>
          <w:szCs w:val="13"/>
          <w:color w:val="auto"/>
        </w:rPr>
        <w:t>” means, with respect to a Class of Claims or Equity Interests, a Claim or an Equity Interest that is “unimpaired” within the meaning of section 1124 of the Bankruptcy Code.</w:t>
      </w:r>
    </w:p>
    <w:p>
      <w:pPr>
        <w:spacing w:after="0" w:line="182" w:lineRule="exact"/>
        <w:rPr>
          <w:sz w:val="20"/>
          <w:szCs w:val="20"/>
          <w:color w:val="auto"/>
        </w:rPr>
      </w:pPr>
    </w:p>
    <w:p>
      <w:pPr>
        <w:ind w:right="4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Unused Cash Reserve Amount</w:t>
      </w:r>
      <w:r>
        <w:rPr>
          <w:rFonts w:ascii="Arial" w:cs="Arial" w:eastAsia="Arial" w:hAnsi="Arial"/>
          <w:sz w:val="14"/>
          <w:szCs w:val="14"/>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and Claims Agent</w:t>
      </w:r>
      <w:r>
        <w:rPr>
          <w:rFonts w:ascii="Arial" w:cs="Arial" w:eastAsia="Arial" w:hAnsi="Arial"/>
          <w:sz w:val="14"/>
          <w:szCs w:val="14"/>
          <w:color w:val="auto"/>
        </w:rPr>
        <w:t>” means Prime Clerk LLC, in its capacity as solicitation, notice, claims and balloting agent for the Debtors.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Classes</w:t>
      </w:r>
      <w:r>
        <w:rPr>
          <w:rFonts w:ascii="Arial" w:cs="Arial" w:eastAsia="Arial" w:hAnsi="Arial"/>
          <w:sz w:val="14"/>
          <w:szCs w:val="14"/>
          <w:color w:val="auto"/>
        </w:rPr>
        <w:t>” means Classes 7 and 10.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Deadline</w:t>
      </w:r>
      <w:r>
        <w:rPr>
          <w:rFonts w:ascii="Arial" w:cs="Arial" w:eastAsia="Arial" w:hAnsi="Arial"/>
          <w:sz w:val="14"/>
          <w:szCs w:val="14"/>
          <w:color w:val="auto"/>
        </w:rPr>
        <w:t>” means the date and time by which all Ballots must be received by the Voting and Claims Agent in accordance with the Disclosure Statement.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198" w:name="page199"/>
    <w:bookmarkEnd w:id="198"/>
    <w:p>
      <w:pPr>
        <w:ind w:right="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Record Date</w:t>
      </w:r>
      <w:r>
        <w:rPr>
          <w:rFonts w:ascii="Arial" w:cs="Arial" w:eastAsia="Arial" w:hAnsi="Arial"/>
          <w:sz w:val="14"/>
          <w:szCs w:val="14"/>
          <w:color w:val="auto"/>
        </w:rPr>
        <w:t>” means the date for determining which Holders of Claims and Equity Interests in the Voting Classes are entitled, as applicable, to receive the Disclosure Statement and to vote to accept or reject this Plan.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Weatherford Bermuda</w:t>
      </w:r>
      <w:r>
        <w:rPr>
          <w:rFonts w:ascii="Arial" w:cs="Arial" w:eastAsia="Arial" w:hAnsi="Arial"/>
          <w:sz w:val="14"/>
          <w:szCs w:val="14"/>
          <w:color w:val="auto"/>
        </w:rPr>
        <w:t>” means Weatherford International Ltd, a Bermuda company, as debtor-in-possession in these Chapter 11 Cases.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Weatherford Delaware</w:t>
      </w:r>
      <w:r>
        <w:rPr>
          <w:rFonts w:ascii="Arial" w:cs="Arial" w:eastAsia="Arial" w:hAnsi="Arial"/>
          <w:sz w:val="14"/>
          <w:szCs w:val="14"/>
          <w:color w:val="auto"/>
        </w:rPr>
        <w:t>” means Weatherford International, LLC, a Delaware limited liability company, as debtor-in-possession in these Chapter 11 Cases.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Weatherford Parent</w:t>
      </w:r>
      <w:r>
        <w:rPr>
          <w:rFonts w:ascii="Arial" w:cs="Arial" w:eastAsia="Arial" w:hAnsi="Arial"/>
          <w:sz w:val="14"/>
          <w:szCs w:val="14"/>
          <w:color w:val="auto"/>
        </w:rPr>
        <w:t>” means Weatherford International plc, an Irish public limited company, as debtor-in-possession in these Chapter 11 Cases.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ADMINISTRATIVE, DIP FACILITY, AND PRIORITY TAX CLAIMS</w:t>
      </w:r>
    </w:p>
    <w:p>
      <w:pPr>
        <w:spacing w:after="0" w:line="175" w:lineRule="exact"/>
        <w:rPr>
          <w:sz w:val="20"/>
          <w:szCs w:val="20"/>
          <w:color w:val="auto"/>
        </w:rPr>
      </w:pPr>
    </w:p>
    <w:p>
      <w:pPr>
        <w:ind w:left="500" w:hanging="497"/>
        <w:spacing w:after="0"/>
        <w:tabs>
          <w:tab w:leader="none" w:pos="500" w:val="left"/>
        </w:tabs>
        <w:numPr>
          <w:ilvl w:val="0"/>
          <w:numId w:val="153"/>
        </w:numPr>
        <w:rPr>
          <w:rFonts w:ascii="Arial" w:cs="Arial" w:eastAsia="Arial" w:hAnsi="Arial"/>
          <w:sz w:val="14"/>
          <w:szCs w:val="14"/>
          <w:i w:val="1"/>
          <w:iCs w:val="1"/>
          <w:color w:val="auto"/>
        </w:rPr>
      </w:pPr>
      <w:r>
        <w:rPr>
          <w:rFonts w:ascii="Arial" w:cs="Arial" w:eastAsia="Arial" w:hAnsi="Arial"/>
          <w:sz w:val="14"/>
          <w:szCs w:val="14"/>
          <w:i w:val="1"/>
          <w:iCs w:val="1"/>
          <w:color w:val="auto"/>
        </w:rPr>
        <w:t>Administrative Claims</w:t>
      </w:r>
    </w:p>
    <w:p>
      <w:pPr>
        <w:spacing w:after="0" w:line="171" w:lineRule="exact"/>
        <w:rPr>
          <w:sz w:val="20"/>
          <w:szCs w:val="20"/>
          <w:color w:val="auto"/>
        </w:rPr>
      </w:pPr>
    </w:p>
    <w:p>
      <w:pPr>
        <w:ind w:firstLine="498"/>
        <w:spacing w:after="0" w:line="301"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sub-paragraph 1</w:t>
      </w:r>
      <w:r>
        <w:rPr>
          <w:rFonts w:ascii="Arial" w:cs="Arial" w:eastAsia="Arial" w:hAnsi="Arial"/>
          <w:sz w:val="12"/>
          <w:szCs w:val="12"/>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and in consultation with the Committee) or Reorganized Debtors, as applicable, and the Holder of such Allowed Administrative Claim will have agreed upon in writing;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23" w:lineRule="exact"/>
        <w:rPr>
          <w:sz w:val="20"/>
          <w:szCs w:val="20"/>
          <w:color w:val="auto"/>
        </w:rPr>
      </w:pPr>
    </w:p>
    <w:p>
      <w:pPr>
        <w:ind w:left="740" w:hanging="239"/>
        <w:spacing w:after="0"/>
        <w:tabs>
          <w:tab w:leader="none" w:pos="740"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Professional Fee Claims</w:t>
      </w:r>
    </w:p>
    <w:p>
      <w:pPr>
        <w:spacing w:after="0" w:line="171" w:lineRule="exact"/>
        <w:rPr>
          <w:sz w:val="20"/>
          <w:szCs w:val="20"/>
          <w:color w:val="auto"/>
        </w:rPr>
      </w:pPr>
    </w:p>
    <w:p>
      <w:pPr>
        <w:ind w:right="60" w:firstLine="498"/>
        <w:spacing w:after="0" w:line="280" w:lineRule="auto"/>
        <w:rPr>
          <w:sz w:val="20"/>
          <w:szCs w:val="20"/>
          <w:color w:val="auto"/>
        </w:rPr>
      </w:pPr>
      <w:r>
        <w:rPr>
          <w:rFonts w:ascii="Arial" w:cs="Arial" w:eastAsia="Arial" w:hAnsi="Arial"/>
          <w:sz w:val="13"/>
          <w:szCs w:val="13"/>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forty-five days after the Effective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32" w:lineRule="exact"/>
        <w:rPr>
          <w:sz w:val="20"/>
          <w:szCs w:val="20"/>
          <w:color w:val="auto"/>
        </w:rPr>
      </w:pPr>
    </w:p>
    <w:p>
      <w:pPr>
        <w:ind w:right="320" w:firstLine="498"/>
        <w:spacing w:after="0" w:line="258" w:lineRule="auto"/>
        <w:rPr>
          <w:sz w:val="20"/>
          <w:szCs w:val="20"/>
          <w:color w:val="auto"/>
        </w:rPr>
      </w:pPr>
      <w:r>
        <w:rPr>
          <w:rFonts w:ascii="Arial" w:cs="Arial" w:eastAsia="Arial" w:hAnsi="Arial"/>
          <w:sz w:val="14"/>
          <w:szCs w:val="14"/>
          <w:color w:val="auto"/>
        </w:rPr>
        <w:t>Objections to any Professional Fee Claim must be Filed and served on the Reorganized Debtors, the Committee,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99" w:name="page200"/>
    <w:bookmarkEnd w:id="199"/>
    <w:p>
      <w:pPr>
        <w:ind w:right="60"/>
        <w:spacing w:after="0" w:line="274" w:lineRule="auto"/>
        <w:rPr>
          <w:sz w:val="20"/>
          <w:szCs w:val="20"/>
          <w:color w:val="auto"/>
        </w:rPr>
      </w:pPr>
      <w:r>
        <w:rPr>
          <w:rFonts w:ascii="Arial" w:cs="Arial" w:eastAsia="Arial" w:hAnsi="Arial"/>
          <w:sz w:val="13"/>
          <w:szCs w:val="13"/>
          <w:color w:val="auto"/>
        </w:rPr>
        <w:t xml:space="preserve">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3"/>
          <w:szCs w:val="13"/>
          <w:u w:val="single" w:color="auto"/>
          <w:color w:val="auto"/>
        </w:rPr>
        <w:t>Article II.A</w:t>
      </w:r>
      <w:r>
        <w:rPr>
          <w:rFonts w:ascii="Arial" w:cs="Arial" w:eastAsia="Arial" w:hAnsi="Arial"/>
          <w:sz w:val="13"/>
          <w:szCs w:val="13"/>
          <w:color w:val="auto"/>
        </w:rPr>
        <w:t xml:space="preserve"> of this Plan.</w:t>
      </w:r>
    </w:p>
    <w:p>
      <w:pPr>
        <w:spacing w:after="0" w:line="138" w:lineRule="exact"/>
        <w:rPr>
          <w:sz w:val="20"/>
          <w:szCs w:val="20"/>
          <w:color w:val="auto"/>
        </w:rPr>
      </w:pPr>
    </w:p>
    <w:p>
      <w:pPr>
        <w:ind w:left="500" w:hanging="497"/>
        <w:spacing w:after="0"/>
        <w:tabs>
          <w:tab w:leader="none" w:pos="500" w:val="left"/>
        </w:tabs>
        <w:numPr>
          <w:ilvl w:val="0"/>
          <w:numId w:val="155"/>
        </w:numPr>
        <w:rPr>
          <w:rFonts w:ascii="Arial" w:cs="Arial" w:eastAsia="Arial" w:hAnsi="Arial"/>
          <w:sz w:val="14"/>
          <w:szCs w:val="14"/>
          <w:i w:val="1"/>
          <w:iCs w:val="1"/>
          <w:color w:val="auto"/>
        </w:rPr>
      </w:pPr>
      <w:r>
        <w:rPr>
          <w:rFonts w:ascii="Arial" w:cs="Arial" w:eastAsia="Arial" w:hAnsi="Arial"/>
          <w:sz w:val="14"/>
          <w:szCs w:val="14"/>
          <w:i w:val="1"/>
          <w:iCs w:val="1"/>
          <w:color w:val="auto"/>
        </w:rPr>
        <w:t>DIP Facility Claims</w:t>
      </w:r>
    </w:p>
    <w:p>
      <w:pPr>
        <w:spacing w:after="0" w:line="171"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DIP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52" w:lineRule="exact"/>
        <w:rPr>
          <w:sz w:val="20"/>
          <w:szCs w:val="20"/>
          <w:color w:val="auto"/>
        </w:rPr>
      </w:pPr>
    </w:p>
    <w:p>
      <w:pPr>
        <w:ind w:left="500" w:hanging="497"/>
        <w:spacing w:after="0"/>
        <w:tabs>
          <w:tab w:leader="none" w:pos="500" w:val="left"/>
        </w:tabs>
        <w:numPr>
          <w:ilvl w:val="0"/>
          <w:numId w:val="156"/>
        </w:numPr>
        <w:rPr>
          <w:rFonts w:ascii="Arial" w:cs="Arial" w:eastAsia="Arial" w:hAnsi="Arial"/>
          <w:sz w:val="14"/>
          <w:szCs w:val="14"/>
          <w:i w:val="1"/>
          <w:iCs w:val="1"/>
          <w:color w:val="auto"/>
        </w:rPr>
      </w:pPr>
      <w:r>
        <w:rPr>
          <w:rFonts w:ascii="Arial" w:cs="Arial" w:eastAsia="Arial" w:hAnsi="Arial"/>
          <w:sz w:val="14"/>
          <w:szCs w:val="14"/>
          <w:i w:val="1"/>
          <w:iCs w:val="1"/>
          <w:color w:val="auto"/>
        </w:rPr>
        <w:t>Priority Tax Claims</w:t>
      </w:r>
    </w:p>
    <w:p>
      <w:pPr>
        <w:spacing w:after="0" w:line="171" w:lineRule="exact"/>
        <w:rPr>
          <w:sz w:val="20"/>
          <w:szCs w:val="20"/>
          <w:color w:val="auto"/>
        </w:rPr>
      </w:pPr>
    </w:p>
    <w:p>
      <w:pPr>
        <w:ind w:right="40" w:firstLine="498"/>
        <w:spacing w:after="0" w:line="250" w:lineRule="auto"/>
        <w:rPr>
          <w:sz w:val="20"/>
          <w:szCs w:val="20"/>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00" w:name="page201"/>
    <w:bookmarkEnd w:id="200"/>
    <w:p>
      <w:pPr>
        <w:ind w:right="320"/>
        <w:spacing w:after="0" w:line="254" w:lineRule="auto"/>
        <w:rPr>
          <w:sz w:val="20"/>
          <w:szCs w:val="20"/>
          <w:color w:val="auto"/>
        </w:rPr>
      </w:pPr>
      <w:r>
        <w:rPr>
          <w:rFonts w:ascii="Arial" w:cs="Arial" w:eastAsia="Arial" w:hAnsi="Arial"/>
          <w:sz w:val="14"/>
          <w:szCs w:val="14"/>
          <w:color w:val="auto"/>
        </w:rPr>
        <w:t xml:space="preserve">of the Bankruptcy Code;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III.</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CLASSIFICATION AND TREATMENT</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OF CLASSIFIED CLAIMS AND EQUITY INTERESTS</w:t>
      </w:r>
    </w:p>
    <w:p>
      <w:pPr>
        <w:spacing w:after="0" w:line="162" w:lineRule="exact"/>
        <w:rPr>
          <w:sz w:val="20"/>
          <w:szCs w:val="20"/>
          <w:color w:val="auto"/>
        </w:rPr>
      </w:pPr>
    </w:p>
    <w:p>
      <w:pPr>
        <w:ind w:left="500" w:hanging="497"/>
        <w:spacing w:after="0"/>
        <w:tabs>
          <w:tab w:leader="none" w:pos="500" w:val="left"/>
        </w:tabs>
        <w:numPr>
          <w:ilvl w:val="0"/>
          <w:numId w:val="157"/>
        </w:numPr>
        <w:rPr>
          <w:rFonts w:ascii="Arial" w:cs="Arial" w:eastAsia="Arial" w:hAnsi="Arial"/>
          <w:sz w:val="14"/>
          <w:szCs w:val="14"/>
          <w:i w:val="1"/>
          <w:iCs w:val="1"/>
          <w:color w:val="auto"/>
        </w:rPr>
      </w:pPr>
      <w:r>
        <w:rPr>
          <w:rFonts w:ascii="Arial" w:cs="Arial" w:eastAsia="Arial" w:hAnsi="Arial"/>
          <w:sz w:val="14"/>
          <w:szCs w:val="14"/>
          <w:i w:val="1"/>
          <w:iCs w:val="1"/>
          <w:color w:val="auto"/>
        </w:rPr>
        <w:t>Summary</w:t>
      </w:r>
    </w:p>
    <w:p>
      <w:pPr>
        <w:spacing w:after="0" w:line="171"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4"/>
          <w:szCs w:val="14"/>
          <w:i w:val="1"/>
          <w:iCs w:val="1"/>
          <w:color w:val="auto"/>
        </w:rPr>
        <w:t>i.e.</w:t>
      </w:r>
      <w:r>
        <w:rPr>
          <w:rFonts w:ascii="Arial" w:cs="Arial" w:eastAsia="Arial" w:hAnsi="Arial"/>
          <w:sz w:val="14"/>
          <w:szCs w:val="14"/>
          <w:color w:val="auto"/>
        </w:rPr>
        <w:t xml:space="preserve">, there will be twelve (12) Classes for each Debtor);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Class that is vacant as to a particular Debtor will be treated in accordance with </w:t>
      </w:r>
      <w:r>
        <w:rPr>
          <w:rFonts w:ascii="Arial" w:cs="Arial" w:eastAsia="Arial" w:hAnsi="Arial"/>
          <w:sz w:val="14"/>
          <w:szCs w:val="14"/>
          <w:u w:val="single" w:color="auto"/>
          <w:color w:val="auto"/>
        </w:rPr>
        <w:t>Article III.</w:t>
      </w:r>
      <w:r>
        <w:rPr>
          <w:rFonts w:ascii="Arial" w:cs="Arial" w:eastAsia="Arial" w:hAnsi="Arial"/>
          <w:sz w:val="14"/>
          <w:szCs w:val="14"/>
          <w:color w:val="auto"/>
        </w:rPr>
        <w:t>D below.</w:t>
      </w:r>
    </w:p>
    <w:p>
      <w:pPr>
        <w:spacing w:after="0" w:line="145"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4"/>
          <w:szCs w:val="14"/>
          <w:u w:val="single" w:color="auto"/>
          <w:color w:val="auto"/>
        </w:rPr>
        <w:t>Summary of Classification and Treatment of Classified Claims and Equity Interests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80" w:type="dxa"/>
            <w:vAlign w:val="bottom"/>
            <w:gridSpan w:val="2"/>
          </w:tcPr>
          <w:p>
            <w:pPr>
              <w:jc w:val="right"/>
              <w:ind w:right="451"/>
              <w:spacing w:after="0"/>
              <w:rPr>
                <w:sz w:val="20"/>
                <w:szCs w:val="20"/>
                <w:color w:val="auto"/>
              </w:rPr>
            </w:pPr>
            <w:r>
              <w:rPr>
                <w:rFonts w:ascii="Arial" w:cs="Arial" w:eastAsia="Arial" w:hAnsi="Arial"/>
                <w:sz w:val="11"/>
                <w:szCs w:val="11"/>
                <w:b w:val="1"/>
                <w:bCs w:val="1"/>
                <w:color w:val="auto"/>
              </w:rPr>
              <w:t>Class</w:t>
            </w:r>
          </w:p>
        </w:tc>
        <w:tc>
          <w:tcPr>
            <w:tcW w:w="300" w:type="dxa"/>
            <w:vAlign w:val="bottom"/>
          </w:tcPr>
          <w:p>
            <w:pPr>
              <w:spacing w:after="0"/>
              <w:rPr>
                <w:sz w:val="11"/>
                <w:szCs w:val="11"/>
                <w:color w:val="auto"/>
              </w:rPr>
            </w:pPr>
          </w:p>
        </w:tc>
        <w:tc>
          <w:tcPr>
            <w:tcW w:w="4080" w:type="dxa"/>
            <w:vAlign w:val="bottom"/>
            <w:gridSpan w:val="2"/>
          </w:tcPr>
          <w:p>
            <w:pPr>
              <w:ind w:left="1380"/>
              <w:spacing w:after="0"/>
              <w:rPr>
                <w:sz w:val="20"/>
                <w:szCs w:val="20"/>
                <w:color w:val="auto"/>
              </w:rPr>
            </w:pPr>
            <w:r>
              <w:rPr>
                <w:rFonts w:ascii="Arial" w:cs="Arial" w:eastAsia="Arial" w:hAnsi="Arial"/>
                <w:sz w:val="11"/>
                <w:szCs w:val="11"/>
                <w:b w:val="1"/>
                <w:bCs w:val="1"/>
                <w:color w:val="auto"/>
              </w:rPr>
              <w:t>Claim/Equity Interest</w:t>
            </w:r>
          </w:p>
        </w:tc>
        <w:tc>
          <w:tcPr>
            <w:tcW w:w="25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Status</w:t>
            </w:r>
          </w:p>
        </w:tc>
        <w:tc>
          <w:tcPr>
            <w:tcW w:w="2260" w:type="dxa"/>
            <w:vAlign w:val="bottom"/>
          </w:tcPr>
          <w:p>
            <w:pPr>
              <w:jc w:val="center"/>
              <w:spacing w:after="0"/>
              <w:rPr>
                <w:sz w:val="20"/>
                <w:szCs w:val="20"/>
                <w:color w:val="auto"/>
              </w:rPr>
            </w:pPr>
            <w:r>
              <w:rPr>
                <w:rFonts w:ascii="Arial" w:cs="Arial" w:eastAsia="Arial" w:hAnsi="Arial"/>
                <w:sz w:val="11"/>
                <w:szCs w:val="11"/>
                <w:b w:val="1"/>
                <w:bCs w:val="1"/>
                <w:color w:val="auto"/>
                <w:w w:val="89"/>
              </w:rPr>
              <w:t>Voting Rights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0" w:type="dxa"/>
            <w:vAlign w:val="bottom"/>
            <w:vMerge w:val="restart"/>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0" w:type="dxa"/>
            <w:vAlign w:val="bottom"/>
            <w:vMerge w:val="continue"/>
          </w:tcPr>
          <w:p>
            <w:pPr>
              <w:spacing w:after="0"/>
              <w:rPr>
                <w:sz w:val="14"/>
                <w:szCs w:val="14"/>
                <w:color w:val="auto"/>
              </w:rPr>
            </w:pPr>
          </w:p>
        </w:tc>
        <w:tc>
          <w:tcPr>
            <w:tcW w:w="7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1.</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 Priority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continue"/>
          </w:tcPr>
          <w:p>
            <w:pPr>
              <w:spacing w:after="0"/>
              <w:rPr>
                <w:sz w:val="14"/>
                <w:szCs w:val="14"/>
                <w:color w:val="auto"/>
              </w:rPr>
            </w:pPr>
          </w:p>
        </w:tc>
        <w:tc>
          <w:tcPr>
            <w:tcW w:w="7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2.</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 Secured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continue"/>
          </w:tcPr>
          <w:p>
            <w:pPr>
              <w:spacing w:after="0"/>
              <w:rPr>
                <w:sz w:val="14"/>
                <w:szCs w:val="14"/>
                <w:color w:val="auto"/>
              </w:rPr>
            </w:pPr>
          </w:p>
        </w:tc>
        <w:tc>
          <w:tcPr>
            <w:tcW w:w="7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3.</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Secured Tax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continue"/>
          </w:tcPr>
          <w:p>
            <w:pPr>
              <w:spacing w:after="0"/>
              <w:rPr>
                <w:sz w:val="14"/>
                <w:szCs w:val="14"/>
                <w:color w:val="auto"/>
              </w:rPr>
            </w:pPr>
          </w:p>
        </w:tc>
        <w:tc>
          <w:tcPr>
            <w:tcW w:w="7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4.</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Prepetition Revolving Credit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continue"/>
          </w:tcPr>
          <w:p>
            <w:pPr>
              <w:spacing w:after="0"/>
              <w:rPr>
                <w:sz w:val="14"/>
                <w:szCs w:val="14"/>
                <w:color w:val="auto"/>
              </w:rPr>
            </w:pPr>
          </w:p>
        </w:tc>
        <w:tc>
          <w:tcPr>
            <w:tcW w:w="7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5.</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Prepetition Term Loan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jc w:val="right"/>
              <w:ind w:right="2053"/>
              <w:spacing w:after="0"/>
              <w:rPr>
                <w:sz w:val="20"/>
                <w:szCs w:val="20"/>
                <w:color w:val="auto"/>
              </w:rPr>
            </w:pPr>
            <w:r>
              <w:rPr>
                <w:rFonts w:ascii="Arial" w:cs="Arial" w:eastAsia="Arial" w:hAnsi="Arial"/>
                <w:sz w:val="14"/>
                <w:szCs w:val="14"/>
                <w:color w:val="auto"/>
                <w:w w:val="76"/>
              </w:rPr>
              <w:t>22</w:t>
            </w: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201" w:name="page202"/>
    <w:bookmarkEnd w:id="201"/>
    <w:tbl>
      <w:tblPr>
        <w:tblLayout w:type="fixed"/>
        <w:tblInd w:w="500" w:type="dxa"/>
        <w:tblCellMar>
          <w:top w:w="0" w:type="dxa"/>
          <w:left w:w="0" w:type="dxa"/>
          <w:bottom w:w="0" w:type="dxa"/>
          <w:right w:w="0" w:type="dxa"/>
        </w:tblCellMar>
      </w:tblPr>
      <w:tr>
        <w:trPr>
          <w:trHeight w:val="131"/>
        </w:trPr>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Class</w:t>
            </w:r>
          </w:p>
        </w:tc>
        <w:tc>
          <w:tcPr>
            <w:tcW w:w="300" w:type="dxa"/>
            <w:vAlign w:val="bottom"/>
          </w:tcPr>
          <w:p>
            <w:pPr>
              <w:spacing w:after="0"/>
              <w:rPr>
                <w:sz w:val="11"/>
                <w:szCs w:val="11"/>
                <w:color w:val="auto"/>
              </w:rPr>
            </w:pPr>
          </w:p>
        </w:tc>
        <w:tc>
          <w:tcPr>
            <w:tcW w:w="4080" w:type="dxa"/>
            <w:vAlign w:val="bottom"/>
            <w:gridSpan w:val="2"/>
          </w:tcPr>
          <w:p>
            <w:pPr>
              <w:ind w:left="1380"/>
              <w:spacing w:after="0"/>
              <w:rPr>
                <w:sz w:val="20"/>
                <w:szCs w:val="20"/>
                <w:color w:val="auto"/>
              </w:rPr>
            </w:pPr>
            <w:r>
              <w:rPr>
                <w:rFonts w:ascii="Arial" w:cs="Arial" w:eastAsia="Arial" w:hAnsi="Arial"/>
                <w:sz w:val="11"/>
                <w:szCs w:val="11"/>
                <w:b w:val="1"/>
                <w:bCs w:val="1"/>
                <w:color w:val="auto"/>
              </w:rPr>
              <w:t>Claim/Equity Interest</w:t>
            </w:r>
          </w:p>
        </w:tc>
        <w:tc>
          <w:tcPr>
            <w:tcW w:w="25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Status</w:t>
            </w:r>
          </w:p>
        </w:tc>
        <w:tc>
          <w:tcPr>
            <w:tcW w:w="2260" w:type="dxa"/>
            <w:vAlign w:val="bottom"/>
          </w:tcPr>
          <w:p>
            <w:pPr>
              <w:jc w:val="center"/>
              <w:spacing w:after="0"/>
              <w:rPr>
                <w:sz w:val="20"/>
                <w:szCs w:val="20"/>
                <w:color w:val="auto"/>
              </w:rPr>
            </w:pPr>
            <w:r>
              <w:rPr>
                <w:rFonts w:ascii="Arial" w:cs="Arial" w:eastAsia="Arial" w:hAnsi="Arial"/>
                <w:sz w:val="11"/>
                <w:szCs w:val="11"/>
                <w:b w:val="1"/>
                <w:bCs w:val="1"/>
                <w:color w:val="auto"/>
                <w:w w:val="89"/>
              </w:rPr>
              <w:t>Voting Rights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Prepetition A&amp;R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7.</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Prepetition Notes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1"/>
              </w:rPr>
              <w:t>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Entitled to Vote</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8.</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General Unsecured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9.</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Intercompany Claims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Existing Common Stock(2)</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1"/>
              </w:rPr>
              <w:t>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Entitled to Vote</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11.</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Intercompany Equity Interests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Unimpaired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Deemed to Accept</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43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Unexercised Equity Interests</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1"/>
              </w:rPr>
              <w:t>Impaired</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Deemed to Reject</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00" w:hanging="497"/>
        <w:spacing w:after="0"/>
        <w:tabs>
          <w:tab w:leader="none" w:pos="500" w:val="left"/>
        </w:tabs>
        <w:numPr>
          <w:ilvl w:val="0"/>
          <w:numId w:val="158"/>
        </w:numPr>
        <w:rPr>
          <w:rFonts w:ascii="Arial" w:cs="Arial" w:eastAsia="Arial" w:hAnsi="Arial"/>
          <w:sz w:val="14"/>
          <w:szCs w:val="14"/>
          <w:i w:val="1"/>
          <w:iCs w:val="1"/>
          <w:color w:val="auto"/>
        </w:rPr>
      </w:pPr>
      <w:r>
        <w:rPr>
          <w:rFonts w:ascii="Arial" w:cs="Arial" w:eastAsia="Arial" w:hAnsi="Arial"/>
          <w:sz w:val="14"/>
          <w:szCs w:val="14"/>
          <w:i w:val="1"/>
          <w:iCs w:val="1"/>
          <w:color w:val="auto"/>
        </w:rPr>
        <w:t>Classification and Treatment of Claims and Equity Interests</w:t>
      </w:r>
    </w:p>
    <w:p>
      <w:pPr>
        <w:spacing w:after="0" w:line="170" w:lineRule="exact"/>
        <w:rPr>
          <w:rFonts w:ascii="Arial" w:cs="Arial" w:eastAsia="Arial" w:hAnsi="Arial"/>
          <w:sz w:val="14"/>
          <w:szCs w:val="14"/>
          <w:i w:val="1"/>
          <w:iCs w:val="1"/>
          <w:color w:val="auto"/>
        </w:rPr>
      </w:pPr>
    </w:p>
    <w:p>
      <w:pPr>
        <w:ind w:left="740" w:hanging="239"/>
        <w:spacing w:after="0"/>
        <w:tabs>
          <w:tab w:leader="none" w:pos="740" w:val="left"/>
        </w:tabs>
        <w:numPr>
          <w:ilvl w:val="1"/>
          <w:numId w:val="158"/>
        </w:numPr>
        <w:rPr>
          <w:rFonts w:ascii="Arial" w:cs="Arial" w:eastAsia="Arial" w:hAnsi="Arial"/>
          <w:sz w:val="14"/>
          <w:szCs w:val="14"/>
          <w:color w:val="auto"/>
        </w:rPr>
      </w:pPr>
      <w:r>
        <w:rPr>
          <w:rFonts w:ascii="Arial" w:cs="Arial" w:eastAsia="Arial" w:hAnsi="Arial"/>
          <w:sz w:val="14"/>
          <w:szCs w:val="14"/>
          <w:u w:val="single" w:color="auto"/>
          <w:color w:val="auto"/>
        </w:rPr>
        <w:t>Class 1 - Other Priority Claims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2"/>
          <w:numId w:val="158"/>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1 consists of the Other Priority Claims.</w:t>
      </w:r>
    </w:p>
    <w:p>
      <w:pPr>
        <w:spacing w:after="0" w:line="170" w:lineRule="exact"/>
        <w:rPr>
          <w:rFonts w:ascii="Arial" w:cs="Arial" w:eastAsia="Arial" w:hAnsi="Arial"/>
          <w:sz w:val="14"/>
          <w:szCs w:val="14"/>
          <w:color w:val="auto"/>
        </w:rPr>
      </w:pPr>
    </w:p>
    <w:p>
      <w:pPr>
        <w:ind w:left="1500" w:hanging="501"/>
        <w:spacing w:after="0" w:line="297" w:lineRule="auto"/>
        <w:tabs>
          <w:tab w:leader="none" w:pos="1506" w:val="left"/>
        </w:tabs>
        <w:numPr>
          <w:ilvl w:val="2"/>
          <w:numId w:val="158"/>
        </w:numPr>
        <w:rPr>
          <w:rFonts w:ascii="Arial" w:cs="Arial" w:eastAsia="Arial" w:hAnsi="Arial"/>
          <w:sz w:val="12"/>
          <w:szCs w:val="12"/>
          <w:color w:val="auto"/>
        </w:rPr>
      </w:pPr>
      <w:r>
        <w:rPr>
          <w:rFonts w:ascii="Arial" w:cs="Arial" w:eastAsia="Arial" w:hAnsi="Arial"/>
          <w:sz w:val="12"/>
          <w:szCs w:val="12"/>
          <w:i w:val="1"/>
          <w:iCs w:val="1"/>
          <w:color w:val="auto"/>
        </w:rPr>
        <w:t>Treatment</w:t>
      </w:r>
      <w:r>
        <w:rPr>
          <w:rFonts w:ascii="Arial" w:cs="Arial" w:eastAsia="Arial" w:hAnsi="Arial"/>
          <w:sz w:val="12"/>
          <w:szCs w:val="12"/>
          <w:color w:val="auto"/>
        </w:rPr>
        <w:t>: Subject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Article VIII</w:t>
      </w:r>
      <w:r>
        <w:rPr>
          <w:rFonts w:ascii="Arial" w:cs="Arial" w:eastAsia="Arial" w:hAnsi="Arial"/>
          <w:sz w:val="12"/>
          <w:szCs w:val="12"/>
          <w:i w:val="1"/>
          <w:iCs w:val="1"/>
          <w:color w:val="auto"/>
        </w:rPr>
        <w:t xml:space="preserve"> </w:t>
      </w:r>
      <w:r>
        <w:rPr>
          <w:rFonts w:ascii="Arial" w:cs="Arial" w:eastAsia="Arial" w:hAnsi="Arial"/>
          <w:sz w:val="12"/>
          <w:szCs w:val="12"/>
          <w:color w:val="auto"/>
        </w:rPr>
        <w:t>hereof, on, or as soon as reasonably practicable after, the later of (i) the Initial Distribution Date if such Class 1 Claim is an Allowed Class 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Class 1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83134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(2) This class excludes the Unexercised Equity Interests that are classified in Class 12.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88" w:right="259" w:bottom="1440" w:gutter="0" w:footer="0" w:header="0"/>
        </w:sectPr>
      </w:pPr>
    </w:p>
    <w:bookmarkStart w:id="202" w:name="page203"/>
    <w:bookmarkEnd w:id="202"/>
    <w:p>
      <w:pPr>
        <w:ind w:left="1000" w:right="240" w:hanging="501"/>
        <w:spacing w:after="0" w:line="268" w:lineRule="auto"/>
        <w:tabs>
          <w:tab w:leader="none" w:pos="1008" w:val="left"/>
        </w:tabs>
        <w:numPr>
          <w:ilvl w:val="1"/>
          <w:numId w:val="159"/>
        </w:numPr>
        <w:rPr>
          <w:rFonts w:ascii="Arial" w:cs="Arial" w:eastAsia="Arial" w:hAnsi="Arial"/>
          <w:sz w:val="14"/>
          <w:szCs w:val="14"/>
          <w:color w:val="auto"/>
        </w:rPr>
      </w:pPr>
      <w:r>
        <w:rPr>
          <w:rFonts w:ascii="Arial" w:cs="Arial" w:eastAsia="Arial" w:hAnsi="Arial"/>
          <w:sz w:val="14"/>
          <w:szCs w:val="14"/>
          <w:i w:val="1"/>
          <w:iCs w:val="1"/>
          <w:color w:val="auto"/>
        </w:rPr>
        <w:t>Voting</w:t>
      </w:r>
      <w:r>
        <w:rPr>
          <w:rFonts w:ascii="Arial" w:cs="Arial" w:eastAsia="Arial" w:hAnsi="Arial"/>
          <w:sz w:val="14"/>
          <w:szCs w:val="14"/>
          <w:color w:val="auto"/>
        </w:rPr>
        <w:t>: Class 1 is an Unimpaired Class, and the Holders of Claims in Class 1 are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the Holders of Claims in Class 1 are not entitled to vote to accept or reject this Plan.</w:t>
      </w:r>
    </w:p>
    <w:p>
      <w:pPr>
        <w:spacing w:after="0" w:line="138" w:lineRule="exact"/>
        <w:rPr>
          <w:rFonts w:ascii="Arial" w:cs="Arial" w:eastAsia="Arial" w:hAnsi="Arial"/>
          <w:sz w:val="14"/>
          <w:szCs w:val="14"/>
          <w:color w:val="auto"/>
        </w:rPr>
      </w:pPr>
    </w:p>
    <w:p>
      <w:pPr>
        <w:ind w:left="240" w:hanging="239"/>
        <w:spacing w:after="0"/>
        <w:tabs>
          <w:tab w:leader="none" w:pos="2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Class 2 - Other Secured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0"/>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2 consists of the Other Secured Claims. Class 2 consists of separate subclasses for each Other Secured Claim.</w:t>
      </w:r>
    </w:p>
    <w:p>
      <w:pPr>
        <w:spacing w:after="0" w:line="170" w:lineRule="exact"/>
        <w:rPr>
          <w:rFonts w:ascii="Arial" w:cs="Arial" w:eastAsia="Arial" w:hAnsi="Arial"/>
          <w:sz w:val="14"/>
          <w:szCs w:val="14"/>
          <w:color w:val="auto"/>
        </w:rPr>
      </w:pPr>
    </w:p>
    <w:p>
      <w:pPr>
        <w:ind w:left="1000" w:hanging="501"/>
        <w:spacing w:after="0" w:line="271" w:lineRule="auto"/>
        <w:tabs>
          <w:tab w:leader="none" w:pos="1006" w:val="left"/>
        </w:tabs>
        <w:numPr>
          <w:ilvl w:val="1"/>
          <w:numId w:val="160"/>
        </w:numPr>
        <w:rPr>
          <w:rFonts w:ascii="Arial" w:cs="Arial" w:eastAsia="Arial" w:hAnsi="Arial"/>
          <w:sz w:val="13"/>
          <w:szCs w:val="13"/>
          <w:color w:val="auto"/>
        </w:rPr>
      </w:pPr>
      <w:r>
        <w:rPr>
          <w:rFonts w:ascii="Arial" w:cs="Arial" w:eastAsia="Arial" w:hAnsi="Arial"/>
          <w:sz w:val="13"/>
          <w:szCs w:val="13"/>
          <w:i w:val="1"/>
          <w:iCs w:val="1"/>
          <w:color w:val="auto"/>
        </w:rPr>
        <w:t>Treatment</w:t>
      </w:r>
      <w:r>
        <w:rPr>
          <w:rFonts w:ascii="Arial" w:cs="Arial" w:eastAsia="Arial" w:hAnsi="Arial"/>
          <w:sz w:val="13"/>
          <w:szCs w:val="13"/>
          <w:color w:val="auto"/>
        </w:rPr>
        <w:t>: Subject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Article VIII</w:t>
      </w:r>
      <w:r>
        <w:rPr>
          <w:rFonts w:ascii="Arial" w:cs="Arial" w:eastAsia="Arial" w:hAnsi="Arial"/>
          <w:sz w:val="13"/>
          <w:szCs w:val="13"/>
          <w:i w:val="1"/>
          <w:iCs w:val="1"/>
          <w:color w:val="auto"/>
        </w:rPr>
        <w:t xml:space="preserve"> </w:t>
      </w:r>
      <w:r>
        <w:rPr>
          <w:rFonts w:ascii="Arial" w:cs="Arial" w:eastAsia="Arial" w:hAnsi="Arial"/>
          <w:sz w:val="13"/>
          <w:szCs w:val="13"/>
          <w:color w:val="auto"/>
        </w:rPr>
        <w:t>hereof, on, or as soon as reasonably practicable after, the later of (i) the Initial Distribution Date if such Class 2 Claim is an Allowed Class 2</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40" w:lineRule="exact"/>
        <w:rPr>
          <w:rFonts w:ascii="Arial" w:cs="Arial" w:eastAsia="Arial" w:hAnsi="Arial"/>
          <w:sz w:val="13"/>
          <w:szCs w:val="13"/>
          <w:color w:val="auto"/>
        </w:rPr>
      </w:pPr>
    </w:p>
    <w:p>
      <w:pPr>
        <w:ind w:left="1000" w:right="280" w:hanging="501"/>
        <w:spacing w:after="0" w:line="268" w:lineRule="auto"/>
        <w:tabs>
          <w:tab w:leader="none" w:pos="1008" w:val="left"/>
        </w:tabs>
        <w:numPr>
          <w:ilvl w:val="1"/>
          <w:numId w:val="160"/>
        </w:numPr>
        <w:rPr>
          <w:rFonts w:ascii="Arial" w:cs="Arial" w:eastAsia="Arial" w:hAnsi="Arial"/>
          <w:sz w:val="14"/>
          <w:szCs w:val="14"/>
          <w:color w:val="auto"/>
        </w:rPr>
      </w:pPr>
      <w:r>
        <w:rPr>
          <w:rFonts w:ascii="Arial" w:cs="Arial" w:eastAsia="Arial" w:hAnsi="Arial"/>
          <w:sz w:val="14"/>
          <w:szCs w:val="14"/>
          <w:i w:val="1"/>
          <w:iCs w:val="1"/>
          <w:color w:val="auto"/>
        </w:rPr>
        <w:t>Voting</w:t>
      </w:r>
      <w:r>
        <w:rPr>
          <w:rFonts w:ascii="Arial" w:cs="Arial" w:eastAsia="Arial" w:hAnsi="Arial"/>
          <w:sz w:val="14"/>
          <w:szCs w:val="14"/>
          <w:color w:val="auto"/>
        </w:rPr>
        <w:t>: Class 2 is an Unimpaired Class, and the Holders of Claims in Class 2 are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the Holders of Claims in Class 2 are not entitled to vote to accept or reject this Plan.</w:t>
      </w:r>
    </w:p>
    <w:p>
      <w:pPr>
        <w:spacing w:after="0" w:line="138" w:lineRule="exact"/>
        <w:rPr>
          <w:rFonts w:ascii="Arial" w:cs="Arial" w:eastAsia="Arial" w:hAnsi="Arial"/>
          <w:sz w:val="14"/>
          <w:szCs w:val="14"/>
          <w:color w:val="auto"/>
        </w:rPr>
      </w:pPr>
    </w:p>
    <w:p>
      <w:pPr>
        <w:ind w:left="240" w:hanging="239"/>
        <w:spacing w:after="0"/>
        <w:tabs>
          <w:tab w:leader="none" w:pos="2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Class 3 - Secured Tax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0"/>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3 consists of the Secured Tax Claims.</w:t>
      </w:r>
    </w:p>
    <w:p>
      <w:pPr>
        <w:spacing w:after="0" w:line="170" w:lineRule="exact"/>
        <w:rPr>
          <w:rFonts w:ascii="Arial" w:cs="Arial" w:eastAsia="Arial" w:hAnsi="Arial"/>
          <w:sz w:val="14"/>
          <w:szCs w:val="14"/>
          <w:color w:val="auto"/>
        </w:rPr>
      </w:pPr>
    </w:p>
    <w:p>
      <w:pPr>
        <w:ind w:left="1000" w:right="260" w:hanging="501"/>
        <w:spacing w:after="0" w:line="321" w:lineRule="auto"/>
        <w:tabs>
          <w:tab w:leader="none" w:pos="1006" w:val="left"/>
        </w:tabs>
        <w:numPr>
          <w:ilvl w:val="1"/>
          <w:numId w:val="160"/>
        </w:numPr>
        <w:rPr>
          <w:rFonts w:ascii="Arial" w:cs="Arial" w:eastAsia="Arial" w:hAnsi="Arial"/>
          <w:sz w:val="12"/>
          <w:szCs w:val="12"/>
          <w:color w:val="auto"/>
        </w:rPr>
      </w:pPr>
      <w:r>
        <w:rPr>
          <w:rFonts w:ascii="Arial" w:cs="Arial" w:eastAsia="Arial" w:hAnsi="Arial"/>
          <w:sz w:val="12"/>
          <w:szCs w:val="12"/>
          <w:i w:val="1"/>
          <w:iCs w:val="1"/>
          <w:color w:val="auto"/>
        </w:rPr>
        <w:t>Treatment</w:t>
      </w:r>
      <w:r>
        <w:rPr>
          <w:rFonts w:ascii="Arial" w:cs="Arial" w:eastAsia="Arial" w:hAnsi="Arial"/>
          <w:sz w:val="12"/>
          <w:szCs w:val="12"/>
          <w:color w:val="auto"/>
        </w:rPr>
        <w:t>: Subject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Article VIII</w:t>
      </w:r>
      <w:r>
        <w:rPr>
          <w:rFonts w:ascii="Arial" w:cs="Arial" w:eastAsia="Arial" w:hAnsi="Arial"/>
          <w:sz w:val="12"/>
          <w:szCs w:val="12"/>
          <w:i w:val="1"/>
          <w:iCs w:val="1"/>
          <w:color w:val="auto"/>
        </w:rPr>
        <w:t xml:space="preserve"> </w:t>
      </w:r>
      <w:r>
        <w:rPr>
          <w:rFonts w:ascii="Arial" w:cs="Arial" w:eastAsia="Arial" w:hAnsi="Arial"/>
          <w:sz w:val="12"/>
          <w:szCs w:val="12"/>
          <w:color w:val="auto"/>
        </w:rPr>
        <w:t>hereof, on, or as soon as reasonably practicable after, the later of (i) the Initial Distribution Date if such Class 3 Claim is an Allowed Class 3</w:t>
      </w:r>
      <w:r>
        <w:rPr>
          <w:rFonts w:ascii="Arial" w:cs="Arial" w:eastAsia="Arial" w:hAnsi="Arial"/>
          <w:sz w:val="12"/>
          <w:szCs w:val="12"/>
          <w:i w:val="1"/>
          <w:iCs w:val="1"/>
          <w:color w:val="auto"/>
        </w:rPr>
        <w:t xml:space="preserve"> </w:t>
      </w:r>
      <w:r>
        <w:rPr>
          <w:rFonts w:ascii="Arial" w:cs="Arial" w:eastAsia="Arial" w:hAnsi="Arial"/>
          <w:sz w:val="12"/>
          <w:szCs w:val="12"/>
          <w:color w:val="auto"/>
        </w:rPr>
        <w:t>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w:t>
      </w:r>
    </w:p>
    <w:p>
      <w:pPr>
        <w:spacing w:after="0" w:line="110"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60"/>
          </w:cols>
          <w:pgMar w:left="720" w:top="295" w:right="219" w:bottom="1440" w:gutter="0" w:footer="0" w:header="0"/>
        </w:sectPr>
      </w:pPr>
    </w:p>
    <w:bookmarkStart w:id="203" w:name="page204"/>
    <w:bookmarkEnd w:id="203"/>
    <w:p>
      <w:pPr>
        <w:ind w:left="1000"/>
        <w:spacing w:after="0"/>
        <w:rPr>
          <w:sz w:val="20"/>
          <w:szCs w:val="20"/>
          <w:color w:val="auto"/>
        </w:rPr>
      </w:pPr>
      <w:r>
        <w:rPr>
          <w:rFonts w:ascii="Arial" w:cs="Arial" w:eastAsia="Arial" w:hAnsi="Arial"/>
          <w:sz w:val="13"/>
          <w:szCs w:val="13"/>
          <w:color w:val="auto"/>
        </w:rPr>
        <w:t>Debtors or Reorganized Debtors, as applicable (with the consent of the Required Consenting Noteholders in the manner set forth in the Restructuring Support Agreement):</w:t>
      </w:r>
    </w:p>
    <w:p>
      <w:pPr>
        <w:spacing w:after="0" w:line="26" w:lineRule="exact"/>
        <w:rPr>
          <w:sz w:val="20"/>
          <w:szCs w:val="20"/>
          <w:color w:val="auto"/>
        </w:rPr>
      </w:pPr>
    </w:p>
    <w:p>
      <w:pPr>
        <w:ind w:left="1000"/>
        <w:spacing w:after="0" w:line="269" w:lineRule="auto"/>
        <w:rPr>
          <w:sz w:val="20"/>
          <w:szCs w:val="20"/>
          <w:color w:val="auto"/>
        </w:rPr>
      </w:pPr>
      <w:r>
        <w:rPr>
          <w:rFonts w:ascii="Arial" w:cs="Arial" w:eastAsia="Arial" w:hAnsi="Arial"/>
          <w:sz w:val="13"/>
          <w:szCs w:val="13"/>
          <w:color w:val="auto"/>
        </w:rPr>
        <w:t xml:space="preserve">(A)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40" w:lineRule="exact"/>
        <w:rPr>
          <w:sz w:val="20"/>
          <w:szCs w:val="20"/>
          <w:color w:val="auto"/>
        </w:rPr>
      </w:pPr>
    </w:p>
    <w:p>
      <w:pPr>
        <w:ind w:left="1000" w:right="20" w:hanging="501"/>
        <w:spacing w:after="0" w:line="268" w:lineRule="auto"/>
        <w:tabs>
          <w:tab w:leader="none" w:pos="1008"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3 is an Unimpaired Class, and the Holders of Claims in Class 3 will be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Holders of Claims in Class 3 are not entitled to vote to accept or reject this Plan.</w:t>
      </w:r>
    </w:p>
    <w:p>
      <w:pPr>
        <w:spacing w:after="0" w:line="138" w:lineRule="exact"/>
        <w:rPr>
          <w:rFonts w:ascii="Arial" w:cs="Arial" w:eastAsia="Arial" w:hAnsi="Arial"/>
          <w:sz w:val="14"/>
          <w:szCs w:val="14"/>
          <w:color w:val="auto"/>
        </w:rPr>
      </w:pPr>
    </w:p>
    <w:p>
      <w:pPr>
        <w:ind w:left="240" w:hanging="239"/>
        <w:spacing w:after="0"/>
        <w:tabs>
          <w:tab w:leader="none" w:pos="2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Class 4 — Prepetition Revolving Credit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2"/>
        </w:numPr>
        <w:rPr>
          <w:rFonts w:ascii="Arial" w:cs="Arial" w:eastAsia="Arial" w:hAnsi="Arial"/>
          <w:sz w:val="14"/>
          <w:szCs w:val="14"/>
          <w:color w:val="auto"/>
        </w:rPr>
      </w:pPr>
      <w:r>
        <w:rPr>
          <w:rFonts w:ascii="Arial" w:cs="Arial" w:eastAsia="Arial" w:hAnsi="Arial"/>
          <w:sz w:val="14"/>
          <w:szCs w:val="14"/>
          <w:i w:val="1"/>
          <w:iCs w:val="1"/>
          <w:color w:val="auto"/>
        </w:rPr>
        <w:t xml:space="preserve">Classification: </w:t>
      </w:r>
      <w:r>
        <w:rPr>
          <w:rFonts w:ascii="Arial" w:cs="Arial" w:eastAsia="Arial" w:hAnsi="Arial"/>
          <w:sz w:val="14"/>
          <w:szCs w:val="14"/>
          <w:color w:val="auto"/>
        </w:rPr>
        <w:t>Class 4 consists of the Prepetition Revolving Credit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2"/>
        </w:numPr>
        <w:rPr>
          <w:rFonts w:ascii="Arial" w:cs="Arial" w:eastAsia="Arial" w:hAnsi="Arial"/>
          <w:sz w:val="13"/>
          <w:szCs w:val="13"/>
          <w:color w:val="auto"/>
        </w:rPr>
      </w:pPr>
      <w:r>
        <w:rPr>
          <w:rFonts w:ascii="Arial" w:cs="Arial" w:eastAsia="Arial" w:hAnsi="Arial"/>
          <w:sz w:val="13"/>
          <w:szCs w:val="13"/>
          <w:i w:val="1"/>
          <w:iCs w:val="1"/>
          <w:color w:val="auto"/>
        </w:rPr>
        <w:t>Allowance</w:t>
      </w:r>
      <w:r>
        <w:rPr>
          <w:rFonts w:ascii="Arial" w:cs="Arial" w:eastAsia="Arial" w:hAnsi="Arial"/>
          <w:sz w:val="13"/>
          <w:szCs w:val="13"/>
          <w:color w:val="auto"/>
        </w:rPr>
        <w:t>: The Prepetition Revolving Credit Claims are deemed Allowed in the aggregate principal amount of $316,742,581 plus accrued and unpaid interest thereon.</w:t>
      </w:r>
    </w:p>
    <w:p>
      <w:pPr>
        <w:spacing w:after="0" w:line="182" w:lineRule="exact"/>
        <w:rPr>
          <w:rFonts w:ascii="Arial" w:cs="Arial" w:eastAsia="Arial" w:hAnsi="Arial"/>
          <w:sz w:val="13"/>
          <w:szCs w:val="13"/>
          <w:color w:val="auto"/>
        </w:rPr>
      </w:pPr>
    </w:p>
    <w:p>
      <w:pPr>
        <w:ind w:left="1000" w:right="140" w:hanging="501"/>
        <w:spacing w:after="0" w:line="258" w:lineRule="auto"/>
        <w:tabs>
          <w:tab w:leader="none" w:pos="1008" w:val="left"/>
        </w:tabs>
        <w:numPr>
          <w:ilvl w:val="1"/>
          <w:numId w:val="162"/>
        </w:numPr>
        <w:rPr>
          <w:rFonts w:ascii="Arial" w:cs="Arial" w:eastAsia="Arial" w:hAnsi="Arial"/>
          <w:sz w:val="14"/>
          <w:szCs w:val="14"/>
          <w:color w:val="auto"/>
        </w:rPr>
      </w:pPr>
      <w:r>
        <w:rPr>
          <w:rFonts w:ascii="Arial" w:cs="Arial" w:eastAsia="Arial" w:hAnsi="Arial"/>
          <w:sz w:val="14"/>
          <w:szCs w:val="14"/>
          <w:i w:val="1"/>
          <w:iCs w:val="1"/>
          <w:color w:val="auto"/>
        </w:rPr>
        <w:t xml:space="preserve">Treatment: </w:t>
      </w:r>
      <w:r>
        <w:rPr>
          <w:rFonts w:ascii="Arial" w:cs="Arial" w:eastAsia="Arial" w:hAnsi="Arial"/>
          <w:sz w:val="14"/>
          <w:szCs w:val="14"/>
          <w:color w:val="auto"/>
        </w:rPr>
        <w:t>To the extent not paid in full in Cash prior to the Effective Date, on the Effective Date, the Allowed Prepetition Revolving Credit Claims will, in full satisfaction,</w:t>
      </w:r>
      <w:r>
        <w:rPr>
          <w:rFonts w:ascii="Arial" w:cs="Arial" w:eastAsia="Arial" w:hAnsi="Arial"/>
          <w:sz w:val="14"/>
          <w:szCs w:val="14"/>
          <w:i w:val="1"/>
          <w:iCs w:val="1"/>
          <w:color w:val="auto"/>
        </w:rPr>
        <w:t xml:space="preserve"> </w:t>
      </w:r>
      <w:r>
        <w:rPr>
          <w:rFonts w:ascii="Arial" w:cs="Arial" w:eastAsia="Arial" w:hAnsi="Arial"/>
          <w:sz w:val="14"/>
          <w:szCs w:val="14"/>
          <w:color w:val="auto"/>
        </w:rPr>
        <w:t>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45"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60"/>
          </w:cols>
          <w:pgMar w:left="720" w:top="295" w:right="219" w:bottom="1440" w:gutter="0" w:footer="0" w:header="0"/>
        </w:sectPr>
      </w:pPr>
    </w:p>
    <w:bookmarkStart w:id="204" w:name="page205"/>
    <w:bookmarkEnd w:id="204"/>
    <w:p>
      <w:pPr>
        <w:ind w:left="1000" w:hanging="501"/>
        <w:spacing w:after="0" w:line="268" w:lineRule="auto"/>
        <w:tabs>
          <w:tab w:leader="none" w:pos="1006" w:val="left"/>
        </w:tabs>
        <w:numPr>
          <w:ilvl w:val="1"/>
          <w:numId w:val="163"/>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4 is an Unimpaired Class, and the Holders of Claims in Class 4 will be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Holders of Claims in Class 4 are not entitled to vote to accept or reject this Plan.</w:t>
      </w:r>
    </w:p>
    <w:p>
      <w:pPr>
        <w:spacing w:after="0" w:line="138" w:lineRule="exact"/>
        <w:rPr>
          <w:rFonts w:ascii="Arial" w:cs="Arial" w:eastAsia="Arial" w:hAnsi="Arial"/>
          <w:sz w:val="14"/>
          <w:szCs w:val="14"/>
          <w:color w:val="auto"/>
        </w:rPr>
      </w:pPr>
    </w:p>
    <w:p>
      <w:pPr>
        <w:ind w:left="240" w:hanging="239"/>
        <w:spacing w:after="0"/>
        <w:tabs>
          <w:tab w:leader="none" w:pos="2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Class 5 — Prepetition Term Loan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Classification: </w:t>
      </w:r>
      <w:r>
        <w:rPr>
          <w:rFonts w:ascii="Arial" w:cs="Arial" w:eastAsia="Arial" w:hAnsi="Arial"/>
          <w:sz w:val="14"/>
          <w:szCs w:val="14"/>
          <w:color w:val="auto"/>
        </w:rPr>
        <w:t>Class 5 consists of the Prepetition Term Loan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4"/>
        </w:numPr>
        <w:rPr>
          <w:rFonts w:ascii="Arial" w:cs="Arial" w:eastAsia="Arial" w:hAnsi="Arial"/>
          <w:sz w:val="13"/>
          <w:szCs w:val="13"/>
          <w:color w:val="auto"/>
        </w:rPr>
      </w:pPr>
      <w:r>
        <w:rPr>
          <w:rFonts w:ascii="Arial" w:cs="Arial" w:eastAsia="Arial" w:hAnsi="Arial"/>
          <w:sz w:val="13"/>
          <w:szCs w:val="13"/>
          <w:i w:val="1"/>
          <w:iCs w:val="1"/>
          <w:color w:val="auto"/>
        </w:rPr>
        <w:t>Allowance</w:t>
      </w:r>
      <w:r>
        <w:rPr>
          <w:rFonts w:ascii="Arial" w:cs="Arial" w:eastAsia="Arial" w:hAnsi="Arial"/>
          <w:sz w:val="13"/>
          <w:szCs w:val="13"/>
          <w:color w:val="auto"/>
        </w:rPr>
        <w:t>: The Prepetition Term Loans Claims are deemed Allowed in the aggregate principal amount of $297,500,000 plus accrued and unpaid interest thereon.</w:t>
      </w:r>
    </w:p>
    <w:p>
      <w:pPr>
        <w:spacing w:after="0" w:line="182" w:lineRule="exact"/>
        <w:rPr>
          <w:rFonts w:ascii="Arial" w:cs="Arial" w:eastAsia="Arial" w:hAnsi="Arial"/>
          <w:sz w:val="13"/>
          <w:szCs w:val="13"/>
          <w:color w:val="auto"/>
        </w:rPr>
      </w:pPr>
    </w:p>
    <w:p>
      <w:pPr>
        <w:ind w:left="1000" w:right="20" w:hanging="501"/>
        <w:spacing w:after="0" w:line="258" w:lineRule="auto"/>
        <w:tabs>
          <w:tab w:leader="none" w:pos="1008"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Treatment: </w:t>
      </w:r>
      <w:r>
        <w:rPr>
          <w:rFonts w:ascii="Arial" w:cs="Arial" w:eastAsia="Arial" w:hAnsi="Arial"/>
          <w:sz w:val="14"/>
          <w:szCs w:val="14"/>
          <w:color w:val="auto"/>
        </w:rPr>
        <w:t>To the extent not paid in full in Cash prior to the Effective Date, on the Effective Date, the Allowed Prepetition Term Loan Claims will, in full satisfaction, settlement,</w:t>
      </w:r>
      <w:r>
        <w:rPr>
          <w:rFonts w:ascii="Arial" w:cs="Arial" w:eastAsia="Arial" w:hAnsi="Arial"/>
          <w:sz w:val="14"/>
          <w:szCs w:val="14"/>
          <w:i w:val="1"/>
          <w:iCs w:val="1"/>
          <w:color w:val="auto"/>
        </w:rPr>
        <w:t xml:space="preserve"> </w:t>
      </w:r>
      <w:r>
        <w:rPr>
          <w:rFonts w:ascii="Arial" w:cs="Arial" w:eastAsia="Arial" w:hAnsi="Arial"/>
          <w:sz w:val="14"/>
          <w:szCs w:val="14"/>
          <w:color w:val="auto"/>
        </w:rPr>
        <w:t>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44" w:lineRule="exact"/>
        <w:rPr>
          <w:rFonts w:ascii="Arial" w:cs="Arial" w:eastAsia="Arial" w:hAnsi="Arial"/>
          <w:sz w:val="14"/>
          <w:szCs w:val="14"/>
          <w:color w:val="auto"/>
        </w:rPr>
      </w:pPr>
    </w:p>
    <w:p>
      <w:pPr>
        <w:ind w:left="1000" w:hanging="501"/>
        <w:spacing w:after="0" w:line="268" w:lineRule="auto"/>
        <w:tabs>
          <w:tab w:leader="none" w:pos="1006"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5 is an Unimpaired Class, and the Holders of Claims in Class 5 will be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Holders of Claims in Class 5 are not entitled to vote to accept or reject this Plan.</w:t>
      </w:r>
    </w:p>
    <w:p>
      <w:pPr>
        <w:spacing w:after="0" w:line="138" w:lineRule="exact"/>
        <w:rPr>
          <w:rFonts w:ascii="Arial" w:cs="Arial" w:eastAsia="Arial" w:hAnsi="Arial"/>
          <w:sz w:val="14"/>
          <w:szCs w:val="14"/>
          <w:color w:val="auto"/>
        </w:rPr>
      </w:pPr>
    </w:p>
    <w:p>
      <w:pPr>
        <w:ind w:left="240" w:hanging="239"/>
        <w:spacing w:after="0"/>
        <w:tabs>
          <w:tab w:leader="none" w:pos="2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Class 6 — Prepetition A&amp;R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Classification: </w:t>
      </w:r>
      <w:r>
        <w:rPr>
          <w:rFonts w:ascii="Arial" w:cs="Arial" w:eastAsia="Arial" w:hAnsi="Arial"/>
          <w:sz w:val="14"/>
          <w:szCs w:val="14"/>
          <w:color w:val="auto"/>
        </w:rPr>
        <w:t>Class 6 consists of the Prepetition A&amp;R Claims.</w:t>
      </w:r>
    </w:p>
    <w:p>
      <w:pPr>
        <w:spacing w:after="0" w:line="170" w:lineRule="exact"/>
        <w:rPr>
          <w:rFonts w:ascii="Arial" w:cs="Arial" w:eastAsia="Arial" w:hAnsi="Arial"/>
          <w:sz w:val="14"/>
          <w:szCs w:val="14"/>
          <w:color w:val="auto"/>
        </w:rPr>
      </w:pPr>
    </w:p>
    <w:p>
      <w:pPr>
        <w:ind w:left="1000" w:right="60" w:hanging="501"/>
        <w:spacing w:after="0" w:line="268" w:lineRule="auto"/>
        <w:tabs>
          <w:tab w:leader="none" w:pos="1006"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Allowance</w:t>
      </w:r>
      <w:r>
        <w:rPr>
          <w:rFonts w:ascii="Arial" w:cs="Arial" w:eastAsia="Arial" w:hAnsi="Arial"/>
          <w:sz w:val="14"/>
          <w:szCs w:val="14"/>
          <w:color w:val="auto"/>
        </w:rPr>
        <w:t>: The Prepetition A&amp;R Claims are deemed Allowed in the aggregate principal amount of $305,000,000 plus accrued and unpaid interest and fees (at the default rate set</w:t>
      </w:r>
      <w:r>
        <w:rPr>
          <w:rFonts w:ascii="Arial" w:cs="Arial" w:eastAsia="Arial" w:hAnsi="Arial"/>
          <w:sz w:val="14"/>
          <w:szCs w:val="14"/>
          <w:i w:val="1"/>
          <w:iCs w:val="1"/>
          <w:color w:val="auto"/>
        </w:rPr>
        <w:t xml:space="preserve"> </w:t>
      </w:r>
      <w:r>
        <w:rPr>
          <w:rFonts w:ascii="Arial" w:cs="Arial" w:eastAsia="Arial" w:hAnsi="Arial"/>
          <w:sz w:val="14"/>
          <w:szCs w:val="14"/>
          <w:color w:val="auto"/>
        </w:rPr>
        <w:t>forth in the Prepetition A&amp;R Credit Agreement or related loan documents) plus outstanding letters of credit in an amount of $166,000,000.</w:t>
      </w:r>
    </w:p>
    <w:p>
      <w:pPr>
        <w:spacing w:after="0" w:line="138" w:lineRule="exact"/>
        <w:rPr>
          <w:rFonts w:ascii="Arial" w:cs="Arial" w:eastAsia="Arial" w:hAnsi="Arial"/>
          <w:sz w:val="14"/>
          <w:szCs w:val="14"/>
          <w:color w:val="auto"/>
        </w:rPr>
      </w:pPr>
    </w:p>
    <w:p>
      <w:pPr>
        <w:ind w:left="1000" w:right="40" w:hanging="501"/>
        <w:spacing w:after="0" w:line="254" w:lineRule="auto"/>
        <w:tabs>
          <w:tab w:leader="none" w:pos="1008"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Treatment: </w:t>
      </w:r>
      <w:r>
        <w:rPr>
          <w:rFonts w:ascii="Arial" w:cs="Arial" w:eastAsia="Arial" w:hAnsi="Arial"/>
          <w:sz w:val="14"/>
          <w:szCs w:val="14"/>
          <w:color w:val="auto"/>
        </w:rPr>
        <w:t>On the Effective Date, the Allowed Prepetition A&amp;R Claims will, in full satisfaction, settlement, discharge and release of, and in exchange for, such Claims, be</w:t>
      </w:r>
      <w:r>
        <w:rPr>
          <w:rFonts w:ascii="Arial" w:cs="Arial" w:eastAsia="Arial" w:hAnsi="Arial"/>
          <w:sz w:val="14"/>
          <w:szCs w:val="14"/>
          <w:i w:val="1"/>
          <w:iCs w:val="1"/>
          <w:color w:val="auto"/>
        </w:rPr>
        <w:t xml:space="preserve"> </w:t>
      </w:r>
      <w:r>
        <w:rPr>
          <w:rFonts w:ascii="Arial" w:cs="Arial" w:eastAsia="Arial" w:hAnsi="Arial"/>
          <w:sz w:val="14"/>
          <w:szCs w:val="14"/>
          <w:color w:val="auto"/>
        </w:rPr>
        <w:t>indefeasibly paid in full in Cash. Any letters of credit issued and outstanding as of the Effective Date under the Prepetition A&amp;R Credit Agreement will either be cash collateralized, replaced or receive such other treatment as may be acceptable to the Debtors, the Prepetition A&amp;R Credit Agreement Agent, the applicable Prepetition A&amp;R Credit Agreement Issuing Bank, and the Required Consenting Noteholders.</w:t>
      </w:r>
    </w:p>
    <w:p>
      <w:pPr>
        <w:spacing w:after="0" w:line="148" w:lineRule="exact"/>
        <w:rPr>
          <w:rFonts w:ascii="Arial" w:cs="Arial" w:eastAsia="Arial" w:hAnsi="Arial"/>
          <w:sz w:val="14"/>
          <w:szCs w:val="14"/>
          <w:color w:val="auto"/>
        </w:rPr>
      </w:pPr>
    </w:p>
    <w:p>
      <w:pPr>
        <w:ind w:left="1000" w:hanging="501"/>
        <w:spacing w:after="0"/>
        <w:tabs>
          <w:tab w:leader="none" w:pos="1000"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6 is an Unimpaired Class, and the Holders of Claims in Class 6 will be conclusively deemed to have accepted this Plan pursuant to section</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00"/>
          </w:cols>
          <w:pgMar w:left="720" w:top="295" w:right="279" w:bottom="1440" w:gutter="0" w:footer="0" w:header="0"/>
        </w:sectPr>
      </w:pPr>
    </w:p>
    <w:bookmarkStart w:id="205" w:name="page206"/>
    <w:bookmarkEnd w:id="205"/>
    <w:p>
      <w:pPr>
        <w:ind w:left="1000"/>
        <w:spacing w:after="0"/>
        <w:rPr>
          <w:sz w:val="20"/>
          <w:szCs w:val="20"/>
          <w:color w:val="auto"/>
        </w:rPr>
      </w:pPr>
      <w:r>
        <w:rPr>
          <w:rFonts w:ascii="Arial" w:cs="Arial" w:eastAsia="Arial" w:hAnsi="Arial"/>
          <w:sz w:val="14"/>
          <w:szCs w:val="14"/>
          <w:color w:val="auto"/>
        </w:rPr>
        <w:t>1126(f) of the Bankruptcy Code. Therefore, Holders of Claims in Class 6 are not entitled to vote to accept or reject this Plan.</w:t>
      </w:r>
    </w:p>
    <w:p>
      <w:pPr>
        <w:spacing w:after="0" w:line="171" w:lineRule="exact"/>
        <w:rPr>
          <w:sz w:val="20"/>
          <w:szCs w:val="20"/>
          <w:color w:val="auto"/>
        </w:rPr>
      </w:pPr>
    </w:p>
    <w:p>
      <w:pPr>
        <w:ind w:left="240" w:hanging="239"/>
        <w:spacing w:after="0"/>
        <w:tabs>
          <w:tab w:leader="none" w:pos="2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Class 7 - Prepetition Notes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5"/>
        </w:numPr>
        <w:rPr>
          <w:rFonts w:ascii="Arial" w:cs="Arial" w:eastAsia="Arial" w:hAnsi="Arial"/>
          <w:sz w:val="14"/>
          <w:szCs w:val="14"/>
          <w:color w:val="auto"/>
        </w:rPr>
      </w:pPr>
      <w:r>
        <w:rPr>
          <w:rFonts w:ascii="Arial" w:cs="Arial" w:eastAsia="Arial" w:hAnsi="Arial"/>
          <w:sz w:val="14"/>
          <w:szCs w:val="14"/>
          <w:i w:val="1"/>
          <w:iCs w:val="1"/>
          <w:color w:val="auto"/>
        </w:rPr>
        <w:t xml:space="preserve">Classification: </w:t>
      </w:r>
      <w:r>
        <w:rPr>
          <w:rFonts w:ascii="Arial" w:cs="Arial" w:eastAsia="Arial" w:hAnsi="Arial"/>
          <w:sz w:val="14"/>
          <w:szCs w:val="14"/>
          <w:color w:val="auto"/>
        </w:rPr>
        <w:t>Class 7 consists of the Prepetition Notes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5"/>
        </w:numPr>
        <w:rPr>
          <w:rFonts w:ascii="Arial" w:cs="Arial" w:eastAsia="Arial" w:hAnsi="Arial"/>
          <w:sz w:val="12"/>
          <w:szCs w:val="12"/>
          <w:color w:val="auto"/>
        </w:rPr>
      </w:pPr>
      <w:r>
        <w:rPr>
          <w:rFonts w:ascii="Arial" w:cs="Arial" w:eastAsia="Arial" w:hAnsi="Arial"/>
          <w:sz w:val="12"/>
          <w:szCs w:val="12"/>
          <w:i w:val="1"/>
          <w:iCs w:val="1"/>
          <w:color w:val="auto"/>
        </w:rPr>
        <w:t>Allowance</w:t>
      </w:r>
      <w:r>
        <w:rPr>
          <w:rFonts w:ascii="Arial" w:cs="Arial" w:eastAsia="Arial" w:hAnsi="Arial"/>
          <w:sz w:val="12"/>
          <w:szCs w:val="12"/>
          <w:color w:val="auto"/>
        </w:rPr>
        <w:t>: The Prepetition Notes Claims are deemed Allowed in the aggregate principal amount of $7,427,067,000, plus accrued and unpaid interest thereon, consisting of:</w:t>
      </w:r>
    </w:p>
    <w:p>
      <w:pPr>
        <w:spacing w:after="0" w:line="193" w:lineRule="exact"/>
        <w:rPr>
          <w:rFonts w:ascii="Arial" w:cs="Arial" w:eastAsia="Arial" w:hAnsi="Arial"/>
          <w:sz w:val="12"/>
          <w:szCs w:val="12"/>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$365,107,000 in aggregate principal amount, plus accrued and unpaid interest on account of the 5.125% Notes;</w:t>
      </w:r>
    </w:p>
    <w:p>
      <w:pPr>
        <w:spacing w:after="0" w:line="170" w:lineRule="exact"/>
        <w:rPr>
          <w:rFonts w:ascii="Arial" w:cs="Arial" w:eastAsia="Arial" w:hAnsi="Arial"/>
          <w:sz w:val="14"/>
          <w:szCs w:val="14"/>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$750,000,000 in aggregate principal amount, plus accrued and unpaid interest on account of the 7.750% Notes;</w:t>
      </w:r>
    </w:p>
    <w:p>
      <w:pPr>
        <w:spacing w:after="0" w:line="170" w:lineRule="exact"/>
        <w:rPr>
          <w:rFonts w:ascii="Arial" w:cs="Arial" w:eastAsia="Arial" w:hAnsi="Arial"/>
          <w:sz w:val="14"/>
          <w:szCs w:val="14"/>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$1,265,000,000 in aggregate principal amount, plus accrued and unpaid interest on account of the 5.875% Notes;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$646,286,000 in aggregate principal amount, plus accrued and unpaid interest on account of the 4.500% Notes;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$750,000,000 in aggregate principal amount, plus accrued and unpaid interest on account of the 8.250% Notes;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$790,000,000 in aggregate principal amount, plus accrued and unpaid interest on account of the 9.875% 2024 Notes;</w:t>
      </w:r>
    </w:p>
    <w:p>
      <w:pPr>
        <w:spacing w:after="0" w:line="170" w:lineRule="exact"/>
        <w:rPr>
          <w:rFonts w:ascii="Arial" w:cs="Arial" w:eastAsia="Arial" w:hAnsi="Arial"/>
          <w:sz w:val="14"/>
          <w:szCs w:val="14"/>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$453,045,000 in aggregate principal amount, plus accrued and unpaid interest on account of the 6.500% Notes;</w:t>
      </w:r>
    </w:p>
    <w:p>
      <w:pPr>
        <w:spacing w:after="0" w:line="170" w:lineRule="exact"/>
        <w:rPr>
          <w:rFonts w:ascii="Arial" w:cs="Arial" w:eastAsia="Arial" w:hAnsi="Arial"/>
          <w:sz w:val="14"/>
          <w:szCs w:val="14"/>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$461,300,000 in aggregate principal amount, plus accrued and unpaid interest on account of the 7.000% Notes;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$250,000,000 in aggregate principal amount, plus accrued and unpaid interest on account of the 9.875% 2039 Notes;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$462,601,000 in aggregate principal amount, plus accrued and unpaid interest on account of the 6.750% Notes;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$374,961,000 in aggregate principal amount, plus accrued and unpaid interest on account of the 5.950% Notes;</w:t>
      </w:r>
    </w:p>
    <w:p>
      <w:pPr>
        <w:spacing w:after="0" w:line="170" w:lineRule="exact"/>
        <w:rPr>
          <w:rFonts w:ascii="Arial" w:cs="Arial" w:eastAsia="Arial" w:hAnsi="Arial"/>
          <w:sz w:val="14"/>
          <w:szCs w:val="14"/>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$600,000,000 in aggregate principal amount, plus accrued and unpaid interest on account of the 9.875% 2025 Notes; and</w:t>
      </w:r>
    </w:p>
    <w:p>
      <w:pPr>
        <w:spacing w:after="0" w:line="170" w:lineRule="exact"/>
        <w:rPr>
          <w:rFonts w:ascii="Arial" w:cs="Arial" w:eastAsia="Arial" w:hAnsi="Arial"/>
          <w:sz w:val="14"/>
          <w:szCs w:val="14"/>
          <w:color w:val="auto"/>
        </w:rPr>
      </w:pPr>
    </w:p>
    <w:p>
      <w:pPr>
        <w:ind w:left="1520" w:hanging="523"/>
        <w:spacing w:after="0"/>
        <w:tabs>
          <w:tab w:leader="none" w:pos="15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$258,767,000 in aggregate principal amount, plus accrued and unpaid interest on account of the 6.8000% Notes.</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540"/>
          </w:cols>
          <w:pgMar w:left="720" w:top="295" w:right="639" w:bottom="1440" w:gutter="0" w:footer="0" w:header="0"/>
        </w:sectPr>
      </w:pPr>
    </w:p>
    <w:bookmarkStart w:id="206" w:name="page207"/>
    <w:bookmarkEnd w:id="206"/>
    <w:p>
      <w:pPr>
        <w:ind w:left="1000" w:hanging="501"/>
        <w:spacing w:after="0" w:line="280" w:lineRule="auto"/>
        <w:tabs>
          <w:tab w:leader="none" w:pos="1008" w:val="left"/>
        </w:tabs>
        <w:numPr>
          <w:ilvl w:val="1"/>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Treatment: </w:t>
      </w:r>
      <w:r>
        <w:rPr>
          <w:rFonts w:ascii="Arial" w:cs="Arial" w:eastAsia="Arial" w:hAnsi="Arial"/>
          <w:sz w:val="13"/>
          <w:szCs w:val="13"/>
          <w:color w:val="auto"/>
        </w:rPr>
        <w:t>On the Initial Distribution Date, each Holder of an Allowed Prepetition Notes Claim will receive, in full satisfaction, settlement, discharge and release of, and in</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for, such Claim, its Pro Rata share of (i) 99% of the New Common Stock, subject to dilution on account of equity issued pursuant to the New Management Incentive Plan and the New Common Stock issuable pursuant to the New Warrants and (ii) the Takeback Notes. In addition, each of such Holders will receive Subscription Rights to purchase its Pro Rata share of the Rights Offering Notes pursuant to the Rights Offering and in accordance with the applicable Rights Offerings Procedures.</w:t>
      </w:r>
    </w:p>
    <w:p>
      <w:pPr>
        <w:spacing w:after="0" w:line="132" w:lineRule="exact"/>
        <w:rPr>
          <w:rFonts w:ascii="Arial" w:cs="Arial" w:eastAsia="Arial" w:hAnsi="Arial"/>
          <w:sz w:val="13"/>
          <w:szCs w:val="13"/>
          <w:color w:val="auto"/>
        </w:rPr>
      </w:pPr>
    </w:p>
    <w:p>
      <w:pPr>
        <w:ind w:left="1000" w:hanging="501"/>
        <w:spacing w:after="0"/>
        <w:tabs>
          <w:tab w:leader="none" w:pos="1000" w:val="left"/>
        </w:tabs>
        <w:numPr>
          <w:ilvl w:val="1"/>
          <w:numId w:val="166"/>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7 is Impaired, and Holders of Claims in Class 7 are entitled to vote to accept or reject this Plan.</w:t>
      </w:r>
    </w:p>
    <w:p>
      <w:pPr>
        <w:spacing w:after="0" w:line="170" w:lineRule="exact"/>
        <w:rPr>
          <w:rFonts w:ascii="Arial" w:cs="Arial" w:eastAsia="Arial" w:hAnsi="Arial"/>
          <w:sz w:val="14"/>
          <w:szCs w:val="14"/>
          <w:color w:val="auto"/>
        </w:rPr>
      </w:pPr>
    </w:p>
    <w:p>
      <w:pPr>
        <w:ind w:left="240" w:hanging="239"/>
        <w:spacing w:after="0"/>
        <w:tabs>
          <w:tab w:leader="none" w:pos="2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Class 8 — General Unsecured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Classification: </w:t>
      </w:r>
      <w:r>
        <w:rPr>
          <w:rFonts w:ascii="Arial" w:cs="Arial" w:eastAsia="Arial" w:hAnsi="Arial"/>
          <w:sz w:val="14"/>
          <w:szCs w:val="14"/>
          <w:color w:val="auto"/>
        </w:rPr>
        <w:t>Class 8 consists of the General Unsecured Claims.</w:t>
      </w:r>
    </w:p>
    <w:p>
      <w:pPr>
        <w:spacing w:after="0" w:line="170" w:lineRule="exact"/>
        <w:rPr>
          <w:rFonts w:ascii="Arial" w:cs="Arial" w:eastAsia="Arial" w:hAnsi="Arial"/>
          <w:sz w:val="14"/>
          <w:szCs w:val="14"/>
          <w:color w:val="auto"/>
        </w:rPr>
      </w:pPr>
    </w:p>
    <w:p>
      <w:pPr>
        <w:ind w:left="1000" w:right="60" w:hanging="501"/>
        <w:spacing w:after="0" w:line="273" w:lineRule="auto"/>
        <w:tabs>
          <w:tab w:leader="none" w:pos="1006" w:val="left"/>
        </w:tabs>
        <w:numPr>
          <w:ilvl w:val="1"/>
          <w:numId w:val="167"/>
        </w:numPr>
        <w:rPr>
          <w:rFonts w:ascii="Arial" w:cs="Arial" w:eastAsia="Arial" w:hAnsi="Arial"/>
          <w:sz w:val="13"/>
          <w:szCs w:val="13"/>
          <w:color w:val="auto"/>
        </w:rPr>
      </w:pPr>
      <w:r>
        <w:rPr>
          <w:rFonts w:ascii="Arial" w:cs="Arial" w:eastAsia="Arial" w:hAnsi="Arial"/>
          <w:sz w:val="13"/>
          <w:szCs w:val="13"/>
          <w:i w:val="1"/>
          <w:iCs w:val="1"/>
          <w:color w:val="auto"/>
        </w:rPr>
        <w:t xml:space="preserve">Treatment: </w:t>
      </w:r>
      <w:r>
        <w:rPr>
          <w:rFonts w:ascii="Arial" w:cs="Arial" w:eastAsia="Arial" w:hAnsi="Arial"/>
          <w:sz w:val="13"/>
          <w:szCs w:val="13"/>
          <w:color w:val="auto"/>
        </w:rPr>
        <w:t>The legal, equitable, and contractual rights of the holders of General Unsecured Claims are unaltered by this Plan. Except to the extent that a holder of a General</w:t>
      </w:r>
      <w:r>
        <w:rPr>
          <w:rFonts w:ascii="Arial" w:cs="Arial" w:eastAsia="Arial" w:hAnsi="Arial"/>
          <w:sz w:val="13"/>
          <w:szCs w:val="13"/>
          <w:i w:val="1"/>
          <w:iCs w:val="1"/>
          <w:color w:val="auto"/>
        </w:rPr>
        <w:t xml:space="preserve"> </w:t>
      </w:r>
      <w:r>
        <w:rPr>
          <w:rFonts w:ascii="Arial" w:cs="Arial" w:eastAsia="Arial" w:hAnsi="Arial"/>
          <w:sz w:val="13"/>
          <w:szCs w:val="13"/>
          <w:color w:val="auto"/>
        </w:rPr>
        <w:t>Unsecured Claim agrees to a different treatment, on the later of (i) the Effective Date or (ii) the date such General Unsecured Claim becomes due and payable, each Holder of an Allowed General Unsecured Claim shall receive Cash in an amount equal to such Allowed General Unsecured Claim, or such other treatment that will render such Claim Unimpaired, including but not limited to, Reinstatement of such Allowed General Unsecured Claim pursuant to section 1124 of the Bankruptcy Code. For the avoidance of doubt, and notwithstanding anything herein to the contrary, no provision of this Plan shall diminish or modify any applicable non-bankruptcy legal, equitable, and/or contractual rights of any Holder of an Allowed General Unsecured Claim to receive payment on account of such Claims in the ordinary course of business and in accordance with applicable non-bankruptcy law as if the Chapter 11 Cases had not been commenced.</w:t>
      </w:r>
    </w:p>
    <w:p>
      <w:pPr>
        <w:spacing w:after="0" w:line="137" w:lineRule="exact"/>
        <w:rPr>
          <w:rFonts w:ascii="Arial" w:cs="Arial" w:eastAsia="Arial" w:hAnsi="Arial"/>
          <w:sz w:val="13"/>
          <w:szCs w:val="13"/>
          <w:color w:val="auto"/>
        </w:rPr>
      </w:pPr>
    </w:p>
    <w:p>
      <w:pPr>
        <w:ind w:left="1000" w:right="240" w:hanging="501"/>
        <w:spacing w:after="0" w:line="268" w:lineRule="auto"/>
        <w:tabs>
          <w:tab w:leader="none" w:pos="1008" w:val="left"/>
        </w:tabs>
        <w:numPr>
          <w:ilvl w:val="1"/>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8 is an Unimpaired Class, and the Holders of Claims in Class 8 are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the Holders of Claims in Class 8 are not entitled to vote to accept or reject this Plan.</w:t>
      </w:r>
    </w:p>
    <w:p>
      <w:pPr>
        <w:spacing w:after="0" w:line="138" w:lineRule="exact"/>
        <w:rPr>
          <w:rFonts w:ascii="Arial" w:cs="Arial" w:eastAsia="Arial" w:hAnsi="Arial"/>
          <w:sz w:val="14"/>
          <w:szCs w:val="14"/>
          <w:color w:val="auto"/>
        </w:rPr>
      </w:pPr>
    </w:p>
    <w:p>
      <w:pPr>
        <w:ind w:left="240" w:hanging="239"/>
        <w:spacing w:after="0"/>
        <w:tabs>
          <w:tab w:leader="none" w:pos="2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Class 9 — Intercompany Claims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167"/>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9 consists of the Intercompany Claims.</w:t>
      </w:r>
    </w:p>
    <w:p>
      <w:pPr>
        <w:spacing w:after="0" w:line="170" w:lineRule="exact"/>
        <w:rPr>
          <w:rFonts w:ascii="Arial" w:cs="Arial" w:eastAsia="Arial" w:hAnsi="Arial"/>
          <w:sz w:val="14"/>
          <w:szCs w:val="14"/>
          <w:color w:val="auto"/>
        </w:rPr>
      </w:pPr>
    </w:p>
    <w:p>
      <w:pPr>
        <w:ind w:left="1000" w:right="20" w:hanging="501"/>
        <w:spacing w:after="0" w:line="268" w:lineRule="auto"/>
        <w:tabs>
          <w:tab w:leader="none" w:pos="1006" w:val="left"/>
        </w:tabs>
        <w:numPr>
          <w:ilvl w:val="1"/>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Treatment: </w:t>
      </w:r>
      <w:r>
        <w:rPr>
          <w:rFonts w:ascii="Arial" w:cs="Arial" w:eastAsia="Arial" w:hAnsi="Arial"/>
          <w:sz w:val="14"/>
          <w:szCs w:val="14"/>
          <w:color w:val="auto"/>
        </w:rPr>
        <w:t>Subject to the Restructuring Transactions, the Intercompany Claims will be adjusted, reinstated, compromised, or cancelled to the extent determined appropriate by the</w:t>
      </w:r>
      <w:r>
        <w:rPr>
          <w:rFonts w:ascii="Arial" w:cs="Arial" w:eastAsia="Arial" w:hAnsi="Arial"/>
          <w:sz w:val="14"/>
          <w:szCs w:val="14"/>
          <w:i w:val="1"/>
          <w:iCs w:val="1"/>
          <w:color w:val="auto"/>
        </w:rPr>
        <w:t xml:space="preserve"> </w:t>
      </w:r>
      <w:r>
        <w:rPr>
          <w:rFonts w:ascii="Arial" w:cs="Arial" w:eastAsia="Arial" w:hAnsi="Arial"/>
          <w:sz w:val="14"/>
          <w:szCs w:val="14"/>
          <w:color w:val="auto"/>
        </w:rPr>
        <w:t>Debtors, with the consent of the Required Consenting Noteholders.</w:t>
      </w:r>
    </w:p>
    <w:p>
      <w:pPr>
        <w:spacing w:after="0" w:line="13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40"/>
          </w:cols>
          <w:pgMar w:left="720" w:top="295" w:right="239" w:bottom="1440" w:gutter="0" w:footer="0" w:header="0"/>
        </w:sectPr>
      </w:pPr>
    </w:p>
    <w:bookmarkStart w:id="207" w:name="page208"/>
    <w:bookmarkEnd w:id="207"/>
    <w:p>
      <w:pPr>
        <w:ind w:left="1500" w:right="220" w:hanging="501"/>
        <w:spacing w:after="0" w:line="268" w:lineRule="auto"/>
        <w:tabs>
          <w:tab w:leader="none" w:pos="1508" w:val="left"/>
        </w:tabs>
        <w:numPr>
          <w:ilvl w:val="1"/>
          <w:numId w:val="168"/>
        </w:numPr>
        <w:rPr>
          <w:rFonts w:ascii="Arial" w:cs="Arial" w:eastAsia="Arial" w:hAnsi="Arial"/>
          <w:sz w:val="14"/>
          <w:szCs w:val="14"/>
          <w:color w:val="auto"/>
        </w:rPr>
      </w:pPr>
      <w:r>
        <w:rPr>
          <w:rFonts w:ascii="Arial" w:cs="Arial" w:eastAsia="Arial" w:hAnsi="Arial"/>
          <w:sz w:val="14"/>
          <w:szCs w:val="14"/>
          <w:i w:val="1"/>
          <w:iCs w:val="1"/>
          <w:color w:val="auto"/>
        </w:rPr>
        <w:t xml:space="preserve">Voting: </w:t>
      </w:r>
      <w:r>
        <w:rPr>
          <w:rFonts w:ascii="Arial" w:cs="Arial" w:eastAsia="Arial" w:hAnsi="Arial"/>
          <w:sz w:val="14"/>
          <w:szCs w:val="14"/>
          <w:color w:val="auto"/>
        </w:rPr>
        <w:t>Class 9 is an Unimpaired Class and the Holders of Claims in Class 9 are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the Holders of Claims in Class 9 are not entitled to vote to accept or reject this Plan.</w:t>
      </w:r>
    </w:p>
    <w:p>
      <w:pPr>
        <w:spacing w:after="0" w:line="138" w:lineRule="exact"/>
        <w:rPr>
          <w:rFonts w:ascii="Arial" w:cs="Arial" w:eastAsia="Arial" w:hAnsi="Arial"/>
          <w:sz w:val="14"/>
          <w:szCs w:val="14"/>
          <w:color w:val="auto"/>
        </w:rPr>
      </w:pPr>
    </w:p>
    <w:p>
      <w:pPr>
        <w:ind w:left="740" w:hanging="239"/>
        <w:spacing w:after="0"/>
        <w:tabs>
          <w:tab w:leader="none" w:pos="7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Class 10 — Existing Common Stock</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1"/>
          <w:numId w:val="169"/>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10 consists of the Existing Common Stock.(3)</w:t>
      </w:r>
    </w:p>
    <w:p>
      <w:pPr>
        <w:spacing w:after="0" w:line="170" w:lineRule="exact"/>
        <w:rPr>
          <w:rFonts w:ascii="Arial" w:cs="Arial" w:eastAsia="Arial" w:hAnsi="Arial"/>
          <w:sz w:val="14"/>
          <w:szCs w:val="14"/>
          <w:color w:val="auto"/>
        </w:rPr>
      </w:pPr>
    </w:p>
    <w:p>
      <w:pPr>
        <w:ind w:left="1500" w:right="120" w:hanging="501"/>
        <w:spacing w:after="0" w:line="287" w:lineRule="auto"/>
        <w:tabs>
          <w:tab w:leader="none" w:pos="1506" w:val="left"/>
        </w:tabs>
        <w:numPr>
          <w:ilvl w:val="1"/>
          <w:numId w:val="169"/>
        </w:numPr>
        <w:rPr>
          <w:rFonts w:ascii="Arial" w:cs="Arial" w:eastAsia="Arial" w:hAnsi="Arial"/>
          <w:sz w:val="13"/>
          <w:szCs w:val="13"/>
          <w:color w:val="auto"/>
        </w:rPr>
      </w:pPr>
      <w:r>
        <w:rPr>
          <w:rFonts w:ascii="Arial" w:cs="Arial" w:eastAsia="Arial" w:hAnsi="Arial"/>
          <w:sz w:val="13"/>
          <w:szCs w:val="13"/>
          <w:i w:val="1"/>
          <w:iCs w:val="1"/>
          <w:color w:val="auto"/>
        </w:rPr>
        <w:t>Treatment</w:t>
      </w:r>
      <w:r>
        <w:rPr>
          <w:rFonts w:ascii="Arial" w:cs="Arial" w:eastAsia="Arial" w:hAnsi="Arial"/>
          <w:sz w:val="13"/>
          <w:szCs w:val="13"/>
          <w:color w:val="auto"/>
        </w:rPr>
        <w:t>: On the Effective Date, the Existing Common Stock will be cancelled without further notice to, approval of or action by any Entity. On the Initial Distribution Date,</w:t>
      </w:r>
      <w:r>
        <w:rPr>
          <w:rFonts w:ascii="Arial" w:cs="Arial" w:eastAsia="Arial" w:hAnsi="Arial"/>
          <w:sz w:val="13"/>
          <w:szCs w:val="13"/>
          <w:i w:val="1"/>
          <w:iCs w:val="1"/>
          <w:color w:val="auto"/>
        </w:rPr>
        <w:t xml:space="preserve"> </w:t>
      </w:r>
      <w:r>
        <w:rPr>
          <w:rFonts w:ascii="Arial" w:cs="Arial" w:eastAsia="Arial" w:hAnsi="Arial"/>
          <w:sz w:val="13"/>
          <w:szCs w:val="13"/>
          <w:color w:val="auto"/>
        </w:rPr>
        <w:t>each Holder of Existing Common Stock will receive its Pro Rata share of (i) 1.0% of the New Common Stock, subject to dilution on account of the equity issued pursuant to the New Management Incentive Plan and the New Common Stock issuable pursuant to the New Warrants and (ii) the New Warrants.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38" w:lineRule="exact"/>
        <w:rPr>
          <w:sz w:val="20"/>
          <w:szCs w:val="20"/>
          <w:color w:val="auto"/>
        </w:rPr>
      </w:pPr>
    </w:p>
    <w:p>
      <w:pPr>
        <w:ind w:left="1500" w:hanging="501"/>
        <w:spacing w:after="0"/>
        <w:tabs>
          <w:tab w:leader="none" w:pos="1500" w:val="left"/>
        </w:tabs>
        <w:numPr>
          <w:ilvl w:val="2"/>
          <w:numId w:val="170"/>
        </w:numPr>
        <w:rPr>
          <w:rFonts w:ascii="Arial" w:cs="Arial" w:eastAsia="Arial" w:hAnsi="Arial"/>
          <w:sz w:val="14"/>
          <w:szCs w:val="14"/>
          <w:color w:val="auto"/>
        </w:rPr>
      </w:pPr>
      <w:r>
        <w:rPr>
          <w:rFonts w:ascii="Arial" w:cs="Arial" w:eastAsia="Arial" w:hAnsi="Arial"/>
          <w:sz w:val="14"/>
          <w:szCs w:val="14"/>
          <w:i w:val="1"/>
          <w:iCs w:val="1"/>
          <w:color w:val="auto"/>
        </w:rPr>
        <w:t>Voting</w:t>
      </w:r>
      <w:r>
        <w:rPr>
          <w:rFonts w:ascii="Arial" w:cs="Arial" w:eastAsia="Arial" w:hAnsi="Arial"/>
          <w:sz w:val="14"/>
          <w:szCs w:val="14"/>
          <w:color w:val="auto"/>
        </w:rPr>
        <w:t>: Class 10 is Impaired, and the Holders of Existing Common Stock in Class 10 are entitled to vote to accept or reject this Plan.</w:t>
      </w:r>
    </w:p>
    <w:p>
      <w:pPr>
        <w:spacing w:after="0" w:line="170" w:lineRule="exact"/>
        <w:rPr>
          <w:rFonts w:ascii="Arial" w:cs="Arial" w:eastAsia="Arial" w:hAnsi="Arial"/>
          <w:sz w:val="14"/>
          <w:szCs w:val="14"/>
          <w:color w:val="auto"/>
        </w:rPr>
      </w:pPr>
    </w:p>
    <w:p>
      <w:pPr>
        <w:ind w:left="740" w:hanging="239"/>
        <w:spacing w:after="0"/>
        <w:tabs>
          <w:tab w:leader="none" w:pos="7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Class 11 — Intercompany Equity Interests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2"/>
          <w:numId w:val="171"/>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11 consists of Intercompany Equity Interests.</w:t>
      </w:r>
    </w:p>
    <w:p>
      <w:pPr>
        <w:spacing w:after="0" w:line="170" w:lineRule="exact"/>
        <w:rPr>
          <w:rFonts w:ascii="Arial" w:cs="Arial" w:eastAsia="Arial" w:hAnsi="Arial"/>
          <w:sz w:val="14"/>
          <w:szCs w:val="14"/>
          <w:color w:val="auto"/>
        </w:rPr>
      </w:pPr>
    </w:p>
    <w:p>
      <w:pPr>
        <w:ind w:left="1500" w:right="20" w:hanging="501"/>
        <w:spacing w:after="0" w:line="268" w:lineRule="auto"/>
        <w:tabs>
          <w:tab w:leader="none" w:pos="1506" w:val="left"/>
        </w:tabs>
        <w:numPr>
          <w:ilvl w:val="2"/>
          <w:numId w:val="171"/>
        </w:numPr>
        <w:rPr>
          <w:rFonts w:ascii="Arial" w:cs="Arial" w:eastAsia="Arial" w:hAnsi="Arial"/>
          <w:sz w:val="14"/>
          <w:szCs w:val="14"/>
          <w:color w:val="auto"/>
        </w:rPr>
      </w:pPr>
      <w:r>
        <w:rPr>
          <w:rFonts w:ascii="Arial" w:cs="Arial" w:eastAsia="Arial" w:hAnsi="Arial"/>
          <w:sz w:val="14"/>
          <w:szCs w:val="14"/>
          <w:i w:val="1"/>
          <w:iCs w:val="1"/>
          <w:color w:val="auto"/>
        </w:rPr>
        <w:t>Treatment</w:t>
      </w:r>
      <w:r>
        <w:rPr>
          <w:rFonts w:ascii="Arial" w:cs="Arial" w:eastAsia="Arial" w:hAnsi="Arial"/>
          <w:sz w:val="14"/>
          <w:szCs w:val="14"/>
          <w:color w:val="auto"/>
        </w:rPr>
        <w:t>: Subject to the Restructuring Transactions and the applicable law of the Debtors’ jurisdiction of incorporation, the Intercompany Equity Interests will be reinstated for</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administrative convenience or cancelled as determined by the Debtors, with the reasonable consent of the Required Consenting Noteholders.</w:t>
      </w:r>
    </w:p>
    <w:p>
      <w:pPr>
        <w:spacing w:after="0" w:line="138" w:lineRule="exact"/>
        <w:rPr>
          <w:rFonts w:ascii="Arial" w:cs="Arial" w:eastAsia="Arial" w:hAnsi="Arial"/>
          <w:sz w:val="14"/>
          <w:szCs w:val="14"/>
          <w:color w:val="auto"/>
        </w:rPr>
      </w:pPr>
    </w:p>
    <w:p>
      <w:pPr>
        <w:ind w:left="1500" w:right="100" w:hanging="501"/>
        <w:spacing w:after="0" w:line="268" w:lineRule="auto"/>
        <w:tabs>
          <w:tab w:leader="none" w:pos="1508" w:val="left"/>
        </w:tabs>
        <w:numPr>
          <w:ilvl w:val="2"/>
          <w:numId w:val="171"/>
        </w:numPr>
        <w:rPr>
          <w:rFonts w:ascii="Arial" w:cs="Arial" w:eastAsia="Arial" w:hAnsi="Arial"/>
          <w:sz w:val="14"/>
          <w:szCs w:val="14"/>
          <w:color w:val="auto"/>
        </w:rPr>
      </w:pPr>
      <w:r>
        <w:rPr>
          <w:rFonts w:ascii="Arial" w:cs="Arial" w:eastAsia="Arial" w:hAnsi="Arial"/>
          <w:sz w:val="14"/>
          <w:szCs w:val="14"/>
          <w:i w:val="1"/>
          <w:iCs w:val="1"/>
          <w:color w:val="auto"/>
        </w:rPr>
        <w:t>Voting</w:t>
      </w:r>
      <w:r>
        <w:rPr>
          <w:rFonts w:ascii="Arial" w:cs="Arial" w:eastAsia="Arial" w:hAnsi="Arial"/>
          <w:sz w:val="14"/>
          <w:szCs w:val="14"/>
          <w:color w:val="auto"/>
        </w:rPr>
        <w:t>: Class 11 is an Unimpaired Class and the Holders of Claims in Class 11 are conclusively deemed to have accepted this Plan pursuant to section 1126(f)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Therefore, the Holders of Claims in Class 11 are not entitled to vote to accept or reject this Plan.</w:t>
      </w:r>
    </w:p>
    <w:p>
      <w:pPr>
        <w:spacing w:after="0" w:line="138" w:lineRule="exact"/>
        <w:rPr>
          <w:rFonts w:ascii="Arial" w:cs="Arial" w:eastAsia="Arial" w:hAnsi="Arial"/>
          <w:sz w:val="14"/>
          <w:szCs w:val="14"/>
          <w:color w:val="auto"/>
        </w:rPr>
      </w:pPr>
    </w:p>
    <w:p>
      <w:pPr>
        <w:ind w:left="740" w:hanging="239"/>
        <w:spacing w:after="0"/>
        <w:tabs>
          <w:tab w:leader="none" w:pos="7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Class 12 — Unexercised Equity Interests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2"/>
          <w:numId w:val="171"/>
        </w:numPr>
        <w:rPr>
          <w:rFonts w:ascii="Arial" w:cs="Arial" w:eastAsia="Arial" w:hAnsi="Arial"/>
          <w:sz w:val="14"/>
          <w:szCs w:val="14"/>
          <w:color w:val="auto"/>
        </w:rPr>
      </w:pPr>
      <w:r>
        <w:rPr>
          <w:rFonts w:ascii="Arial" w:cs="Arial" w:eastAsia="Arial" w:hAnsi="Arial"/>
          <w:sz w:val="14"/>
          <w:szCs w:val="14"/>
          <w:i w:val="1"/>
          <w:iCs w:val="1"/>
          <w:color w:val="auto"/>
        </w:rPr>
        <w:t>Classification</w:t>
      </w:r>
      <w:r>
        <w:rPr>
          <w:rFonts w:ascii="Arial" w:cs="Arial" w:eastAsia="Arial" w:hAnsi="Arial"/>
          <w:sz w:val="14"/>
          <w:szCs w:val="14"/>
          <w:color w:val="auto"/>
        </w:rPr>
        <w:t>: Class 12 consists of Unexercised Equity Interests.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2"/>
          <w:numId w:val="171"/>
        </w:numPr>
        <w:rPr>
          <w:rFonts w:ascii="Arial" w:cs="Arial" w:eastAsia="Arial" w:hAnsi="Arial"/>
          <w:sz w:val="14"/>
          <w:szCs w:val="14"/>
          <w:color w:val="auto"/>
        </w:rPr>
      </w:pPr>
      <w:r>
        <w:rPr>
          <w:rFonts w:ascii="Arial" w:cs="Arial" w:eastAsia="Arial" w:hAnsi="Arial"/>
          <w:sz w:val="14"/>
          <w:szCs w:val="14"/>
          <w:i w:val="1"/>
          <w:iCs w:val="1"/>
          <w:color w:val="auto"/>
        </w:rPr>
        <w:t>Treatment</w:t>
      </w:r>
      <w:r>
        <w:rPr>
          <w:rFonts w:ascii="Arial" w:cs="Arial" w:eastAsia="Arial" w:hAnsi="Arial"/>
          <w:sz w:val="14"/>
          <w:szCs w:val="14"/>
          <w:color w:val="auto"/>
        </w:rPr>
        <w:t>:  On the Effective Date, the Unexercised Equity Interests will be cancelled, and the Holders of such Unexercised Equity Interests will not</w:t>
      </w:r>
    </w:p>
    <w:p>
      <w:pPr>
        <w:spacing w:after="0" w:line="347" w:lineRule="exact"/>
        <w:rPr>
          <w:rFonts w:ascii="Arial" w:cs="Arial" w:eastAsia="Arial" w:hAnsi="Arial"/>
          <w:sz w:val="14"/>
          <w:szCs w:val="14"/>
          <w:color w:val="auto"/>
        </w:rPr>
      </w:pPr>
    </w:p>
    <w:p>
      <w:pPr>
        <w:ind w:left="240" w:hanging="237"/>
        <w:spacing w:after="0"/>
        <w:tabs>
          <w:tab w:leader="none" w:pos="2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83134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208" w:name="page209"/>
    <w:bookmarkEnd w:id="208"/>
    <w:p>
      <w:pPr>
        <w:ind w:left="1500"/>
        <w:spacing w:after="0"/>
        <w:rPr>
          <w:sz w:val="20"/>
          <w:szCs w:val="20"/>
          <w:color w:val="auto"/>
        </w:rPr>
      </w:pPr>
      <w:r>
        <w:rPr>
          <w:rFonts w:ascii="Arial" w:cs="Arial" w:eastAsia="Arial" w:hAnsi="Arial"/>
          <w:sz w:val="14"/>
          <w:szCs w:val="14"/>
          <w:color w:val="auto"/>
        </w:rPr>
        <w:t>receive any distribution or retain any property on account of such Unexercised Equity Interests.</w:t>
      </w:r>
    </w:p>
    <w:p>
      <w:pPr>
        <w:spacing w:after="0" w:line="171" w:lineRule="exact"/>
        <w:rPr>
          <w:sz w:val="20"/>
          <w:szCs w:val="20"/>
          <w:color w:val="auto"/>
        </w:rPr>
      </w:pPr>
    </w:p>
    <w:p>
      <w:pPr>
        <w:ind w:left="1500" w:right="40" w:hanging="501"/>
        <w:spacing w:after="0" w:line="268" w:lineRule="auto"/>
        <w:tabs>
          <w:tab w:leader="none" w:pos="1508" w:val="left"/>
        </w:tabs>
        <w:numPr>
          <w:ilvl w:val="1"/>
          <w:numId w:val="173"/>
        </w:numPr>
        <w:rPr>
          <w:rFonts w:ascii="Arial" w:cs="Arial" w:eastAsia="Arial" w:hAnsi="Arial"/>
          <w:sz w:val="14"/>
          <w:szCs w:val="14"/>
          <w:color w:val="auto"/>
        </w:rPr>
      </w:pPr>
      <w:r>
        <w:rPr>
          <w:rFonts w:ascii="Arial" w:cs="Arial" w:eastAsia="Arial" w:hAnsi="Arial"/>
          <w:sz w:val="14"/>
          <w:szCs w:val="14"/>
          <w:i w:val="1"/>
          <w:iCs w:val="1"/>
          <w:color w:val="auto"/>
        </w:rPr>
        <w:t>Voting</w:t>
      </w:r>
      <w:r>
        <w:rPr>
          <w:rFonts w:ascii="Arial" w:cs="Arial" w:eastAsia="Arial" w:hAnsi="Arial"/>
          <w:sz w:val="14"/>
          <w:szCs w:val="14"/>
          <w:color w:val="auto"/>
        </w:rPr>
        <w:t>: Class 12 is Impaired, and the Holders of Unexercised Equity Interests in Class 12 will be conclusively deemed to have rejected this Plan pursuant to section 1126(g) of the</w:t>
      </w:r>
      <w:r>
        <w:rPr>
          <w:rFonts w:ascii="Arial" w:cs="Arial" w:eastAsia="Arial" w:hAnsi="Arial"/>
          <w:sz w:val="14"/>
          <w:szCs w:val="14"/>
          <w:i w:val="1"/>
          <w:iCs w:val="1"/>
          <w:color w:val="auto"/>
        </w:rPr>
        <w:t xml:space="preserve"> </w:t>
      </w:r>
      <w:r>
        <w:rPr>
          <w:rFonts w:ascii="Arial" w:cs="Arial" w:eastAsia="Arial" w:hAnsi="Arial"/>
          <w:sz w:val="14"/>
          <w:szCs w:val="14"/>
          <w:color w:val="auto"/>
        </w:rPr>
        <w:t>Bankruptcy Code. Therefore, Holders of Unexercised Equity Interests in Class 12 will not be entitled to vote to accept or reject this Plan.</w:t>
      </w:r>
    </w:p>
    <w:p>
      <w:pPr>
        <w:spacing w:after="0" w:line="138" w:lineRule="exact"/>
        <w:rPr>
          <w:rFonts w:ascii="Arial" w:cs="Arial" w:eastAsia="Arial" w:hAnsi="Arial"/>
          <w:sz w:val="14"/>
          <w:szCs w:val="14"/>
          <w:color w:val="auto"/>
        </w:rPr>
      </w:pPr>
    </w:p>
    <w:p>
      <w:pPr>
        <w:ind w:left="500" w:hanging="497"/>
        <w:spacing w:after="0"/>
        <w:tabs>
          <w:tab w:leader="none" w:pos="500" w:val="left"/>
        </w:tabs>
        <w:numPr>
          <w:ilvl w:val="0"/>
          <w:numId w:val="174"/>
        </w:numPr>
        <w:rPr>
          <w:rFonts w:ascii="Arial" w:cs="Arial" w:eastAsia="Arial" w:hAnsi="Arial"/>
          <w:sz w:val="14"/>
          <w:szCs w:val="14"/>
          <w:i w:val="1"/>
          <w:iCs w:val="1"/>
          <w:color w:val="auto"/>
        </w:rPr>
      </w:pPr>
      <w:r>
        <w:rPr>
          <w:rFonts w:ascii="Arial" w:cs="Arial" w:eastAsia="Arial" w:hAnsi="Arial"/>
          <w:sz w:val="14"/>
          <w:szCs w:val="14"/>
          <w:i w:val="1"/>
          <w:iCs w:val="1"/>
          <w:color w:val="auto"/>
        </w:rPr>
        <w:t>Special Provision Governing Unimpaired Claims</w:t>
      </w:r>
    </w:p>
    <w:p>
      <w:pPr>
        <w:spacing w:after="0" w:line="170" w:lineRule="exact"/>
        <w:rPr>
          <w:rFonts w:ascii="Arial" w:cs="Arial" w:eastAsia="Arial" w:hAnsi="Arial"/>
          <w:sz w:val="14"/>
          <w:szCs w:val="14"/>
          <w:i w:val="1"/>
          <w:iCs w:val="1"/>
          <w:color w:val="auto"/>
        </w:rPr>
      </w:pPr>
    </w:p>
    <w:p>
      <w:pPr>
        <w:ind w:left="500"/>
        <w:spacing w:after="0"/>
        <w:rPr>
          <w:rFonts w:ascii="Arial" w:cs="Arial" w:eastAsia="Arial" w:hAnsi="Arial"/>
          <w:sz w:val="14"/>
          <w:szCs w:val="14"/>
          <w:i w:val="1"/>
          <w:iCs w:val="1"/>
          <w:color w:val="auto"/>
        </w:rPr>
      </w:pPr>
      <w:r>
        <w:rPr>
          <w:rFonts w:ascii="Arial" w:cs="Arial" w:eastAsia="Arial" w:hAnsi="Arial"/>
          <w:sz w:val="13"/>
          <w:szCs w:val="13"/>
          <w:color w:val="auto"/>
        </w:rPr>
        <w:t>Except as otherwise provided herein, nothing under this Plan will affect or limit the Debtors’ or the Reorganized Debtors’ rights and defenses (whether legal or equitable) in respect of any</w:t>
      </w:r>
    </w:p>
    <w:p>
      <w:pPr>
        <w:spacing w:after="0" w:line="26"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Unimpaired Claims, including, without limitation, all rights in respect of legal and equitable defenses to or setoffs or recoupments against any such Unimpaired Claims. For the avoidance of doubt, notwithstanding anything to the contrary in this Plan, the Confirmation Order or any Restructuring Documents, (a) no Unimpaired Claim shall be deemed settled, satisfied, resolved, released, discharged, barred or enjoined by any provision of this Plan, the Confirmation Order or the Restructuring Documents, and (b) the property of each of the Debtors’ Estates that vest in the applicable Reorganized Debtor pursuant to Articles IV.C and VI.E of this Plan shall not be free and clear of such Claims, until an Unimpaired Claim in Class 8 of this Plan has been (x) paid in full in the Allowed amount of such Claim determined in accordance with applicable law, or on terms agreed to between the Holder of such Claim and the Debtors or Reorganized Debtors, as applicable, or in accordance with the terms and conditions of the particular transaction giving rise to such Claim, or (y) otherwise satisfied or disposed of as determined by a court of competent jurisdiction, at which time (in clause (x) or clause (y)) all of the foregoing provisions of this Plan referenced in clause (b) shall apply in all respects as to the applicable Unimpaired Claim. For further avoidance of doubt, Holders of Unimpaired Class 8 Claims shall not be required to file a proof of Claim with the Bankruptcy Court, and, subject to Article X of this Plan, shall retain all their rights under applicable non-bankruptcy law to pursue their claims in any forum with jurisdiction over the parties.</w:t>
      </w:r>
    </w:p>
    <w:p>
      <w:pPr>
        <w:spacing w:after="0" w:line="142" w:lineRule="exact"/>
        <w:rPr>
          <w:sz w:val="20"/>
          <w:szCs w:val="20"/>
          <w:color w:val="auto"/>
        </w:rPr>
      </w:pPr>
    </w:p>
    <w:p>
      <w:pPr>
        <w:ind w:left="520" w:hanging="517"/>
        <w:spacing w:after="0"/>
        <w:tabs>
          <w:tab w:leader="none" w:pos="520" w:val="left"/>
        </w:tabs>
        <w:numPr>
          <w:ilvl w:val="0"/>
          <w:numId w:val="175"/>
        </w:numPr>
        <w:rPr>
          <w:rFonts w:ascii="Arial" w:cs="Arial" w:eastAsia="Arial" w:hAnsi="Arial"/>
          <w:sz w:val="14"/>
          <w:szCs w:val="14"/>
          <w:i w:val="1"/>
          <w:iCs w:val="1"/>
          <w:color w:val="auto"/>
        </w:rPr>
      </w:pPr>
      <w:r>
        <w:rPr>
          <w:rFonts w:ascii="Arial" w:cs="Arial" w:eastAsia="Arial" w:hAnsi="Arial"/>
          <w:sz w:val="14"/>
          <w:szCs w:val="14"/>
          <w:i w:val="1"/>
          <w:iCs w:val="1"/>
          <w:color w:val="auto"/>
        </w:rPr>
        <w:t>Elimination of Vacant Classes</w:t>
      </w:r>
    </w:p>
    <w:p>
      <w:pPr>
        <w:spacing w:after="0" w:line="171"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209" w:name="page210"/>
    <w:bookmarkEnd w:id="209"/>
    <w:p>
      <w:pPr>
        <w:jc w:val="center"/>
        <w:ind w:right="-59"/>
        <w:spacing w:after="0"/>
        <w:rPr>
          <w:sz w:val="20"/>
          <w:szCs w:val="20"/>
          <w:color w:val="auto"/>
        </w:rPr>
      </w:pPr>
      <w:r>
        <w:rPr>
          <w:rFonts w:ascii="Arial" w:cs="Arial" w:eastAsia="Arial" w:hAnsi="Arial"/>
          <w:sz w:val="14"/>
          <w:szCs w:val="14"/>
          <w:b w:val="1"/>
          <w:bCs w:val="1"/>
          <w:color w:val="auto"/>
        </w:rPr>
        <w:t>ARTICLE 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ACCEPTANCE OR REJECTION OF THE PLAN</w:t>
      </w:r>
    </w:p>
    <w:p>
      <w:pPr>
        <w:spacing w:after="0" w:line="175" w:lineRule="exact"/>
        <w:rPr>
          <w:sz w:val="20"/>
          <w:szCs w:val="20"/>
          <w:color w:val="auto"/>
        </w:rPr>
      </w:pPr>
    </w:p>
    <w:p>
      <w:pPr>
        <w:ind w:left="500" w:hanging="497"/>
        <w:spacing w:after="0"/>
        <w:tabs>
          <w:tab w:leader="none" w:pos="500" w:val="left"/>
        </w:tabs>
        <w:numPr>
          <w:ilvl w:val="0"/>
          <w:numId w:val="176"/>
        </w:numPr>
        <w:rPr>
          <w:rFonts w:ascii="Arial" w:cs="Arial" w:eastAsia="Arial" w:hAnsi="Arial"/>
          <w:sz w:val="14"/>
          <w:szCs w:val="14"/>
          <w:i w:val="1"/>
          <w:iCs w:val="1"/>
          <w:color w:val="auto"/>
        </w:rPr>
      </w:pPr>
      <w:r>
        <w:rPr>
          <w:rFonts w:ascii="Arial" w:cs="Arial" w:eastAsia="Arial" w:hAnsi="Arial"/>
          <w:sz w:val="14"/>
          <w:szCs w:val="14"/>
          <w:i w:val="1"/>
          <w:iCs w:val="1"/>
          <w:color w:val="auto"/>
        </w:rPr>
        <w:t>Presumed Acceptance of Plan</w:t>
      </w:r>
    </w:p>
    <w:p>
      <w:pPr>
        <w:spacing w:after="0" w:line="171" w:lineRule="exact"/>
        <w:rPr>
          <w:sz w:val="20"/>
          <w:szCs w:val="20"/>
          <w:color w:val="auto"/>
        </w:rPr>
      </w:pPr>
    </w:p>
    <w:p>
      <w:pPr>
        <w:ind w:right="500" w:firstLine="498"/>
        <w:spacing w:after="0" w:line="268" w:lineRule="auto"/>
        <w:rPr>
          <w:sz w:val="20"/>
          <w:szCs w:val="20"/>
          <w:color w:val="auto"/>
        </w:rPr>
      </w:pPr>
      <w:r>
        <w:rPr>
          <w:rFonts w:ascii="Arial" w:cs="Arial" w:eastAsia="Arial" w:hAnsi="Arial"/>
          <w:sz w:val="14"/>
          <w:szCs w:val="14"/>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38" w:lineRule="exact"/>
        <w:rPr>
          <w:sz w:val="20"/>
          <w:szCs w:val="20"/>
          <w:color w:val="auto"/>
        </w:rPr>
      </w:pPr>
    </w:p>
    <w:p>
      <w:pPr>
        <w:ind w:left="500" w:hanging="497"/>
        <w:spacing w:after="0"/>
        <w:tabs>
          <w:tab w:leader="none" w:pos="500" w:val="left"/>
        </w:tabs>
        <w:numPr>
          <w:ilvl w:val="0"/>
          <w:numId w:val="177"/>
        </w:numPr>
        <w:rPr>
          <w:rFonts w:ascii="Arial" w:cs="Arial" w:eastAsia="Arial" w:hAnsi="Arial"/>
          <w:sz w:val="14"/>
          <w:szCs w:val="14"/>
          <w:i w:val="1"/>
          <w:iCs w:val="1"/>
          <w:color w:val="auto"/>
        </w:rPr>
      </w:pPr>
      <w:r>
        <w:rPr>
          <w:rFonts w:ascii="Arial" w:cs="Arial" w:eastAsia="Arial" w:hAnsi="Arial"/>
          <w:sz w:val="14"/>
          <w:szCs w:val="14"/>
          <w:i w:val="1"/>
          <w:iCs w:val="1"/>
          <w:color w:val="auto"/>
        </w:rPr>
        <w:t>Presumed Rejection of Plan</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38" w:lineRule="exact"/>
        <w:rPr>
          <w:sz w:val="20"/>
          <w:szCs w:val="20"/>
          <w:color w:val="auto"/>
        </w:rPr>
      </w:pPr>
    </w:p>
    <w:p>
      <w:pPr>
        <w:ind w:left="500" w:hanging="497"/>
        <w:spacing w:after="0"/>
        <w:tabs>
          <w:tab w:leader="none" w:pos="500" w:val="left"/>
        </w:tabs>
        <w:numPr>
          <w:ilvl w:val="0"/>
          <w:numId w:val="178"/>
        </w:numPr>
        <w:rPr>
          <w:rFonts w:ascii="Arial" w:cs="Arial" w:eastAsia="Arial" w:hAnsi="Arial"/>
          <w:sz w:val="14"/>
          <w:szCs w:val="14"/>
          <w:i w:val="1"/>
          <w:iCs w:val="1"/>
          <w:color w:val="auto"/>
        </w:rPr>
      </w:pPr>
      <w:r>
        <w:rPr>
          <w:rFonts w:ascii="Arial" w:cs="Arial" w:eastAsia="Arial" w:hAnsi="Arial"/>
          <w:sz w:val="14"/>
          <w:szCs w:val="14"/>
          <w:i w:val="1"/>
          <w:iCs w:val="1"/>
          <w:color w:val="auto"/>
        </w:rPr>
        <w:t>Voting Classes</w:t>
      </w:r>
    </w:p>
    <w:p>
      <w:pPr>
        <w:spacing w:after="0" w:line="17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38" w:lineRule="exact"/>
        <w:rPr>
          <w:sz w:val="20"/>
          <w:szCs w:val="20"/>
          <w:color w:val="auto"/>
        </w:rPr>
      </w:pPr>
    </w:p>
    <w:p>
      <w:pPr>
        <w:ind w:left="520" w:hanging="517"/>
        <w:spacing w:after="0"/>
        <w:tabs>
          <w:tab w:leader="none" w:pos="520" w:val="left"/>
        </w:tabs>
        <w:numPr>
          <w:ilvl w:val="0"/>
          <w:numId w:val="179"/>
        </w:numPr>
        <w:rPr>
          <w:rFonts w:ascii="Arial" w:cs="Arial" w:eastAsia="Arial" w:hAnsi="Arial"/>
          <w:sz w:val="14"/>
          <w:szCs w:val="14"/>
          <w:i w:val="1"/>
          <w:iCs w:val="1"/>
          <w:color w:val="auto"/>
        </w:rPr>
      </w:pPr>
      <w:r>
        <w:rPr>
          <w:rFonts w:ascii="Arial" w:cs="Arial" w:eastAsia="Arial" w:hAnsi="Arial"/>
          <w:sz w:val="14"/>
          <w:szCs w:val="14"/>
          <w:i w:val="1"/>
          <w:iCs w:val="1"/>
          <w:color w:val="auto"/>
        </w:rPr>
        <w:t>Acceptance by Impaired Class of Claims</w:t>
      </w:r>
    </w:p>
    <w:p>
      <w:pPr>
        <w:spacing w:after="0" w:line="171" w:lineRule="exact"/>
        <w:rPr>
          <w:sz w:val="20"/>
          <w:szCs w:val="20"/>
          <w:color w:val="auto"/>
        </w:rPr>
      </w:pPr>
    </w:p>
    <w:p>
      <w:pPr>
        <w:ind w:right="80" w:firstLine="498"/>
        <w:spacing w:after="0" w:line="307" w:lineRule="auto"/>
        <w:rPr>
          <w:sz w:val="20"/>
          <w:szCs w:val="20"/>
          <w:color w:val="auto"/>
        </w:rPr>
      </w:pPr>
      <w:r>
        <w:rPr>
          <w:rFonts w:ascii="Arial" w:cs="Arial" w:eastAsia="Arial" w:hAnsi="Arial"/>
          <w:sz w:val="13"/>
          <w:szCs w:val="13"/>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15"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Pursuant to section 1126(d) of the Bankruptcy Code and except as otherwise provided in section 1126(e) of the Bankruptcy Code, an Impaired Class of Equity Interests has accepted this Plan if the Holders of at least two-thirds (2/3) in amount of the Allowed Equity Interests in such Class actually have voted to accept this Plan.</w:t>
      </w:r>
    </w:p>
    <w:p>
      <w:pPr>
        <w:spacing w:after="0" w:line="138" w:lineRule="exact"/>
        <w:rPr>
          <w:sz w:val="20"/>
          <w:szCs w:val="20"/>
          <w:color w:val="auto"/>
        </w:rPr>
      </w:pPr>
    </w:p>
    <w:p>
      <w:pPr>
        <w:ind w:left="500" w:hanging="497"/>
        <w:spacing w:after="0"/>
        <w:tabs>
          <w:tab w:leader="none" w:pos="500" w:val="left"/>
        </w:tabs>
        <w:numPr>
          <w:ilvl w:val="0"/>
          <w:numId w:val="180"/>
        </w:numPr>
        <w:rPr>
          <w:rFonts w:ascii="Arial" w:cs="Arial" w:eastAsia="Arial" w:hAnsi="Arial"/>
          <w:sz w:val="14"/>
          <w:szCs w:val="14"/>
          <w:i w:val="1"/>
          <w:iCs w:val="1"/>
          <w:color w:val="auto"/>
        </w:rPr>
      </w:pPr>
      <w:r>
        <w:rPr>
          <w:rFonts w:ascii="Arial" w:cs="Arial" w:eastAsia="Arial" w:hAnsi="Arial"/>
          <w:sz w:val="14"/>
          <w:szCs w:val="14"/>
          <w:i w:val="1"/>
          <w:iCs w:val="1"/>
          <w:color w:val="auto"/>
        </w:rPr>
        <w:t>Confirmation Pursuant to Sections 1129(a)(10) and 1129(b) of the Bankruptcy Code; Cram Down</w:t>
      </w:r>
    </w:p>
    <w:p>
      <w:pPr>
        <w:spacing w:after="0" w:line="171" w:lineRule="exact"/>
        <w:rPr>
          <w:sz w:val="20"/>
          <w:szCs w:val="20"/>
          <w:color w:val="auto"/>
        </w:rPr>
      </w:pPr>
    </w:p>
    <w:p>
      <w:pPr>
        <w:ind w:right="220" w:firstLine="498"/>
        <w:spacing w:after="0" w:line="321" w:lineRule="auto"/>
        <w:rPr>
          <w:sz w:val="20"/>
          <w:szCs w:val="20"/>
          <w:color w:val="auto"/>
        </w:rPr>
      </w:pPr>
      <w:r>
        <w:rPr>
          <w:rFonts w:ascii="Arial" w:cs="Arial" w:eastAsia="Arial" w:hAnsi="Arial"/>
          <w:sz w:val="12"/>
          <w:szCs w:val="12"/>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10" w:lineRule="exact"/>
        <w:rPr>
          <w:sz w:val="20"/>
          <w:szCs w:val="20"/>
          <w:color w:val="auto"/>
        </w:rPr>
      </w:pPr>
    </w:p>
    <w:p>
      <w:pPr>
        <w:ind w:left="480" w:hanging="477"/>
        <w:spacing w:after="0"/>
        <w:tabs>
          <w:tab w:leader="none" w:pos="480" w:val="left"/>
        </w:tabs>
        <w:numPr>
          <w:ilvl w:val="0"/>
          <w:numId w:val="181"/>
        </w:numPr>
        <w:rPr>
          <w:rFonts w:ascii="Arial" w:cs="Arial" w:eastAsia="Arial" w:hAnsi="Arial"/>
          <w:sz w:val="14"/>
          <w:szCs w:val="14"/>
          <w:i w:val="1"/>
          <w:iCs w:val="1"/>
          <w:color w:val="auto"/>
        </w:rPr>
      </w:pPr>
      <w:r>
        <w:rPr>
          <w:rFonts w:ascii="Arial" w:cs="Arial" w:eastAsia="Arial" w:hAnsi="Arial"/>
          <w:sz w:val="14"/>
          <w:szCs w:val="14"/>
          <w:i w:val="1"/>
          <w:iCs w:val="1"/>
          <w:color w:val="auto"/>
        </w:rPr>
        <w:t>Votes Solicited in Good Faith</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Persons will be entitled to, and upon the Confirmation Date are hereby granted, the protections of section 1125(e) of the Bankruptcy Code.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1" w:right="27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4"/>
          <w:szCs w:val="14"/>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MEANS FOR IMPLEMENTATION OF THE PLAN</w:t>
      </w:r>
    </w:p>
    <w:p>
      <w:pPr>
        <w:spacing w:after="0" w:line="175" w:lineRule="exact"/>
        <w:rPr>
          <w:sz w:val="20"/>
          <w:szCs w:val="20"/>
          <w:color w:val="auto"/>
        </w:rPr>
      </w:pPr>
    </w:p>
    <w:p>
      <w:pPr>
        <w:ind w:left="500" w:hanging="497"/>
        <w:spacing w:after="0"/>
        <w:tabs>
          <w:tab w:leader="none" w:pos="500" w:val="left"/>
        </w:tabs>
        <w:numPr>
          <w:ilvl w:val="0"/>
          <w:numId w:val="182"/>
        </w:numPr>
        <w:rPr>
          <w:rFonts w:ascii="Arial" w:cs="Arial" w:eastAsia="Arial" w:hAnsi="Arial"/>
          <w:sz w:val="14"/>
          <w:szCs w:val="14"/>
          <w:i w:val="1"/>
          <w:iCs w:val="1"/>
          <w:color w:val="auto"/>
        </w:rPr>
      </w:pPr>
      <w:r>
        <w:rPr>
          <w:rFonts w:ascii="Arial" w:cs="Arial" w:eastAsia="Arial" w:hAnsi="Arial"/>
          <w:sz w:val="14"/>
          <w:szCs w:val="14"/>
          <w:i w:val="1"/>
          <w:iCs w:val="1"/>
          <w:color w:val="auto"/>
        </w:rPr>
        <w:t>Restructuring Transactions</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3"/>
          <w:szCs w:val="13"/>
          <w:b w:val="1"/>
          <w:bCs w:val="1"/>
          <w:u w:val="single" w:color="auto"/>
          <w:color w:val="auto"/>
        </w:rPr>
        <w:t>Restructuring Transactions</w:t>
      </w:r>
      <w:r>
        <w:rPr>
          <w:rFonts w:ascii="Arial" w:cs="Arial" w:eastAsia="Arial" w:hAnsi="Arial"/>
          <w:sz w:val="13"/>
          <w:szCs w:val="13"/>
          <w:color w:val="auto"/>
        </w:rPr>
        <w:t>”).</w:t>
      </w:r>
    </w:p>
    <w:p>
      <w:pPr>
        <w:spacing w:after="0" w:line="140" w:lineRule="exact"/>
        <w:rPr>
          <w:sz w:val="20"/>
          <w:szCs w:val="20"/>
          <w:color w:val="auto"/>
        </w:rPr>
      </w:pPr>
    </w:p>
    <w:p>
      <w:pPr>
        <w:ind w:firstLine="498"/>
        <w:spacing w:after="0" w:line="272" w:lineRule="auto"/>
        <w:rPr>
          <w:sz w:val="20"/>
          <w:szCs w:val="20"/>
          <w:color w:val="auto"/>
        </w:rPr>
      </w:pPr>
      <w:r>
        <w:rPr>
          <w:rFonts w:ascii="Arial" w:cs="Arial" w:eastAsia="Arial" w:hAnsi="Arial"/>
          <w:sz w:val="13"/>
          <w:szCs w:val="13"/>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211" w:name="page212"/>
    <w:bookmarkEnd w:id="211"/>
    <w:p>
      <w:pPr>
        <w:ind w:left="500" w:hanging="497"/>
        <w:spacing w:after="0"/>
        <w:tabs>
          <w:tab w:leader="none" w:pos="500" w:val="left"/>
        </w:tabs>
        <w:numPr>
          <w:ilvl w:val="0"/>
          <w:numId w:val="183"/>
        </w:numPr>
        <w:rPr>
          <w:rFonts w:ascii="Arial" w:cs="Arial" w:eastAsia="Arial" w:hAnsi="Arial"/>
          <w:sz w:val="14"/>
          <w:szCs w:val="14"/>
          <w:i w:val="1"/>
          <w:iCs w:val="1"/>
          <w:color w:val="auto"/>
        </w:rPr>
      </w:pPr>
      <w:r>
        <w:rPr>
          <w:rFonts w:ascii="Arial" w:cs="Arial" w:eastAsia="Arial" w:hAnsi="Arial"/>
          <w:sz w:val="14"/>
          <w:szCs w:val="14"/>
          <w:i w:val="1"/>
          <w:iCs w:val="1"/>
          <w:color w:val="auto"/>
        </w:rPr>
        <w:t>Continued Corporate Existence</w:t>
      </w:r>
    </w:p>
    <w:p>
      <w:pPr>
        <w:spacing w:after="0" w:line="171" w:lineRule="exact"/>
        <w:rPr>
          <w:sz w:val="20"/>
          <w:szCs w:val="20"/>
          <w:color w:val="auto"/>
        </w:rPr>
      </w:pPr>
    </w:p>
    <w:p>
      <w:pPr>
        <w:ind w:right="100" w:firstLine="498"/>
        <w:spacing w:after="0" w:line="250" w:lineRule="auto"/>
        <w:rPr>
          <w:sz w:val="20"/>
          <w:szCs w:val="20"/>
          <w:color w:val="auto"/>
        </w:rPr>
      </w:pPr>
      <w:r>
        <w:rPr>
          <w:rFonts w:ascii="Arial" w:cs="Arial" w:eastAsia="Arial" w:hAnsi="Arial"/>
          <w:sz w:val="14"/>
          <w:szCs w:val="14"/>
          <w:color w:val="auto"/>
        </w:rPr>
        <w:t xml:space="preserve">Subject to the Restructuring Transactions permitted by </w:t>
      </w:r>
      <w:r>
        <w:rPr>
          <w:rFonts w:ascii="Arial" w:cs="Arial" w:eastAsia="Arial" w:hAnsi="Arial"/>
          <w:sz w:val="14"/>
          <w:szCs w:val="14"/>
          <w:u w:val="single" w:color="auto"/>
          <w:color w:val="auto"/>
        </w:rPr>
        <w:t>Article V.A</w:t>
      </w:r>
      <w:r>
        <w:rPr>
          <w:rFonts w:ascii="Arial" w:cs="Arial" w:eastAsia="Arial" w:hAnsi="Arial"/>
          <w:sz w:val="14"/>
          <w:szCs w:val="14"/>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54" w:lineRule="exact"/>
        <w:rPr>
          <w:sz w:val="20"/>
          <w:szCs w:val="20"/>
          <w:color w:val="auto"/>
        </w:rPr>
      </w:pPr>
    </w:p>
    <w:p>
      <w:pPr>
        <w:ind w:left="500" w:hanging="497"/>
        <w:spacing w:after="0"/>
        <w:tabs>
          <w:tab w:leader="none" w:pos="500" w:val="left"/>
        </w:tabs>
        <w:numPr>
          <w:ilvl w:val="0"/>
          <w:numId w:val="184"/>
        </w:numPr>
        <w:rPr>
          <w:rFonts w:ascii="Arial" w:cs="Arial" w:eastAsia="Arial" w:hAnsi="Arial"/>
          <w:sz w:val="14"/>
          <w:szCs w:val="14"/>
          <w:i w:val="1"/>
          <w:iCs w:val="1"/>
          <w:color w:val="auto"/>
        </w:rPr>
      </w:pPr>
      <w:r>
        <w:rPr>
          <w:rFonts w:ascii="Arial" w:cs="Arial" w:eastAsia="Arial" w:hAnsi="Arial"/>
          <w:sz w:val="14"/>
          <w:szCs w:val="14"/>
          <w:i w:val="1"/>
          <w:iCs w:val="1"/>
          <w:color w:val="auto"/>
        </w:rPr>
        <w:t>Vesting of Assets in the Reorganized Debtors Free and Clear of Liens and Claims</w:t>
      </w:r>
    </w:p>
    <w:p>
      <w:pPr>
        <w:spacing w:after="0" w:line="171" w:lineRule="exact"/>
        <w:rPr>
          <w:sz w:val="20"/>
          <w:szCs w:val="20"/>
          <w:color w:val="auto"/>
        </w:rPr>
      </w:pPr>
    </w:p>
    <w:p>
      <w:pPr>
        <w:ind w:firstLine="498"/>
        <w:spacing w:after="0" w:line="291" w:lineRule="auto"/>
        <w:rPr>
          <w:sz w:val="20"/>
          <w:szCs w:val="20"/>
          <w:color w:val="auto"/>
        </w:rPr>
      </w:pPr>
      <w:r>
        <w:rPr>
          <w:rFonts w:ascii="Arial" w:cs="Arial" w:eastAsia="Arial" w:hAnsi="Arial"/>
          <w:sz w:val="12"/>
          <w:szCs w:val="12"/>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of this Plan (including, without limitation, the Liens that secure the Exit Facility). On and after the Effective Date, the Reorganized Debtors may (i) operate their respective businesses, (ii) use, acquire, and dispose of their respective property and</w:t>
      </w:r>
    </w:p>
    <w:p>
      <w:pPr>
        <w:spacing w:after="0" w:line="1" w:lineRule="exact"/>
        <w:rPr>
          <w:sz w:val="20"/>
          <w:szCs w:val="20"/>
          <w:color w:val="auto"/>
        </w:rPr>
      </w:pPr>
    </w:p>
    <w:p>
      <w:pPr>
        <w:ind w:right="120" w:firstLine="3"/>
        <w:spacing w:after="0" w:line="254" w:lineRule="auto"/>
        <w:tabs>
          <w:tab w:leader="none" w:pos="24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48" w:lineRule="exact"/>
        <w:rPr>
          <w:sz w:val="20"/>
          <w:szCs w:val="20"/>
          <w:color w:val="auto"/>
        </w:rPr>
      </w:pPr>
    </w:p>
    <w:p>
      <w:pPr>
        <w:ind w:left="520" w:hanging="517"/>
        <w:spacing w:after="0"/>
        <w:tabs>
          <w:tab w:leader="none" w:pos="520" w:val="left"/>
        </w:tabs>
        <w:numPr>
          <w:ilvl w:val="0"/>
          <w:numId w:val="186"/>
        </w:numPr>
        <w:rPr>
          <w:rFonts w:ascii="Arial" w:cs="Arial" w:eastAsia="Arial" w:hAnsi="Arial"/>
          <w:sz w:val="14"/>
          <w:szCs w:val="14"/>
          <w:i w:val="1"/>
          <w:iCs w:val="1"/>
          <w:color w:val="auto"/>
        </w:rPr>
      </w:pPr>
      <w:r>
        <w:rPr>
          <w:rFonts w:ascii="Arial" w:cs="Arial" w:eastAsia="Arial" w:hAnsi="Arial"/>
          <w:sz w:val="14"/>
          <w:szCs w:val="14"/>
          <w:i w:val="1"/>
          <w:iCs w:val="1"/>
          <w:color w:val="auto"/>
        </w:rPr>
        <w:t>Exit Facility Loan Documents</w:t>
      </w:r>
    </w:p>
    <w:p>
      <w:pPr>
        <w:spacing w:after="0" w:line="171" w:lineRule="exact"/>
        <w:rPr>
          <w:sz w:val="20"/>
          <w:szCs w:val="20"/>
          <w:color w:val="auto"/>
        </w:rPr>
      </w:pPr>
    </w:p>
    <w:p>
      <w:pPr>
        <w:ind w:right="20" w:firstLine="498"/>
        <w:spacing w:after="0" w:line="276" w:lineRule="auto"/>
        <w:rPr>
          <w:sz w:val="20"/>
          <w:szCs w:val="20"/>
          <w:color w:val="auto"/>
        </w:rPr>
      </w:pPr>
      <w:r>
        <w:rPr>
          <w:rFonts w:ascii="Arial" w:cs="Arial" w:eastAsia="Arial" w:hAnsi="Arial"/>
          <w:sz w:val="13"/>
          <w:szCs w:val="13"/>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12" w:name="page213"/>
    <w:bookmarkEnd w:id="212"/>
    <w:p>
      <w:pPr>
        <w:spacing w:after="0"/>
        <w:rPr>
          <w:sz w:val="20"/>
          <w:szCs w:val="20"/>
          <w:color w:val="auto"/>
        </w:rPr>
      </w:pPr>
      <w:r>
        <w:rPr>
          <w:rFonts w:ascii="Arial" w:cs="Arial" w:eastAsia="Arial" w:hAnsi="Arial"/>
          <w:sz w:val="13"/>
          <w:szCs w:val="13"/>
          <w:color w:val="auto"/>
        </w:rPr>
        <w:t>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ind w:left="500" w:hanging="497"/>
        <w:spacing w:after="0"/>
        <w:tabs>
          <w:tab w:leader="none" w:pos="500" w:val="left"/>
        </w:tabs>
        <w:numPr>
          <w:ilvl w:val="0"/>
          <w:numId w:val="187"/>
        </w:numPr>
        <w:rPr>
          <w:rFonts w:ascii="Arial" w:cs="Arial" w:eastAsia="Arial" w:hAnsi="Arial"/>
          <w:sz w:val="14"/>
          <w:szCs w:val="14"/>
          <w:i w:val="1"/>
          <w:iCs w:val="1"/>
          <w:color w:val="auto"/>
        </w:rPr>
      </w:pPr>
      <w:r>
        <w:rPr>
          <w:rFonts w:ascii="Arial" w:cs="Arial" w:eastAsia="Arial" w:hAnsi="Arial"/>
          <w:sz w:val="14"/>
          <w:szCs w:val="14"/>
          <w:i w:val="1"/>
          <w:iCs w:val="1"/>
          <w:color w:val="auto"/>
        </w:rPr>
        <w:t>Exit Senior Unsecured Notes Indenture</w:t>
      </w:r>
    </w:p>
    <w:p>
      <w:pPr>
        <w:spacing w:after="0" w:line="171" w:lineRule="exact"/>
        <w:rPr>
          <w:sz w:val="20"/>
          <w:szCs w:val="20"/>
          <w:color w:val="auto"/>
        </w:rPr>
      </w:pPr>
    </w:p>
    <w:p>
      <w:pPr>
        <w:ind w:firstLine="498"/>
        <w:spacing w:after="0" w:line="299" w:lineRule="auto"/>
        <w:rPr>
          <w:sz w:val="20"/>
          <w:szCs w:val="20"/>
          <w:color w:val="auto"/>
        </w:rPr>
      </w:pPr>
      <w:r>
        <w:rPr>
          <w:rFonts w:ascii="Arial" w:cs="Arial" w:eastAsia="Arial" w:hAnsi="Arial"/>
          <w:sz w:val="12"/>
          <w:szCs w:val="12"/>
          <w:color w:val="auto"/>
        </w:rPr>
        <w:t>On the Effective Date, the Debtors and the Reorganized Debtors, as applicable, will be authorized to execute and deliver, and to consummate the transactions contemplated by, the Exit Senior Unsecured Notes Indenture and other Exit Senior Unsecured Notes Documents in each case in form and substance acceptable to the Required Consenting Noteholders in the manner set forth in the Restructuring Support Agreement, and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Exit Senior Unsecured Notes Indenture). The Exit Senior Unsecured Notes will consist of the Rights Offering Notes and the Takeback Notes to be issued under the Exit Senior Unsecured Notes Indenture. On the Effective Date, the Exit Senior Unsecured Notes Indenture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24" w:lineRule="exact"/>
        <w:rPr>
          <w:sz w:val="20"/>
          <w:szCs w:val="20"/>
          <w:color w:val="auto"/>
        </w:rPr>
      </w:pPr>
    </w:p>
    <w:p>
      <w:pPr>
        <w:ind w:left="480" w:hanging="477"/>
        <w:spacing w:after="0"/>
        <w:tabs>
          <w:tab w:leader="none" w:pos="480" w:val="left"/>
        </w:tabs>
        <w:numPr>
          <w:ilvl w:val="0"/>
          <w:numId w:val="188"/>
        </w:numPr>
        <w:rPr>
          <w:rFonts w:ascii="Arial" w:cs="Arial" w:eastAsia="Arial" w:hAnsi="Arial"/>
          <w:sz w:val="14"/>
          <w:szCs w:val="14"/>
          <w:i w:val="1"/>
          <w:iCs w:val="1"/>
          <w:color w:val="auto"/>
        </w:rPr>
      </w:pPr>
      <w:r>
        <w:rPr>
          <w:rFonts w:ascii="Arial" w:cs="Arial" w:eastAsia="Arial" w:hAnsi="Arial"/>
          <w:sz w:val="14"/>
          <w:szCs w:val="14"/>
          <w:i w:val="1"/>
          <w:iCs w:val="1"/>
          <w:color w:val="auto"/>
        </w:rPr>
        <w:t>New Common Stock; Book Entry</w:t>
      </w:r>
    </w:p>
    <w:p>
      <w:pPr>
        <w:spacing w:after="0" w:line="171"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38" w:lineRule="exact"/>
        <w:rPr>
          <w:sz w:val="20"/>
          <w:szCs w:val="20"/>
          <w:color w:val="auto"/>
        </w:rPr>
      </w:pPr>
    </w:p>
    <w:p>
      <w:pPr>
        <w:ind w:right="60" w:firstLine="498"/>
        <w:spacing w:after="0" w:line="258" w:lineRule="auto"/>
        <w:rPr>
          <w:sz w:val="20"/>
          <w:szCs w:val="20"/>
          <w:color w:val="auto"/>
        </w:rPr>
      </w:pPr>
      <w:r>
        <w:rPr>
          <w:rFonts w:ascii="Arial" w:cs="Arial" w:eastAsia="Arial" w:hAnsi="Arial"/>
          <w:sz w:val="14"/>
          <w:szCs w:val="14"/>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45" w:lineRule="exact"/>
        <w:rPr>
          <w:sz w:val="20"/>
          <w:szCs w:val="20"/>
          <w:color w:val="auto"/>
        </w:rPr>
      </w:pPr>
    </w:p>
    <w:p>
      <w:pPr>
        <w:ind w:left="520" w:hanging="517"/>
        <w:spacing w:after="0"/>
        <w:tabs>
          <w:tab w:leader="none" w:pos="520" w:val="left"/>
        </w:tabs>
        <w:numPr>
          <w:ilvl w:val="0"/>
          <w:numId w:val="189"/>
        </w:numPr>
        <w:rPr>
          <w:rFonts w:ascii="Arial" w:cs="Arial" w:eastAsia="Arial" w:hAnsi="Arial"/>
          <w:sz w:val="14"/>
          <w:szCs w:val="14"/>
          <w:i w:val="1"/>
          <w:iCs w:val="1"/>
          <w:color w:val="auto"/>
        </w:rPr>
      </w:pPr>
      <w:r>
        <w:rPr>
          <w:rFonts w:ascii="Arial" w:cs="Arial" w:eastAsia="Arial" w:hAnsi="Arial"/>
          <w:sz w:val="14"/>
          <w:szCs w:val="14"/>
          <w:i w:val="1"/>
          <w:iCs w:val="1"/>
          <w:color w:val="auto"/>
        </w:rPr>
        <w:t>Listing of New Securities and Transfer Restrictions</w:t>
      </w:r>
    </w:p>
    <w:p>
      <w:pPr>
        <w:spacing w:after="0" w:line="171" w:lineRule="exact"/>
        <w:rPr>
          <w:sz w:val="20"/>
          <w:szCs w:val="20"/>
          <w:color w:val="auto"/>
        </w:rPr>
      </w:pPr>
    </w:p>
    <w:p>
      <w:pPr>
        <w:ind w:right="120" w:firstLine="498"/>
        <w:spacing w:after="0" w:line="276" w:lineRule="auto"/>
        <w:rPr>
          <w:sz w:val="20"/>
          <w:szCs w:val="20"/>
          <w:color w:val="auto"/>
        </w:rPr>
      </w:pPr>
      <w:r>
        <w:rPr>
          <w:rFonts w:ascii="Arial" w:cs="Arial" w:eastAsia="Arial" w:hAnsi="Arial"/>
          <w:sz w:val="13"/>
          <w:szCs w:val="13"/>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Exchange Act.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13" w:name="page214"/>
    <w:bookmarkEnd w:id="213"/>
    <w:p>
      <w:pPr>
        <w:ind w:left="520" w:hanging="517"/>
        <w:spacing w:after="0"/>
        <w:tabs>
          <w:tab w:leader="none" w:pos="520" w:val="left"/>
        </w:tabs>
        <w:numPr>
          <w:ilvl w:val="0"/>
          <w:numId w:val="190"/>
        </w:numPr>
        <w:rPr>
          <w:rFonts w:ascii="Arial" w:cs="Arial" w:eastAsia="Arial" w:hAnsi="Arial"/>
          <w:sz w:val="14"/>
          <w:szCs w:val="14"/>
          <w:i w:val="1"/>
          <w:iCs w:val="1"/>
          <w:color w:val="auto"/>
        </w:rPr>
      </w:pPr>
      <w:r>
        <w:rPr>
          <w:rFonts w:ascii="Arial" w:cs="Arial" w:eastAsia="Arial" w:hAnsi="Arial"/>
          <w:sz w:val="14"/>
          <w:szCs w:val="14"/>
          <w:i w:val="1"/>
          <w:iCs w:val="1"/>
          <w:color w:val="auto"/>
        </w:rPr>
        <w:t>New Registration Rights Agreement</w:t>
      </w:r>
    </w:p>
    <w:p>
      <w:pPr>
        <w:spacing w:after="0" w:line="171" w:lineRule="exact"/>
        <w:rPr>
          <w:sz w:val="20"/>
          <w:szCs w:val="20"/>
          <w:color w:val="auto"/>
        </w:rPr>
      </w:pPr>
    </w:p>
    <w:p>
      <w:pPr>
        <w:ind w:firstLine="498"/>
        <w:spacing w:after="0" w:line="287" w:lineRule="auto"/>
        <w:rPr>
          <w:sz w:val="20"/>
          <w:szCs w:val="20"/>
          <w:color w:val="auto"/>
        </w:rPr>
      </w:pPr>
      <w:r>
        <w:rPr>
          <w:rFonts w:ascii="Arial" w:cs="Arial" w:eastAsia="Arial" w:hAnsi="Arial"/>
          <w:sz w:val="13"/>
          <w:szCs w:val="13"/>
          <w:color w:val="auto"/>
        </w:rPr>
        <w:t xml:space="preserve">Subject to the Restructuring Transactions permitted by </w:t>
      </w:r>
      <w:r>
        <w:rPr>
          <w:rFonts w:ascii="Arial" w:cs="Arial" w:eastAsia="Arial" w:hAnsi="Arial"/>
          <w:sz w:val="13"/>
          <w:szCs w:val="13"/>
          <w:u w:val="single" w:color="auto"/>
          <w:color w:val="auto"/>
        </w:rPr>
        <w:t>Article V.A</w:t>
      </w:r>
      <w:r>
        <w:rPr>
          <w:rFonts w:ascii="Arial" w:cs="Arial" w:eastAsia="Arial" w:hAnsi="Arial"/>
          <w:sz w:val="13"/>
          <w:szCs w:val="13"/>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28" w:lineRule="exact"/>
        <w:rPr>
          <w:sz w:val="20"/>
          <w:szCs w:val="20"/>
          <w:color w:val="auto"/>
        </w:rPr>
      </w:pPr>
    </w:p>
    <w:p>
      <w:pPr>
        <w:ind w:left="500" w:hanging="497"/>
        <w:spacing w:after="0"/>
        <w:tabs>
          <w:tab w:leader="none" w:pos="500" w:val="left"/>
        </w:tabs>
        <w:numPr>
          <w:ilvl w:val="0"/>
          <w:numId w:val="191"/>
        </w:numPr>
        <w:rPr>
          <w:rFonts w:ascii="Arial" w:cs="Arial" w:eastAsia="Arial" w:hAnsi="Arial"/>
          <w:sz w:val="14"/>
          <w:szCs w:val="14"/>
          <w:i w:val="1"/>
          <w:iCs w:val="1"/>
          <w:color w:val="auto"/>
        </w:rPr>
      </w:pPr>
      <w:r>
        <w:rPr>
          <w:rFonts w:ascii="Arial" w:cs="Arial" w:eastAsia="Arial" w:hAnsi="Arial"/>
          <w:sz w:val="14"/>
          <w:szCs w:val="14"/>
          <w:i w:val="1"/>
          <w:iCs w:val="1"/>
          <w:color w:val="auto"/>
        </w:rPr>
        <w:t>New Management Incentive Plan</w:t>
      </w:r>
    </w:p>
    <w:p>
      <w:pPr>
        <w:spacing w:after="0" w:line="171" w:lineRule="exact"/>
        <w:rPr>
          <w:sz w:val="20"/>
          <w:szCs w:val="20"/>
          <w:color w:val="auto"/>
        </w:rPr>
      </w:pPr>
    </w:p>
    <w:p>
      <w:pPr>
        <w:ind w:right="280" w:firstLine="498"/>
        <w:spacing w:after="0" w:line="258" w:lineRule="auto"/>
        <w:rPr>
          <w:sz w:val="20"/>
          <w:szCs w:val="20"/>
          <w:color w:val="auto"/>
        </w:rPr>
      </w:pPr>
      <w:r>
        <w:rPr>
          <w:rFonts w:ascii="Arial" w:cs="Arial" w:eastAsia="Arial" w:hAnsi="Arial"/>
          <w:sz w:val="14"/>
          <w:szCs w:val="14"/>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45" w:lineRule="exact"/>
        <w:rPr>
          <w:sz w:val="20"/>
          <w:szCs w:val="20"/>
          <w:color w:val="auto"/>
        </w:rPr>
      </w:pPr>
    </w:p>
    <w:p>
      <w:pPr>
        <w:ind w:left="500" w:hanging="497"/>
        <w:spacing w:after="0"/>
        <w:tabs>
          <w:tab w:leader="none" w:pos="500" w:val="left"/>
        </w:tabs>
        <w:numPr>
          <w:ilvl w:val="0"/>
          <w:numId w:val="192"/>
        </w:numPr>
        <w:rPr>
          <w:rFonts w:ascii="Arial" w:cs="Arial" w:eastAsia="Arial" w:hAnsi="Arial"/>
          <w:sz w:val="14"/>
          <w:szCs w:val="14"/>
          <w:i w:val="1"/>
          <w:iCs w:val="1"/>
          <w:color w:val="auto"/>
        </w:rPr>
      </w:pPr>
      <w:r>
        <w:rPr>
          <w:rFonts w:ascii="Arial" w:cs="Arial" w:eastAsia="Arial" w:hAnsi="Arial"/>
          <w:sz w:val="14"/>
          <w:szCs w:val="14"/>
          <w:i w:val="1"/>
          <w:iCs w:val="1"/>
          <w:color w:val="auto"/>
        </w:rPr>
        <w:t>New Warrants</w:t>
      </w:r>
    </w:p>
    <w:p>
      <w:pPr>
        <w:spacing w:after="0" w:line="171" w:lineRule="exact"/>
        <w:rPr>
          <w:sz w:val="20"/>
          <w:szCs w:val="20"/>
          <w:color w:val="auto"/>
        </w:rPr>
      </w:pPr>
    </w:p>
    <w:p>
      <w:pPr>
        <w:jc w:val="both"/>
        <w:ind w:right="100" w:firstLine="498"/>
        <w:spacing w:after="0" w:line="321" w:lineRule="auto"/>
        <w:rPr>
          <w:sz w:val="20"/>
          <w:szCs w:val="20"/>
          <w:color w:val="auto"/>
        </w:rPr>
      </w:pPr>
      <w:r>
        <w:rPr>
          <w:rFonts w:ascii="Arial" w:cs="Arial" w:eastAsia="Arial" w:hAnsi="Arial"/>
          <w:sz w:val="12"/>
          <w:szCs w:val="12"/>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10" w:lineRule="exact"/>
        <w:rPr>
          <w:sz w:val="20"/>
          <w:szCs w:val="20"/>
          <w:color w:val="auto"/>
        </w:rPr>
      </w:pPr>
    </w:p>
    <w:p>
      <w:pPr>
        <w:ind w:left="500" w:hanging="497"/>
        <w:spacing w:after="0"/>
        <w:tabs>
          <w:tab w:leader="none" w:pos="500" w:val="left"/>
        </w:tabs>
        <w:numPr>
          <w:ilvl w:val="0"/>
          <w:numId w:val="193"/>
        </w:numPr>
        <w:rPr>
          <w:rFonts w:ascii="Arial" w:cs="Arial" w:eastAsia="Arial" w:hAnsi="Arial"/>
          <w:sz w:val="14"/>
          <w:szCs w:val="14"/>
          <w:i w:val="1"/>
          <w:iCs w:val="1"/>
          <w:color w:val="auto"/>
        </w:rPr>
      </w:pPr>
      <w:r>
        <w:rPr>
          <w:rFonts w:ascii="Arial" w:cs="Arial" w:eastAsia="Arial" w:hAnsi="Arial"/>
          <w:sz w:val="14"/>
          <w:szCs w:val="14"/>
          <w:i w:val="1"/>
          <w:iCs w:val="1"/>
          <w:color w:val="auto"/>
        </w:rPr>
        <w:t>Plan Securities and Related Documentation; Exemption from Securities Laws</w:t>
      </w:r>
    </w:p>
    <w:p>
      <w:pPr>
        <w:spacing w:after="0" w:line="171" w:lineRule="exact"/>
        <w:rPr>
          <w:sz w:val="20"/>
          <w:szCs w:val="20"/>
          <w:color w:val="auto"/>
        </w:rPr>
      </w:pPr>
    </w:p>
    <w:p>
      <w:pPr>
        <w:ind w:right="120" w:firstLine="498"/>
        <w:spacing w:after="0" w:line="276" w:lineRule="auto"/>
        <w:rPr>
          <w:sz w:val="20"/>
          <w:szCs w:val="20"/>
          <w:color w:val="auto"/>
        </w:rPr>
      </w:pPr>
      <w:r>
        <w:rPr>
          <w:rFonts w:ascii="Arial" w:cs="Arial" w:eastAsia="Arial" w:hAnsi="Arial"/>
          <w:sz w:val="13"/>
          <w:szCs w:val="13"/>
          <w:color w:val="auto"/>
        </w:rPr>
        <w:t>On and after the Effective Date, the Debtors and the Reorganized Debtors, as applicable, are authorized to and will provide or issue, as applicable, the New Common Stock, the New Warrants, and the Exit Senior Unsecured Notes to be distributed and issued under this Plan (collectively, the “</w:t>
      </w:r>
      <w:r>
        <w:rPr>
          <w:rFonts w:ascii="Arial" w:cs="Arial" w:eastAsia="Arial" w:hAnsi="Arial"/>
          <w:sz w:val="13"/>
          <w:szCs w:val="13"/>
          <w:b w:val="1"/>
          <w:bCs w:val="1"/>
          <w:u w:val="single" w:color="auto"/>
          <w:color w:val="auto"/>
        </w:rPr>
        <w:t>Plan Securities</w:t>
      </w:r>
      <w:r>
        <w:rPr>
          <w:rFonts w:ascii="Arial" w:cs="Arial" w:eastAsia="Arial" w:hAnsi="Arial"/>
          <w:sz w:val="13"/>
          <w:szCs w:val="13"/>
          <w:color w:val="auto"/>
        </w:rPr>
        <w:t>”) and any and all other notes, stock, instruments, certificates, and other documents or agreements required to be distributed, issued, executed or delivered pursuant to or in connection with this Plan (collectively, the “</w:t>
      </w:r>
      <w:r>
        <w:rPr>
          <w:rFonts w:ascii="Arial" w:cs="Arial" w:eastAsia="Arial" w:hAnsi="Arial"/>
          <w:sz w:val="13"/>
          <w:szCs w:val="13"/>
          <w:b w:val="1"/>
          <w:bCs w:val="1"/>
          <w:u w:val="single" w:color="auto"/>
          <w:color w:val="auto"/>
        </w:rPr>
        <w:t>Plan Securities and Documents</w:t>
      </w:r>
      <w:r>
        <w:rPr>
          <w:rFonts w:ascii="Arial" w:cs="Arial" w:eastAsia="Arial" w:hAnsi="Arial"/>
          <w:sz w:val="13"/>
          <w:szCs w:val="13"/>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36"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The offer, distribution, and issuance, as applicable, of the Plan Securities and Documents under this Plan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14" w:name="page215"/>
    <w:bookmarkEnd w:id="214"/>
    <w:p>
      <w:pPr>
        <w:ind w:right="60"/>
        <w:spacing w:after="0" w:line="276" w:lineRule="auto"/>
        <w:rPr>
          <w:sz w:val="20"/>
          <w:szCs w:val="20"/>
          <w:color w:val="auto"/>
        </w:rPr>
      </w:pPr>
      <w:r>
        <w:rPr>
          <w:rFonts w:ascii="Arial" w:cs="Arial" w:eastAsia="Arial" w:hAnsi="Arial"/>
          <w:sz w:val="13"/>
          <w:szCs w:val="13"/>
          <w:color w:val="auto"/>
        </w:rPr>
        <w:t xml:space="preserve">security) pursuant to section 1145(a) of the Bankruptcy Code and/or other applicable exemptions;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that Rights Offering Notes issued to the Backstop Parties pursuant to the Backstop Commitment Agreement (but not the Rights Offering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36" w:lineRule="exact"/>
        <w:rPr>
          <w:sz w:val="20"/>
          <w:szCs w:val="20"/>
          <w:color w:val="auto"/>
        </w:rPr>
      </w:pPr>
    </w:p>
    <w:p>
      <w:pPr>
        <w:ind w:right="200" w:firstLine="498"/>
        <w:spacing w:after="0" w:line="280" w:lineRule="auto"/>
        <w:rPr>
          <w:sz w:val="20"/>
          <w:szCs w:val="20"/>
          <w:color w:val="auto"/>
        </w:rPr>
      </w:pPr>
      <w:r>
        <w:rPr>
          <w:rFonts w:ascii="Arial" w:cs="Arial" w:eastAsia="Arial" w:hAnsi="Arial"/>
          <w:sz w:val="13"/>
          <w:szCs w:val="13"/>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32" w:lineRule="exact"/>
        <w:rPr>
          <w:sz w:val="20"/>
          <w:szCs w:val="20"/>
          <w:color w:val="auto"/>
        </w:rPr>
      </w:pPr>
    </w:p>
    <w:p>
      <w:pPr>
        <w:ind w:left="500" w:hanging="497"/>
        <w:spacing w:after="0"/>
        <w:tabs>
          <w:tab w:leader="none" w:pos="500" w:val="left"/>
        </w:tabs>
        <w:numPr>
          <w:ilvl w:val="0"/>
          <w:numId w:val="194"/>
        </w:numPr>
        <w:rPr>
          <w:rFonts w:ascii="Arial" w:cs="Arial" w:eastAsia="Arial" w:hAnsi="Arial"/>
          <w:sz w:val="14"/>
          <w:szCs w:val="14"/>
          <w:i w:val="1"/>
          <w:iCs w:val="1"/>
          <w:color w:val="auto"/>
        </w:rPr>
      </w:pPr>
      <w:r>
        <w:rPr>
          <w:rFonts w:ascii="Arial" w:cs="Arial" w:eastAsia="Arial" w:hAnsi="Arial"/>
          <w:sz w:val="14"/>
          <w:szCs w:val="14"/>
          <w:i w:val="1"/>
          <w:iCs w:val="1"/>
          <w:color w:val="auto"/>
        </w:rPr>
        <w:t>Release of Liens and Claims</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 xml:space="preserve">To the fullest extent provided under section 1141(c) and other applicable provisions of the Bankruptcy Code, except as otherwise provided herein (including, without limitation, </w:t>
      </w:r>
      <w:r>
        <w:rPr>
          <w:rFonts w:ascii="Arial" w:cs="Arial" w:eastAsia="Arial" w:hAnsi="Arial"/>
          <w:sz w:val="13"/>
          <w:szCs w:val="13"/>
          <w:u w:val="single" w:color="auto"/>
          <w:color w:val="auto"/>
        </w:rPr>
        <w:t>Article V.D</w:t>
      </w:r>
      <w:r>
        <w:rPr>
          <w:rFonts w:ascii="Arial" w:cs="Arial" w:eastAsia="Arial" w:hAnsi="Arial"/>
          <w:sz w:val="13"/>
          <w:szCs w:val="13"/>
          <w:color w:val="auto"/>
        </w:rPr>
        <w:t xml:space="preserve"> of this Plan and to the extent any cash collateral is provided to satisfy or cash collateralize the Prepetition A&amp;R Claims) or in any contract, instrument, release or other agreement or document entered into or delivered in connection with this Plan, on the Effective Date and concurrently with the applicable distributions made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hereof,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Facility Liens or liens securing the Prepetition A&amp;R Claims, Prepetition Term Loan Claims or the Prepetition Revolving Credit Claims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38" w:lineRule="exact"/>
        <w:rPr>
          <w:sz w:val="20"/>
          <w:szCs w:val="20"/>
          <w:color w:val="auto"/>
        </w:rPr>
      </w:pPr>
    </w:p>
    <w:p>
      <w:pPr>
        <w:ind w:left="500" w:hanging="497"/>
        <w:spacing w:after="0"/>
        <w:tabs>
          <w:tab w:leader="none" w:pos="500" w:val="left"/>
        </w:tabs>
        <w:numPr>
          <w:ilvl w:val="0"/>
          <w:numId w:val="195"/>
        </w:numPr>
        <w:rPr>
          <w:rFonts w:ascii="Arial" w:cs="Arial" w:eastAsia="Arial" w:hAnsi="Arial"/>
          <w:sz w:val="14"/>
          <w:szCs w:val="14"/>
          <w:i w:val="1"/>
          <w:iCs w:val="1"/>
          <w:color w:val="auto"/>
        </w:rPr>
      </w:pPr>
      <w:r>
        <w:rPr>
          <w:rFonts w:ascii="Arial" w:cs="Arial" w:eastAsia="Arial" w:hAnsi="Arial"/>
          <w:sz w:val="14"/>
          <w:szCs w:val="14"/>
          <w:i w:val="1"/>
          <w:iCs w:val="1"/>
          <w:color w:val="auto"/>
        </w:rPr>
        <w:t>Corporate Governance Documents of the Reorganized Debtors</w:t>
      </w:r>
    </w:p>
    <w:p>
      <w:pPr>
        <w:spacing w:after="0" w:line="170" w:lineRule="exact"/>
        <w:rPr>
          <w:rFonts w:ascii="Arial" w:cs="Arial" w:eastAsia="Arial" w:hAnsi="Arial"/>
          <w:sz w:val="14"/>
          <w:szCs w:val="14"/>
          <w:i w:val="1"/>
          <w:iCs w:val="1"/>
          <w:color w:val="auto"/>
        </w:rPr>
      </w:pPr>
    </w:p>
    <w:p>
      <w:pPr>
        <w:ind w:left="500"/>
        <w:spacing w:after="0"/>
        <w:rPr>
          <w:rFonts w:ascii="Arial" w:cs="Arial" w:eastAsia="Arial" w:hAnsi="Arial"/>
          <w:sz w:val="14"/>
          <w:szCs w:val="14"/>
          <w:i w:val="1"/>
          <w:iCs w:val="1"/>
          <w:color w:val="auto"/>
        </w:rPr>
      </w:pPr>
      <w:r>
        <w:rPr>
          <w:rFonts w:ascii="Arial" w:cs="Arial" w:eastAsia="Arial" w:hAnsi="Arial"/>
          <w:sz w:val="13"/>
          <w:szCs w:val="13"/>
          <w:color w:val="auto"/>
        </w:rPr>
        <w:t>The respective corporate governance documents of each of the Debtors will be amended and restated or replaced (as applicable) by the Amended/New Corporate Governance Documents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215" w:name="page216"/>
    <w:bookmarkEnd w:id="215"/>
    <w:p>
      <w:pPr>
        <w:ind w:right="100"/>
        <w:spacing w:after="0" w:line="274" w:lineRule="auto"/>
        <w:rPr>
          <w:sz w:val="20"/>
          <w:szCs w:val="20"/>
          <w:color w:val="auto"/>
        </w:rPr>
      </w:pPr>
      <w:r>
        <w:rPr>
          <w:rFonts w:ascii="Arial" w:cs="Arial" w:eastAsia="Arial" w:hAnsi="Arial"/>
          <w:sz w:val="13"/>
          <w:szCs w:val="13"/>
          <w:color w:val="auto"/>
        </w:rPr>
        <w:t>(subject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Amended/New Corporate Governance Documents, amend and restate their respective corporate governance documents as permitted thereby and by applicable law.</w:t>
      </w:r>
    </w:p>
    <w:p>
      <w:pPr>
        <w:spacing w:after="0" w:line="138" w:lineRule="exact"/>
        <w:rPr>
          <w:sz w:val="20"/>
          <w:szCs w:val="20"/>
          <w:color w:val="auto"/>
        </w:rPr>
      </w:pPr>
    </w:p>
    <w:p>
      <w:pPr>
        <w:ind w:left="500" w:hanging="497"/>
        <w:spacing w:after="0"/>
        <w:tabs>
          <w:tab w:leader="none" w:pos="500" w:val="left"/>
        </w:tabs>
        <w:numPr>
          <w:ilvl w:val="0"/>
          <w:numId w:val="196"/>
        </w:numPr>
        <w:rPr>
          <w:rFonts w:ascii="Arial" w:cs="Arial" w:eastAsia="Arial" w:hAnsi="Arial"/>
          <w:sz w:val="14"/>
          <w:szCs w:val="14"/>
          <w:i w:val="1"/>
          <w:iCs w:val="1"/>
          <w:color w:val="auto"/>
        </w:rPr>
      </w:pPr>
      <w:r>
        <w:rPr>
          <w:rFonts w:ascii="Arial" w:cs="Arial" w:eastAsia="Arial" w:hAnsi="Arial"/>
          <w:sz w:val="14"/>
          <w:szCs w:val="14"/>
          <w:i w:val="1"/>
          <w:iCs w:val="1"/>
          <w:color w:val="auto"/>
        </w:rPr>
        <w:t>Directors and Officers of the Reorganized Debtors</w:t>
      </w:r>
    </w:p>
    <w:p>
      <w:pPr>
        <w:spacing w:after="0" w:line="171" w:lineRule="exact"/>
        <w:rPr>
          <w:sz w:val="20"/>
          <w:szCs w:val="20"/>
          <w:color w:val="auto"/>
        </w:rPr>
      </w:pPr>
    </w:p>
    <w:p>
      <w:pPr>
        <w:ind w:right="60" w:firstLine="498"/>
        <w:spacing w:after="0" w:line="258" w:lineRule="auto"/>
        <w:rPr>
          <w:sz w:val="20"/>
          <w:szCs w:val="20"/>
          <w:color w:val="auto"/>
        </w:rPr>
      </w:pPr>
      <w:r>
        <w:rPr>
          <w:rFonts w:ascii="Arial" w:cs="Arial" w:eastAsia="Arial" w:hAnsi="Arial"/>
          <w:sz w:val="14"/>
          <w:szCs w:val="14"/>
          <w:color w:val="auto"/>
        </w:rPr>
        <w:t>The New Board will be composed of seven (7) directors, one of whom will be Mark A. McCollum, the chief executive officer of the Debtors, and six (6) 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45"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52" w:lineRule="exact"/>
        <w:rPr>
          <w:sz w:val="20"/>
          <w:szCs w:val="20"/>
          <w:color w:val="auto"/>
        </w:rPr>
      </w:pPr>
    </w:p>
    <w:p>
      <w:pPr>
        <w:ind w:left="520" w:hanging="517"/>
        <w:spacing w:after="0"/>
        <w:tabs>
          <w:tab w:leader="none" w:pos="520" w:val="left"/>
        </w:tabs>
        <w:numPr>
          <w:ilvl w:val="0"/>
          <w:numId w:val="197"/>
        </w:numPr>
        <w:rPr>
          <w:rFonts w:ascii="Arial" w:cs="Arial" w:eastAsia="Arial" w:hAnsi="Arial"/>
          <w:sz w:val="14"/>
          <w:szCs w:val="14"/>
          <w:i w:val="1"/>
          <w:iCs w:val="1"/>
          <w:color w:val="auto"/>
        </w:rPr>
      </w:pPr>
      <w:r>
        <w:rPr>
          <w:rFonts w:ascii="Arial" w:cs="Arial" w:eastAsia="Arial" w:hAnsi="Arial"/>
          <w:sz w:val="14"/>
          <w:szCs w:val="14"/>
          <w:i w:val="1"/>
          <w:iCs w:val="1"/>
          <w:color w:val="auto"/>
        </w:rPr>
        <w:t>Corporate Action</w:t>
      </w:r>
    </w:p>
    <w:p>
      <w:pPr>
        <w:spacing w:after="0" w:line="171" w:lineRule="exact"/>
        <w:rPr>
          <w:sz w:val="20"/>
          <w:szCs w:val="20"/>
          <w:color w:val="auto"/>
        </w:rPr>
      </w:pPr>
    </w:p>
    <w:p>
      <w:pPr>
        <w:ind w:right="40" w:firstLine="498"/>
        <w:spacing w:after="0" w:line="276" w:lineRule="auto"/>
        <w:rPr>
          <w:sz w:val="20"/>
          <w:szCs w:val="20"/>
          <w:color w:val="auto"/>
        </w:rPr>
      </w:pPr>
      <w:r>
        <w:rPr>
          <w:rFonts w:ascii="Arial" w:cs="Arial" w:eastAsia="Arial" w:hAnsi="Arial"/>
          <w:sz w:val="13"/>
          <w:szCs w:val="13"/>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color w:val="auto"/>
        </w:rPr>
        <w:t>such actions being in accordance with the law of the Debtor’s jurisdiction of incorporation to the extent such non-bankruptcy law is applicable).</w:t>
      </w:r>
    </w:p>
    <w:p>
      <w:pPr>
        <w:spacing w:after="0" w:line="171" w:lineRule="exact"/>
        <w:rPr>
          <w:sz w:val="20"/>
          <w:szCs w:val="20"/>
          <w:color w:val="auto"/>
        </w:rPr>
      </w:pPr>
    </w:p>
    <w:p>
      <w:pPr>
        <w:ind w:right="40" w:firstLine="498"/>
        <w:spacing w:after="0" w:line="254" w:lineRule="auto"/>
        <w:rPr>
          <w:sz w:val="20"/>
          <w:szCs w:val="20"/>
          <w:color w:val="auto"/>
        </w:rPr>
      </w:pPr>
      <w:r>
        <w:rPr>
          <w:rFonts w:ascii="Arial" w:cs="Arial" w:eastAsia="Arial" w:hAnsi="Arial"/>
          <w:sz w:val="14"/>
          <w:szCs w:val="14"/>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48"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36" w:lineRule="exact"/>
        <w:rPr>
          <w:sz w:val="20"/>
          <w:szCs w:val="20"/>
          <w:color w:val="auto"/>
        </w:rPr>
      </w:pPr>
    </w:p>
    <w:p>
      <w:pPr>
        <w:ind w:right="60" w:firstLine="498"/>
        <w:spacing w:after="0" w:line="304" w:lineRule="auto"/>
        <w:rPr>
          <w:sz w:val="20"/>
          <w:szCs w:val="20"/>
          <w:color w:val="auto"/>
        </w:rPr>
      </w:pPr>
      <w:r>
        <w:rPr>
          <w:rFonts w:ascii="Arial" w:cs="Arial" w:eastAsia="Arial" w:hAnsi="Arial"/>
          <w:sz w:val="12"/>
          <w:szCs w:val="12"/>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22" w:lineRule="exact"/>
        <w:rPr>
          <w:sz w:val="20"/>
          <w:szCs w:val="20"/>
          <w:color w:val="auto"/>
        </w:rPr>
      </w:pPr>
    </w:p>
    <w:p>
      <w:pPr>
        <w:ind w:left="480" w:hanging="477"/>
        <w:spacing w:after="0"/>
        <w:tabs>
          <w:tab w:leader="none" w:pos="480" w:val="left"/>
        </w:tabs>
        <w:numPr>
          <w:ilvl w:val="0"/>
          <w:numId w:val="198"/>
        </w:numPr>
        <w:rPr>
          <w:rFonts w:ascii="Arial" w:cs="Arial" w:eastAsia="Arial" w:hAnsi="Arial"/>
          <w:sz w:val="14"/>
          <w:szCs w:val="14"/>
          <w:i w:val="1"/>
          <w:iCs w:val="1"/>
          <w:color w:val="auto"/>
        </w:rPr>
      </w:pPr>
      <w:r>
        <w:rPr>
          <w:rFonts w:ascii="Arial" w:cs="Arial" w:eastAsia="Arial" w:hAnsi="Arial"/>
          <w:sz w:val="14"/>
          <w:szCs w:val="14"/>
          <w:i w:val="1"/>
          <w:iCs w:val="1"/>
          <w:color w:val="auto"/>
        </w:rPr>
        <w:t>Cancellation of Notes, Certificates and Instruments</w:t>
      </w:r>
    </w:p>
    <w:p>
      <w:pPr>
        <w:spacing w:after="0" w:line="171"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 xml:space="preserve">On the Effective Date, except to the extent otherwise provided in this Plan (including, without limitation, </w:t>
      </w:r>
      <w:r>
        <w:rPr>
          <w:rFonts w:ascii="Arial" w:cs="Arial" w:eastAsia="Arial" w:hAnsi="Arial"/>
          <w:sz w:val="14"/>
          <w:szCs w:val="14"/>
          <w:u w:val="single" w:color="auto"/>
          <w:color w:val="auto"/>
        </w:rPr>
        <w:t>Article II.B and Article V.B</w:t>
      </w:r>
      <w:r>
        <w:rPr>
          <w:rFonts w:ascii="Arial" w:cs="Arial" w:eastAsia="Arial" w:hAnsi="Arial"/>
          <w:sz w:val="14"/>
          <w:szCs w:val="14"/>
          <w:color w:val="auto"/>
        </w:rPr>
        <w:t xml:space="preserve">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Financing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17" w:name="page218"/>
    <w:bookmarkEnd w:id="217"/>
    <w:p>
      <w:pPr>
        <w:spacing w:after="0" w:line="271" w:lineRule="auto"/>
        <w:rPr>
          <w:sz w:val="20"/>
          <w:szCs w:val="20"/>
          <w:color w:val="auto"/>
        </w:rPr>
      </w:pPr>
      <w:r>
        <w:rPr>
          <w:rFonts w:ascii="Arial" w:cs="Arial" w:eastAsia="Arial" w:hAnsi="Arial"/>
          <w:sz w:val="13"/>
          <w:szCs w:val="13"/>
          <w:color w:val="auto"/>
        </w:rPr>
        <w:t xml:space="preserve">Documents and the DIP Financing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Obligations as contemplated by </w:t>
      </w:r>
      <w:r>
        <w:rPr>
          <w:rFonts w:ascii="Arial" w:cs="Arial" w:eastAsia="Arial" w:hAnsi="Arial"/>
          <w:sz w:val="13"/>
          <w:szCs w:val="13"/>
          <w:u w:val="single" w:color="auto"/>
          <w:color w:val="auto"/>
        </w:rPr>
        <w:t>Article II.B</w:t>
      </w:r>
      <w:r>
        <w:rPr>
          <w:rFonts w:ascii="Arial" w:cs="Arial" w:eastAsia="Arial" w:hAnsi="Arial"/>
          <w:sz w:val="13"/>
          <w:szCs w:val="13"/>
          <w:color w:val="auto"/>
        </w:rPr>
        <w:t xml:space="preserve">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provided, further, that the foregoing provisions shall not apply to any Class 8 General Unsecured Claims. For the avoidance of doubt, nothing in this Plan or the Confirmation Order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38" w:lineRule="exact"/>
        <w:rPr>
          <w:sz w:val="20"/>
          <w:szCs w:val="20"/>
          <w:color w:val="auto"/>
        </w:rPr>
      </w:pPr>
    </w:p>
    <w:p>
      <w:pPr>
        <w:ind w:left="520" w:hanging="517"/>
        <w:spacing w:after="0"/>
        <w:tabs>
          <w:tab w:leader="none" w:pos="520" w:val="left"/>
        </w:tabs>
        <w:numPr>
          <w:ilvl w:val="0"/>
          <w:numId w:val="199"/>
        </w:numPr>
        <w:rPr>
          <w:rFonts w:ascii="Arial" w:cs="Arial" w:eastAsia="Arial" w:hAnsi="Arial"/>
          <w:sz w:val="14"/>
          <w:szCs w:val="14"/>
          <w:i w:val="1"/>
          <w:iCs w:val="1"/>
          <w:color w:val="auto"/>
        </w:rPr>
      </w:pPr>
      <w:r>
        <w:rPr>
          <w:rFonts w:ascii="Arial" w:cs="Arial" w:eastAsia="Arial" w:hAnsi="Arial"/>
          <w:sz w:val="14"/>
          <w:szCs w:val="14"/>
          <w:i w:val="1"/>
          <w:iCs w:val="1"/>
          <w:color w:val="auto"/>
        </w:rPr>
        <w:t>Existing Equity Interests</w:t>
      </w:r>
    </w:p>
    <w:p>
      <w:pPr>
        <w:spacing w:after="0" w:line="171" w:lineRule="exact"/>
        <w:rPr>
          <w:sz w:val="20"/>
          <w:szCs w:val="20"/>
          <w:color w:val="auto"/>
        </w:rPr>
      </w:pPr>
    </w:p>
    <w:p>
      <w:pPr>
        <w:ind w:right="320" w:firstLine="498"/>
        <w:spacing w:after="0" w:line="268" w:lineRule="auto"/>
        <w:rPr>
          <w:sz w:val="20"/>
          <w:szCs w:val="20"/>
          <w:color w:val="auto"/>
        </w:rPr>
      </w:pPr>
      <w:r>
        <w:rPr>
          <w:rFonts w:ascii="Arial" w:cs="Arial" w:eastAsia="Arial" w:hAnsi="Arial"/>
          <w:sz w:val="14"/>
          <w:szCs w:val="14"/>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38" w:lineRule="exact"/>
        <w:rPr>
          <w:sz w:val="20"/>
          <w:szCs w:val="20"/>
          <w:color w:val="auto"/>
        </w:rPr>
      </w:pPr>
    </w:p>
    <w:p>
      <w:pPr>
        <w:ind w:right="80" w:firstLine="498"/>
        <w:spacing w:after="0" w:line="252" w:lineRule="auto"/>
        <w:rPr>
          <w:sz w:val="20"/>
          <w:szCs w:val="20"/>
          <w:color w:val="auto"/>
        </w:rPr>
      </w:pPr>
      <w:r>
        <w:rPr>
          <w:rFonts w:ascii="Arial" w:cs="Arial" w:eastAsia="Arial" w:hAnsi="Arial"/>
          <w:sz w:val="14"/>
          <w:szCs w:val="14"/>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51" w:lineRule="exact"/>
        <w:rPr>
          <w:sz w:val="20"/>
          <w:szCs w:val="20"/>
          <w:color w:val="auto"/>
        </w:rPr>
      </w:pPr>
    </w:p>
    <w:p>
      <w:pPr>
        <w:ind w:left="500" w:hanging="497"/>
        <w:spacing w:after="0"/>
        <w:tabs>
          <w:tab w:leader="none" w:pos="500" w:val="left"/>
        </w:tabs>
        <w:numPr>
          <w:ilvl w:val="0"/>
          <w:numId w:val="200"/>
        </w:numPr>
        <w:rPr>
          <w:rFonts w:ascii="Arial" w:cs="Arial" w:eastAsia="Arial" w:hAnsi="Arial"/>
          <w:sz w:val="14"/>
          <w:szCs w:val="14"/>
          <w:i w:val="1"/>
          <w:iCs w:val="1"/>
          <w:color w:val="auto"/>
        </w:rPr>
      </w:pPr>
      <w:r>
        <w:rPr>
          <w:rFonts w:ascii="Arial" w:cs="Arial" w:eastAsia="Arial" w:hAnsi="Arial"/>
          <w:sz w:val="14"/>
          <w:szCs w:val="14"/>
          <w:i w:val="1"/>
          <w:iCs w:val="1"/>
          <w:color w:val="auto"/>
        </w:rPr>
        <w:t>Sources of Cash for Plan Distributions</w:t>
      </w:r>
    </w:p>
    <w:p>
      <w:pPr>
        <w:spacing w:after="0" w:line="171" w:lineRule="exact"/>
        <w:rPr>
          <w:sz w:val="20"/>
          <w:szCs w:val="20"/>
          <w:color w:val="auto"/>
        </w:rPr>
      </w:pPr>
    </w:p>
    <w:p>
      <w:pPr>
        <w:ind w:right="120" w:firstLine="498"/>
        <w:spacing w:after="0" w:line="287" w:lineRule="auto"/>
        <w:rPr>
          <w:sz w:val="20"/>
          <w:szCs w:val="20"/>
          <w:color w:val="auto"/>
        </w:rPr>
      </w:pPr>
      <w:r>
        <w:rPr>
          <w:rFonts w:ascii="Arial" w:cs="Arial" w:eastAsia="Arial" w:hAnsi="Arial"/>
          <w:sz w:val="13"/>
          <w:szCs w:val="13"/>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18" w:name="page219"/>
    <w:bookmarkEnd w:id="218"/>
    <w:p>
      <w:pPr>
        <w:ind w:right="100"/>
        <w:spacing w:after="0" w:line="258" w:lineRule="auto"/>
        <w:rPr>
          <w:sz w:val="20"/>
          <w:szCs w:val="20"/>
          <w:color w:val="auto"/>
        </w:rPr>
      </w:pPr>
      <w:r>
        <w:rPr>
          <w:rFonts w:ascii="Arial" w:cs="Arial" w:eastAsia="Arial" w:hAnsi="Arial"/>
          <w:sz w:val="14"/>
          <w:szCs w:val="14"/>
          <w:color w:val="auto"/>
        </w:rPr>
        <w:t>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this Plan and the DIP Orders.</w:t>
      </w:r>
    </w:p>
    <w:p>
      <w:pPr>
        <w:spacing w:after="0" w:line="145" w:lineRule="exact"/>
        <w:rPr>
          <w:sz w:val="20"/>
          <w:szCs w:val="20"/>
          <w:color w:val="auto"/>
        </w:rPr>
      </w:pPr>
    </w:p>
    <w:p>
      <w:pPr>
        <w:ind w:left="500" w:hanging="497"/>
        <w:spacing w:after="0"/>
        <w:tabs>
          <w:tab w:leader="none" w:pos="500" w:val="left"/>
        </w:tabs>
        <w:numPr>
          <w:ilvl w:val="0"/>
          <w:numId w:val="201"/>
        </w:numPr>
        <w:rPr>
          <w:rFonts w:ascii="Arial" w:cs="Arial" w:eastAsia="Arial" w:hAnsi="Arial"/>
          <w:sz w:val="14"/>
          <w:szCs w:val="14"/>
          <w:i w:val="1"/>
          <w:iCs w:val="1"/>
          <w:color w:val="auto"/>
        </w:rPr>
      </w:pPr>
      <w:r>
        <w:rPr>
          <w:rFonts w:ascii="Arial" w:cs="Arial" w:eastAsia="Arial" w:hAnsi="Arial"/>
          <w:sz w:val="14"/>
          <w:szCs w:val="14"/>
          <w:i w:val="1"/>
          <w:iCs w:val="1"/>
          <w:color w:val="auto"/>
        </w:rPr>
        <w:t>Funding and Use of Professional Fee Claim Reserve</w:t>
      </w:r>
    </w:p>
    <w:p>
      <w:pPr>
        <w:spacing w:after="0" w:line="171" w:lineRule="exact"/>
        <w:rPr>
          <w:sz w:val="20"/>
          <w:szCs w:val="20"/>
          <w:color w:val="auto"/>
        </w:rPr>
      </w:pPr>
    </w:p>
    <w:p>
      <w:pPr>
        <w:ind w:right="160" w:firstLine="498"/>
        <w:spacing w:after="0" w:line="258" w:lineRule="auto"/>
        <w:rPr>
          <w:sz w:val="20"/>
          <w:szCs w:val="20"/>
          <w:color w:val="auto"/>
        </w:rPr>
      </w:pPr>
      <w:r>
        <w:rPr>
          <w:rFonts w:ascii="Arial" w:cs="Arial" w:eastAsia="Arial" w:hAnsi="Arial"/>
          <w:sz w:val="14"/>
          <w:szCs w:val="14"/>
          <w:color w:val="auto"/>
        </w:rPr>
        <w:t>On or before the Effective Date, the Debtors will fund the Professional Fee Claim Reserve in such amount as determined by the Debtors, with the consent of the Required Consenting Noteholders and in consultation with the Committee or as determined by order of the Bankruptcy Court, as necessary in order to be able to pay in full in Cash the obligations and liabilities for which such reserve was established.</w:t>
      </w:r>
    </w:p>
    <w:p>
      <w:pPr>
        <w:spacing w:after="0" w:line="145"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48" w:lineRule="exact"/>
        <w:rPr>
          <w:sz w:val="20"/>
          <w:szCs w:val="20"/>
          <w:color w:val="auto"/>
        </w:rPr>
      </w:pPr>
    </w:p>
    <w:p>
      <w:pPr>
        <w:jc w:val="both"/>
        <w:ind w:right="60" w:firstLine="498"/>
        <w:spacing w:after="0" w:line="287" w:lineRule="auto"/>
        <w:rPr>
          <w:sz w:val="20"/>
          <w:szCs w:val="20"/>
          <w:color w:val="auto"/>
        </w:rPr>
      </w:pPr>
      <w:r>
        <w:rPr>
          <w:rFonts w:ascii="Arial" w:cs="Arial" w:eastAsia="Arial" w:hAnsi="Arial"/>
          <w:sz w:val="13"/>
          <w:szCs w:val="13"/>
          <w:color w:val="auto"/>
        </w:rPr>
        <w:t xml:space="preserve">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3"/>
          <w:szCs w:val="13"/>
          <w:u w:val="single" w:color="auto"/>
          <w:color w:val="auto"/>
        </w:rPr>
        <w:t>Article II.A</w:t>
      </w:r>
      <w:r>
        <w:rPr>
          <w:rFonts w:ascii="Arial" w:cs="Arial" w:eastAsia="Arial" w:hAnsi="Arial"/>
          <w:sz w:val="13"/>
          <w:szCs w:val="13"/>
          <w:color w:val="auto"/>
        </w:rPr>
        <w:t xml:space="preserve"> of this Plan.</w:t>
      </w:r>
    </w:p>
    <w:p>
      <w:pPr>
        <w:spacing w:after="0" w:line="128"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48" w:lineRule="exact"/>
        <w:rPr>
          <w:sz w:val="20"/>
          <w:szCs w:val="20"/>
          <w:color w:val="auto"/>
        </w:rPr>
      </w:pPr>
    </w:p>
    <w:p>
      <w:pPr>
        <w:ind w:left="500" w:hanging="497"/>
        <w:spacing w:after="0"/>
        <w:tabs>
          <w:tab w:leader="none" w:pos="500" w:val="left"/>
        </w:tabs>
        <w:numPr>
          <w:ilvl w:val="0"/>
          <w:numId w:val="202"/>
        </w:numPr>
        <w:rPr>
          <w:rFonts w:ascii="Arial" w:cs="Arial" w:eastAsia="Arial" w:hAnsi="Arial"/>
          <w:sz w:val="14"/>
          <w:szCs w:val="14"/>
          <w:i w:val="1"/>
          <w:iCs w:val="1"/>
          <w:color w:val="auto"/>
        </w:rPr>
      </w:pPr>
      <w:r>
        <w:rPr>
          <w:rFonts w:ascii="Arial" w:cs="Arial" w:eastAsia="Arial" w:hAnsi="Arial"/>
          <w:sz w:val="14"/>
          <w:szCs w:val="14"/>
          <w:i w:val="1"/>
          <w:iCs w:val="1"/>
          <w:color w:val="auto"/>
        </w:rPr>
        <w:t>Payment of Fees and Expenses of Certain Creditors</w:t>
      </w:r>
    </w:p>
    <w:p>
      <w:pPr>
        <w:spacing w:after="0" w:line="171" w:lineRule="exact"/>
        <w:rPr>
          <w:sz w:val="20"/>
          <w:szCs w:val="20"/>
          <w:color w:val="auto"/>
        </w:rPr>
      </w:pPr>
    </w:p>
    <w:p>
      <w:pPr>
        <w:ind w:right="220" w:firstLine="498"/>
        <w:spacing w:after="0" w:line="258" w:lineRule="auto"/>
        <w:rPr>
          <w:sz w:val="20"/>
          <w:szCs w:val="20"/>
          <w:color w:val="auto"/>
        </w:rPr>
      </w:pPr>
      <w:r>
        <w:rPr>
          <w:rFonts w:ascii="Arial" w:cs="Arial" w:eastAsia="Arial" w:hAnsi="Arial"/>
          <w:sz w:val="14"/>
          <w:szCs w:val="14"/>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19" w:name="page220"/>
    <w:bookmarkEnd w:id="219"/>
    <w:p>
      <w:pPr>
        <w:ind w:left="520" w:hanging="517"/>
        <w:spacing w:after="0"/>
        <w:tabs>
          <w:tab w:leader="none" w:pos="520" w:val="left"/>
        </w:tabs>
        <w:numPr>
          <w:ilvl w:val="0"/>
          <w:numId w:val="203"/>
        </w:numPr>
        <w:rPr>
          <w:rFonts w:ascii="Arial" w:cs="Arial" w:eastAsia="Arial" w:hAnsi="Arial"/>
          <w:sz w:val="14"/>
          <w:szCs w:val="14"/>
          <w:i w:val="1"/>
          <w:iCs w:val="1"/>
          <w:color w:val="auto"/>
        </w:rPr>
      </w:pPr>
      <w:r>
        <w:rPr>
          <w:rFonts w:ascii="Arial" w:cs="Arial" w:eastAsia="Arial" w:hAnsi="Arial"/>
          <w:sz w:val="14"/>
          <w:szCs w:val="14"/>
          <w:i w:val="1"/>
          <w:iCs w:val="1"/>
          <w:color w:val="auto"/>
        </w:rPr>
        <w:t>Payment of Fees and Expenses of the Prepetition Notes Indenture Trustee</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and the fees and expenses of the Prepetition Notes Indenture Trustee solely in its capacity as Distribution Agent under this Plan),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38" w:lineRule="exact"/>
        <w:rPr>
          <w:sz w:val="20"/>
          <w:szCs w:val="20"/>
          <w:color w:val="auto"/>
        </w:rPr>
      </w:pPr>
    </w:p>
    <w:p>
      <w:pPr>
        <w:ind w:left="480" w:hanging="477"/>
        <w:spacing w:after="0"/>
        <w:tabs>
          <w:tab w:leader="none" w:pos="480" w:val="left"/>
        </w:tabs>
        <w:numPr>
          <w:ilvl w:val="0"/>
          <w:numId w:val="204"/>
        </w:numPr>
        <w:rPr>
          <w:rFonts w:ascii="Arial" w:cs="Arial" w:eastAsia="Arial" w:hAnsi="Arial"/>
          <w:sz w:val="14"/>
          <w:szCs w:val="14"/>
          <w:i w:val="1"/>
          <w:iCs w:val="1"/>
          <w:color w:val="auto"/>
        </w:rPr>
      </w:pPr>
      <w:r>
        <w:rPr>
          <w:rFonts w:ascii="Arial" w:cs="Arial" w:eastAsia="Arial" w:hAnsi="Arial"/>
          <w:sz w:val="14"/>
          <w:szCs w:val="14"/>
          <w:i w:val="1"/>
          <w:iCs w:val="1"/>
          <w:color w:val="auto"/>
        </w:rPr>
        <w:t>Rights Offering</w:t>
      </w:r>
    </w:p>
    <w:p>
      <w:pPr>
        <w:spacing w:after="0" w:line="171" w:lineRule="exact"/>
        <w:rPr>
          <w:sz w:val="20"/>
          <w:szCs w:val="20"/>
          <w:color w:val="auto"/>
        </w:rPr>
      </w:pPr>
    </w:p>
    <w:p>
      <w:pPr>
        <w:ind w:right="20" w:firstLine="498"/>
        <w:spacing w:after="0" w:line="299" w:lineRule="auto"/>
        <w:rPr>
          <w:sz w:val="20"/>
          <w:szCs w:val="20"/>
          <w:color w:val="auto"/>
        </w:rPr>
      </w:pPr>
      <w:r>
        <w:rPr>
          <w:rFonts w:ascii="Arial" w:cs="Arial" w:eastAsia="Arial" w:hAnsi="Arial"/>
          <w:sz w:val="12"/>
          <w:szCs w:val="12"/>
          <w:color w:val="auto"/>
        </w:rPr>
        <w:t>The Debtors will distribute the Subscription Rights for the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Rights Offering Notes on the Effective Date under the Exit Senior Unsecured Notes Indenture and in accordance with this Plan and the Rights Offering Procedures. Pursuant to the Backstop Commitment Agreement, the Backstop Parties will purchase any of the Rights Offering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TREATMENT OF EXECUTORY CONTRACTS AND UNEXPIRED LEASES</w:t>
      </w:r>
    </w:p>
    <w:p>
      <w:pPr>
        <w:spacing w:after="0" w:line="175" w:lineRule="exact"/>
        <w:rPr>
          <w:sz w:val="20"/>
          <w:szCs w:val="20"/>
          <w:color w:val="auto"/>
        </w:rPr>
      </w:pPr>
    </w:p>
    <w:p>
      <w:pPr>
        <w:ind w:left="500" w:hanging="497"/>
        <w:spacing w:after="0"/>
        <w:tabs>
          <w:tab w:leader="none" w:pos="500" w:val="left"/>
        </w:tabs>
        <w:numPr>
          <w:ilvl w:val="0"/>
          <w:numId w:val="205"/>
        </w:numPr>
        <w:rPr>
          <w:rFonts w:ascii="Arial" w:cs="Arial" w:eastAsia="Arial" w:hAnsi="Arial"/>
          <w:sz w:val="14"/>
          <w:szCs w:val="14"/>
          <w:i w:val="1"/>
          <w:iCs w:val="1"/>
          <w:color w:val="auto"/>
        </w:rPr>
      </w:pPr>
      <w:r>
        <w:rPr>
          <w:rFonts w:ascii="Arial" w:cs="Arial" w:eastAsia="Arial" w:hAnsi="Arial"/>
          <w:sz w:val="14"/>
          <w:szCs w:val="14"/>
          <w:i w:val="1"/>
          <w:iCs w:val="1"/>
          <w:color w:val="auto"/>
        </w:rPr>
        <w:t>Assumption of Executory Contracts and Unexpired Leases</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38" w:lineRule="exact"/>
        <w:rPr>
          <w:sz w:val="20"/>
          <w:szCs w:val="20"/>
          <w:color w:val="auto"/>
        </w:rPr>
      </w:pPr>
    </w:p>
    <w:p>
      <w:pPr>
        <w:jc w:val="right"/>
        <w:ind w:left="5660" w:right="5640" w:hanging="5159"/>
        <w:spacing w:after="0" w:line="441" w:lineRule="auto"/>
        <w:tabs>
          <w:tab w:leader="none" w:pos="101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have been assumed or rejected by the Debtors by prior order of the Bankruptcy Court;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211455</wp:posOffset>
            </wp:positionV>
            <wp:extent cx="729742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20" w:name="page221"/>
    <w:bookmarkEnd w:id="220"/>
    <w:p>
      <w:pPr>
        <w:ind w:left="1020" w:hanging="519"/>
        <w:spacing w:after="0"/>
        <w:tabs>
          <w:tab w:leader="none" w:pos="102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are the subject of a motion to reject filed by the Debtors pending on the Effective Date;</w:t>
      </w:r>
    </w:p>
    <w:p>
      <w:pPr>
        <w:spacing w:after="0" w:line="170" w:lineRule="exact"/>
        <w:rPr>
          <w:rFonts w:ascii="Arial" w:cs="Arial" w:eastAsia="Arial" w:hAnsi="Arial"/>
          <w:sz w:val="14"/>
          <w:szCs w:val="14"/>
          <w:color w:val="auto"/>
        </w:rPr>
      </w:pPr>
    </w:p>
    <w:p>
      <w:pPr>
        <w:ind w:left="1020" w:hanging="519"/>
        <w:spacing w:after="0"/>
        <w:tabs>
          <w:tab w:leader="none" w:pos="102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are identified by the Debtors (with the consent of the Required Consenting Noteholders) and Filed in the Plan Supplement; or</w:t>
      </w:r>
    </w:p>
    <w:p>
      <w:pPr>
        <w:spacing w:after="0" w:line="170" w:lineRule="exact"/>
        <w:rPr>
          <w:rFonts w:ascii="Arial" w:cs="Arial" w:eastAsia="Arial" w:hAnsi="Arial"/>
          <w:sz w:val="14"/>
          <w:szCs w:val="14"/>
          <w:color w:val="auto"/>
        </w:rPr>
      </w:pPr>
    </w:p>
    <w:p>
      <w:pPr>
        <w:ind w:left="1020" w:hanging="519"/>
        <w:spacing w:after="0"/>
        <w:tabs>
          <w:tab w:leader="none" w:pos="102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are rejected or terminated by the Debtors pursuant to the terms of this Plan.</w:t>
      </w:r>
    </w:p>
    <w:p>
      <w:pPr>
        <w:spacing w:after="0" w:line="171"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38" w:lineRule="exact"/>
        <w:rPr>
          <w:sz w:val="20"/>
          <w:szCs w:val="20"/>
          <w:color w:val="auto"/>
        </w:rPr>
      </w:pPr>
    </w:p>
    <w:p>
      <w:pPr>
        <w:ind w:right="20" w:firstLine="498"/>
        <w:spacing w:after="0" w:line="270" w:lineRule="auto"/>
        <w:rPr>
          <w:sz w:val="20"/>
          <w:szCs w:val="20"/>
          <w:color w:val="auto"/>
        </w:rPr>
      </w:pPr>
      <w:r>
        <w:rPr>
          <w:rFonts w:ascii="Arial" w:cs="Arial" w:eastAsia="Arial" w:hAnsi="Arial"/>
          <w:sz w:val="13"/>
          <w:szCs w:val="13"/>
          <w:color w:val="auto"/>
        </w:rPr>
        <w:t xml:space="preserve">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w:t>
      </w:r>
      <w:r>
        <w:rPr>
          <w:rFonts w:ascii="Arial" w:cs="Arial" w:eastAsia="Arial" w:hAnsi="Arial"/>
          <w:sz w:val="13"/>
          <w:szCs w:val="13"/>
          <w:u w:val="single" w:color="auto"/>
          <w:color w:val="auto"/>
        </w:rPr>
        <w:t>Article VI</w:t>
      </w:r>
      <w:r>
        <w:rPr>
          <w:rFonts w:ascii="Arial" w:cs="Arial" w:eastAsia="Arial" w:hAnsi="Arial"/>
          <w:sz w:val="13"/>
          <w:szCs w:val="13"/>
          <w:color w:val="auto"/>
        </w:rPr>
        <w:t>.</w:t>
      </w:r>
    </w:p>
    <w:p>
      <w:pPr>
        <w:spacing w:after="0" w:line="142" w:lineRule="exact"/>
        <w:rPr>
          <w:sz w:val="20"/>
          <w:szCs w:val="20"/>
          <w:color w:val="auto"/>
        </w:rPr>
      </w:pPr>
    </w:p>
    <w:p>
      <w:pPr>
        <w:ind w:right="20" w:firstLine="498"/>
        <w:spacing w:after="0" w:line="353" w:lineRule="auto"/>
        <w:rPr>
          <w:sz w:val="20"/>
          <w:szCs w:val="20"/>
          <w:color w:val="auto"/>
        </w:rPr>
      </w:pPr>
      <w:r>
        <w:rPr>
          <w:rFonts w:ascii="Arial" w:cs="Arial" w:eastAsia="Arial" w:hAnsi="Arial"/>
          <w:sz w:val="12"/>
          <w:szCs w:val="12"/>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92"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38" w:lineRule="exact"/>
        <w:rPr>
          <w:sz w:val="20"/>
          <w:szCs w:val="20"/>
          <w:color w:val="auto"/>
        </w:rPr>
      </w:pPr>
    </w:p>
    <w:p>
      <w:pPr>
        <w:ind w:left="500" w:hanging="497"/>
        <w:spacing w:after="0"/>
        <w:tabs>
          <w:tab w:leader="none" w:pos="500" w:val="left"/>
        </w:tabs>
        <w:numPr>
          <w:ilvl w:val="0"/>
          <w:numId w:val="208"/>
        </w:numPr>
        <w:rPr>
          <w:rFonts w:ascii="Arial" w:cs="Arial" w:eastAsia="Arial" w:hAnsi="Arial"/>
          <w:sz w:val="14"/>
          <w:szCs w:val="14"/>
          <w:i w:val="1"/>
          <w:iCs w:val="1"/>
          <w:color w:val="auto"/>
        </w:rPr>
      </w:pPr>
      <w:r>
        <w:rPr>
          <w:rFonts w:ascii="Arial" w:cs="Arial" w:eastAsia="Arial" w:hAnsi="Arial"/>
          <w:sz w:val="14"/>
          <w:szCs w:val="14"/>
          <w:i w:val="1"/>
          <w:iCs w:val="1"/>
          <w:color w:val="auto"/>
        </w:rPr>
        <w:t>Cure of Defaults; Assignment of Executory Contracts and Unexpired Leases</w:t>
      </w:r>
    </w:p>
    <w:p>
      <w:pPr>
        <w:spacing w:after="0" w:line="171"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Any monetary amounts by which any Executory Contract or Unexpired Lease to be assumed pursuant to this Plan is in default shall be satisfied, pursuant to section 365(b)(1) of the Bankruptcy Code, by payment of the default amount (if any) in Cash by the Debtors or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221" w:name="page222"/>
    <w:bookmarkEnd w:id="221"/>
    <w:p>
      <w:pPr>
        <w:ind w:right="320"/>
        <w:spacing w:after="0" w:line="268" w:lineRule="auto"/>
        <w:rPr>
          <w:sz w:val="20"/>
          <w:szCs w:val="20"/>
          <w:color w:val="auto"/>
        </w:rPr>
      </w:pPr>
      <w:r>
        <w:rPr>
          <w:rFonts w:ascii="Arial" w:cs="Arial" w:eastAsia="Arial" w:hAnsi="Arial"/>
          <w:sz w:val="14"/>
          <w:szCs w:val="14"/>
          <w:color w:val="auto"/>
        </w:rPr>
        <w:t>Reorganized Debtors, as applicable, on the Effective Date or on such other terms as the parties to each such executory contract or unexpired lease may otherwise agree in writing, with the consent of the Required Consenting Noteholders.</w:t>
      </w:r>
    </w:p>
    <w:p>
      <w:pPr>
        <w:spacing w:after="0" w:line="138" w:lineRule="exact"/>
        <w:rPr>
          <w:sz w:val="20"/>
          <w:szCs w:val="20"/>
          <w:color w:val="auto"/>
        </w:rPr>
      </w:pPr>
    </w:p>
    <w:p>
      <w:pPr>
        <w:ind w:right="40" w:firstLine="498"/>
        <w:spacing w:after="0" w:line="274" w:lineRule="auto"/>
        <w:rPr>
          <w:sz w:val="20"/>
          <w:szCs w:val="20"/>
          <w:color w:val="auto"/>
        </w:rPr>
      </w:pPr>
      <w:r>
        <w:rPr>
          <w:rFonts w:ascii="Arial" w:cs="Arial" w:eastAsia="Arial" w:hAnsi="Arial"/>
          <w:sz w:val="13"/>
          <w:szCs w:val="13"/>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in accordance with Article VIII.A.4 of this Plan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38"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 xml:space="preserve">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w:t>
      </w:r>
      <w:r>
        <w:rPr>
          <w:rFonts w:ascii="Arial" w:cs="Arial" w:eastAsia="Arial" w:hAnsi="Arial"/>
          <w:sz w:val="14"/>
          <w:szCs w:val="14"/>
          <w:u w:val="single" w:color="auto"/>
          <w:color w:val="auto"/>
        </w:rPr>
        <w:t>Article VI</w:t>
      </w:r>
      <w:r>
        <w:rPr>
          <w:rFonts w:ascii="Arial" w:cs="Arial" w:eastAsia="Arial" w:hAnsi="Arial"/>
          <w:sz w:val="14"/>
          <w:szCs w:val="14"/>
          <w:color w:val="auto"/>
        </w:rPr>
        <w:t>.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52" w:lineRule="exact"/>
        <w:rPr>
          <w:sz w:val="20"/>
          <w:szCs w:val="20"/>
          <w:color w:val="auto"/>
        </w:rPr>
      </w:pPr>
    </w:p>
    <w:p>
      <w:pPr>
        <w:ind w:firstLine="498"/>
        <w:spacing w:after="0" w:line="287" w:lineRule="auto"/>
        <w:rPr>
          <w:sz w:val="20"/>
          <w:szCs w:val="20"/>
          <w:color w:val="auto"/>
        </w:rPr>
      </w:pPr>
      <w:r>
        <w:rPr>
          <w:rFonts w:ascii="Arial" w:cs="Arial" w:eastAsia="Arial" w:hAnsi="Arial"/>
          <w:sz w:val="13"/>
          <w:szCs w:val="13"/>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28" w:lineRule="exact"/>
        <w:rPr>
          <w:sz w:val="20"/>
          <w:szCs w:val="20"/>
          <w:color w:val="auto"/>
        </w:rPr>
      </w:pPr>
    </w:p>
    <w:p>
      <w:pPr>
        <w:ind w:left="500" w:hanging="497"/>
        <w:spacing w:after="0"/>
        <w:tabs>
          <w:tab w:leader="none" w:pos="500" w:val="left"/>
        </w:tabs>
        <w:numPr>
          <w:ilvl w:val="0"/>
          <w:numId w:val="209"/>
        </w:numPr>
        <w:rPr>
          <w:rFonts w:ascii="Arial" w:cs="Arial" w:eastAsia="Arial" w:hAnsi="Arial"/>
          <w:sz w:val="14"/>
          <w:szCs w:val="14"/>
          <w:i w:val="1"/>
          <w:iCs w:val="1"/>
          <w:color w:val="auto"/>
        </w:rPr>
      </w:pPr>
      <w:r>
        <w:rPr>
          <w:rFonts w:ascii="Arial" w:cs="Arial" w:eastAsia="Arial" w:hAnsi="Arial"/>
          <w:sz w:val="14"/>
          <w:szCs w:val="14"/>
          <w:i w:val="1"/>
          <w:iCs w:val="1"/>
          <w:color w:val="auto"/>
        </w:rPr>
        <w:t>Rejection of Executory Contracts and Unexpired Leases</w:t>
      </w:r>
    </w:p>
    <w:p>
      <w:pPr>
        <w:spacing w:after="0" w:line="171" w:lineRule="exact"/>
        <w:rPr>
          <w:sz w:val="20"/>
          <w:szCs w:val="20"/>
          <w:color w:val="auto"/>
        </w:rPr>
      </w:pPr>
    </w:p>
    <w:p>
      <w:pPr>
        <w:ind w:right="40" w:firstLine="498"/>
        <w:spacing w:after="0" w:line="276" w:lineRule="auto"/>
        <w:rPr>
          <w:sz w:val="20"/>
          <w:szCs w:val="20"/>
          <w:color w:val="auto"/>
        </w:rPr>
      </w:pPr>
      <w:r>
        <w:rPr>
          <w:rFonts w:ascii="Arial" w:cs="Arial" w:eastAsia="Arial" w:hAnsi="Arial"/>
          <w:sz w:val="13"/>
          <w:szCs w:val="13"/>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Plan Schedule will be deemed rejected as of the Effective Date. The Confirmation Order will constitute an order of the Bankruptcy Court approving the rejections described in this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22" w:name="page223"/>
    <w:bookmarkEnd w:id="222"/>
    <w:p>
      <w:pPr>
        <w:ind w:left="520" w:hanging="517"/>
        <w:spacing w:after="0"/>
        <w:tabs>
          <w:tab w:leader="none" w:pos="520" w:val="left"/>
        </w:tabs>
        <w:numPr>
          <w:ilvl w:val="0"/>
          <w:numId w:val="210"/>
        </w:numPr>
        <w:rPr>
          <w:rFonts w:ascii="Arial" w:cs="Arial" w:eastAsia="Arial" w:hAnsi="Arial"/>
          <w:sz w:val="14"/>
          <w:szCs w:val="14"/>
          <w:i w:val="1"/>
          <w:iCs w:val="1"/>
          <w:color w:val="auto"/>
        </w:rPr>
      </w:pPr>
      <w:r>
        <w:rPr>
          <w:rFonts w:ascii="Arial" w:cs="Arial" w:eastAsia="Arial" w:hAnsi="Arial"/>
          <w:sz w:val="14"/>
          <w:szCs w:val="14"/>
          <w:i w:val="1"/>
          <w:iCs w:val="1"/>
          <w:color w:val="auto"/>
        </w:rPr>
        <w:t>Claims on Account of the Rejection of Executory Contracts or Unexpired Leases</w:t>
      </w:r>
    </w:p>
    <w:p>
      <w:pPr>
        <w:spacing w:after="0" w:line="171" w:lineRule="exact"/>
        <w:rPr>
          <w:sz w:val="20"/>
          <w:szCs w:val="20"/>
          <w:color w:val="auto"/>
        </w:rPr>
      </w:pPr>
    </w:p>
    <w:p>
      <w:pPr>
        <w:ind w:right="60" w:firstLine="498"/>
        <w:spacing w:after="0" w:line="258" w:lineRule="auto"/>
        <w:rPr>
          <w:sz w:val="20"/>
          <w:szCs w:val="20"/>
          <w:color w:val="auto"/>
        </w:rPr>
      </w:pPr>
      <w:r>
        <w:rPr>
          <w:rFonts w:ascii="Arial" w:cs="Arial" w:eastAsia="Arial" w:hAnsi="Arial"/>
          <w:sz w:val="14"/>
          <w:szCs w:val="14"/>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 and any such Claims will be paid in full in cash when Allowed.</w:t>
      </w:r>
    </w:p>
    <w:p>
      <w:pPr>
        <w:spacing w:after="0" w:line="145" w:lineRule="exact"/>
        <w:rPr>
          <w:sz w:val="20"/>
          <w:szCs w:val="20"/>
          <w:color w:val="auto"/>
        </w:rPr>
      </w:pPr>
    </w:p>
    <w:p>
      <w:pPr>
        <w:ind w:right="40" w:firstLine="498"/>
        <w:spacing w:after="0" w:line="280" w:lineRule="auto"/>
        <w:rPr>
          <w:sz w:val="20"/>
          <w:szCs w:val="20"/>
          <w:color w:val="auto"/>
        </w:rPr>
      </w:pPr>
      <w:r>
        <w:rPr>
          <w:rFonts w:ascii="Arial" w:cs="Arial" w:eastAsia="Arial" w:hAnsi="Arial"/>
          <w:sz w:val="13"/>
          <w:szCs w:val="13"/>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3"/>
          <w:szCs w:val="13"/>
          <w:u w:val="single" w:color="auto"/>
          <w:color w:val="auto"/>
        </w:rPr>
        <w:t>Article X.G</w:t>
      </w:r>
      <w:r>
        <w:rPr>
          <w:rFonts w:ascii="Arial" w:cs="Arial" w:eastAsia="Arial" w:hAnsi="Arial"/>
          <w:sz w:val="13"/>
          <w:szCs w:val="13"/>
          <w:color w:val="auto"/>
        </w:rPr>
        <w:t xml:space="preserve"> hereof.</w:t>
      </w:r>
    </w:p>
    <w:p>
      <w:pPr>
        <w:spacing w:after="0" w:line="132" w:lineRule="exact"/>
        <w:rPr>
          <w:sz w:val="20"/>
          <w:szCs w:val="20"/>
          <w:color w:val="auto"/>
        </w:rPr>
      </w:pPr>
    </w:p>
    <w:p>
      <w:pPr>
        <w:ind w:left="500" w:hanging="497"/>
        <w:spacing w:after="0"/>
        <w:tabs>
          <w:tab w:leader="none" w:pos="500" w:val="left"/>
        </w:tabs>
        <w:numPr>
          <w:ilvl w:val="0"/>
          <w:numId w:val="211"/>
        </w:numPr>
        <w:rPr>
          <w:rFonts w:ascii="Arial" w:cs="Arial" w:eastAsia="Arial" w:hAnsi="Arial"/>
          <w:sz w:val="14"/>
          <w:szCs w:val="14"/>
          <w:i w:val="1"/>
          <w:iCs w:val="1"/>
          <w:color w:val="auto"/>
        </w:rPr>
      </w:pPr>
      <w:r>
        <w:rPr>
          <w:rFonts w:ascii="Arial" w:cs="Arial" w:eastAsia="Arial" w:hAnsi="Arial"/>
          <w:sz w:val="14"/>
          <w:szCs w:val="14"/>
          <w:i w:val="1"/>
          <w:iCs w:val="1"/>
          <w:color w:val="auto"/>
        </w:rPr>
        <w:t>D&amp;O Liability Insurance Policies</w:t>
      </w:r>
    </w:p>
    <w:p>
      <w:pPr>
        <w:spacing w:after="0" w:line="171" w:lineRule="exact"/>
        <w:rPr>
          <w:sz w:val="20"/>
          <w:szCs w:val="20"/>
          <w:color w:val="auto"/>
        </w:rPr>
      </w:pPr>
    </w:p>
    <w:p>
      <w:pPr>
        <w:ind w:firstLine="498"/>
        <w:spacing w:after="0" w:line="270" w:lineRule="auto"/>
        <w:rPr>
          <w:sz w:val="20"/>
          <w:szCs w:val="20"/>
          <w:color w:val="auto"/>
        </w:rPr>
      </w:pPr>
      <w:r>
        <w:rPr>
          <w:rFonts w:ascii="Arial" w:cs="Arial" w:eastAsia="Arial" w:hAnsi="Arial"/>
          <w:sz w:val="13"/>
          <w:szCs w:val="13"/>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42" w:lineRule="exact"/>
        <w:rPr>
          <w:sz w:val="20"/>
          <w:szCs w:val="20"/>
          <w:color w:val="auto"/>
        </w:rPr>
      </w:pPr>
    </w:p>
    <w:p>
      <w:pPr>
        <w:ind w:left="480" w:hanging="477"/>
        <w:spacing w:after="0"/>
        <w:tabs>
          <w:tab w:leader="none" w:pos="480" w:val="left"/>
        </w:tabs>
        <w:numPr>
          <w:ilvl w:val="0"/>
          <w:numId w:val="212"/>
        </w:numPr>
        <w:rPr>
          <w:rFonts w:ascii="Arial" w:cs="Arial" w:eastAsia="Arial" w:hAnsi="Arial"/>
          <w:sz w:val="14"/>
          <w:szCs w:val="14"/>
          <w:i w:val="1"/>
          <w:iCs w:val="1"/>
          <w:color w:val="auto"/>
        </w:rPr>
      </w:pPr>
      <w:r>
        <w:rPr>
          <w:rFonts w:ascii="Arial" w:cs="Arial" w:eastAsia="Arial" w:hAnsi="Arial"/>
          <w:sz w:val="14"/>
          <w:szCs w:val="14"/>
          <w:i w:val="1"/>
          <w:iCs w:val="1"/>
          <w:color w:val="auto"/>
        </w:rPr>
        <w:t>Indemnification Provisions</w:t>
      </w:r>
    </w:p>
    <w:p>
      <w:pPr>
        <w:spacing w:after="0" w:line="171" w:lineRule="exact"/>
        <w:rPr>
          <w:sz w:val="20"/>
          <w:szCs w:val="20"/>
          <w:color w:val="auto"/>
        </w:rPr>
      </w:pPr>
    </w:p>
    <w:p>
      <w:pPr>
        <w:ind w:right="240" w:firstLine="498"/>
        <w:spacing w:after="0" w:line="307" w:lineRule="auto"/>
        <w:rPr>
          <w:sz w:val="20"/>
          <w:szCs w:val="20"/>
          <w:color w:val="auto"/>
        </w:rPr>
      </w:pPr>
      <w:r>
        <w:rPr>
          <w:rFonts w:ascii="Arial" w:cs="Arial" w:eastAsia="Arial" w:hAnsi="Arial"/>
          <w:sz w:val="13"/>
          <w:szCs w:val="13"/>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23" w:name="page224"/>
    <w:bookmarkEnd w:id="223"/>
    <w:p>
      <w:pPr>
        <w:ind w:right="60"/>
        <w:spacing w:after="0" w:line="280" w:lineRule="auto"/>
        <w:rPr>
          <w:sz w:val="20"/>
          <w:szCs w:val="20"/>
          <w:color w:val="auto"/>
        </w:rPr>
      </w:pPr>
      <w:r>
        <w:rPr>
          <w:rFonts w:ascii="Arial" w:cs="Arial" w:eastAsia="Arial" w:hAnsi="Arial"/>
          <w:sz w:val="13"/>
          <w:szCs w:val="13"/>
          <w:color w:val="auto"/>
        </w:rPr>
        <w:t>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32" w:lineRule="exact"/>
        <w:rPr>
          <w:sz w:val="20"/>
          <w:szCs w:val="20"/>
          <w:color w:val="auto"/>
        </w:rPr>
      </w:pPr>
    </w:p>
    <w:p>
      <w:pPr>
        <w:ind w:left="520" w:hanging="517"/>
        <w:spacing w:after="0"/>
        <w:tabs>
          <w:tab w:leader="none" w:pos="520" w:val="left"/>
        </w:tabs>
        <w:numPr>
          <w:ilvl w:val="0"/>
          <w:numId w:val="213"/>
        </w:numPr>
        <w:rPr>
          <w:rFonts w:ascii="Arial" w:cs="Arial" w:eastAsia="Arial" w:hAnsi="Arial"/>
          <w:sz w:val="14"/>
          <w:szCs w:val="14"/>
          <w:i w:val="1"/>
          <w:iCs w:val="1"/>
          <w:color w:val="auto"/>
        </w:rPr>
      </w:pPr>
      <w:r>
        <w:rPr>
          <w:rFonts w:ascii="Arial" w:cs="Arial" w:eastAsia="Arial" w:hAnsi="Arial"/>
          <w:sz w:val="14"/>
          <w:szCs w:val="14"/>
          <w:i w:val="1"/>
          <w:iCs w:val="1"/>
          <w:color w:val="auto"/>
        </w:rPr>
        <w:t>Employment Plans</w:t>
      </w:r>
    </w:p>
    <w:p>
      <w:pPr>
        <w:spacing w:after="0" w:line="171" w:lineRule="exact"/>
        <w:rPr>
          <w:sz w:val="20"/>
          <w:szCs w:val="20"/>
          <w:color w:val="auto"/>
        </w:rPr>
      </w:pPr>
    </w:p>
    <w:p>
      <w:pPr>
        <w:ind w:right="40" w:firstLine="498"/>
        <w:spacing w:after="0" w:line="252" w:lineRule="auto"/>
        <w:rPr>
          <w:sz w:val="20"/>
          <w:szCs w:val="20"/>
          <w:color w:val="auto"/>
        </w:rPr>
      </w:pPr>
      <w:r>
        <w:rPr>
          <w:rFonts w:ascii="Arial" w:cs="Arial" w:eastAsia="Arial" w:hAnsi="Arial"/>
          <w:sz w:val="14"/>
          <w:szCs w:val="14"/>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4"/>
          <w:szCs w:val="14"/>
          <w:b w:val="1"/>
          <w:bCs w:val="1"/>
          <w:u w:val="single" w:color="auto"/>
          <w:color w:val="auto"/>
        </w:rPr>
        <w:t>Employment Plans</w:t>
      </w:r>
      <w:r>
        <w:rPr>
          <w:rFonts w:ascii="Arial" w:cs="Arial" w:eastAsia="Arial" w:hAnsi="Arial"/>
          <w:sz w:val="14"/>
          <w:szCs w:val="14"/>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51" w:lineRule="exact"/>
        <w:rPr>
          <w:sz w:val="20"/>
          <w:szCs w:val="20"/>
          <w:color w:val="auto"/>
        </w:rPr>
      </w:pPr>
    </w:p>
    <w:p>
      <w:pPr>
        <w:ind w:left="520" w:hanging="517"/>
        <w:spacing w:after="0"/>
        <w:tabs>
          <w:tab w:leader="none" w:pos="520" w:val="left"/>
        </w:tabs>
        <w:numPr>
          <w:ilvl w:val="0"/>
          <w:numId w:val="214"/>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Contracts</w:t>
      </w:r>
    </w:p>
    <w:p>
      <w:pPr>
        <w:spacing w:after="0" w:line="171" w:lineRule="exact"/>
        <w:rPr>
          <w:sz w:val="20"/>
          <w:szCs w:val="20"/>
          <w:color w:val="auto"/>
        </w:rPr>
      </w:pPr>
    </w:p>
    <w:p>
      <w:pPr>
        <w:ind w:firstLine="498"/>
        <w:spacing w:after="0" w:line="310" w:lineRule="auto"/>
        <w:rPr>
          <w:sz w:val="20"/>
          <w:szCs w:val="20"/>
          <w:color w:val="auto"/>
        </w:rPr>
      </w:pPr>
      <w:r>
        <w:rPr>
          <w:rFonts w:ascii="Arial" w:cs="Arial" w:eastAsia="Arial" w:hAnsi="Arial"/>
          <w:sz w:val="12"/>
          <w:szCs w:val="12"/>
          <w:color w:val="auto"/>
        </w:rPr>
        <w:t xml:space="preserve">On the Effective Date, and without limiting the terms or provisions of Paragraph E of this </w:t>
      </w:r>
      <w:r>
        <w:rPr>
          <w:rFonts w:ascii="Arial" w:cs="Arial" w:eastAsia="Arial" w:hAnsi="Arial"/>
          <w:sz w:val="12"/>
          <w:szCs w:val="12"/>
          <w:u w:val="single" w:color="auto"/>
          <w:color w:val="auto"/>
        </w:rPr>
        <w:t>Article VI</w:t>
      </w:r>
      <w:r>
        <w:rPr>
          <w:rFonts w:ascii="Arial" w:cs="Arial" w:eastAsia="Arial" w:hAnsi="Arial"/>
          <w:sz w:val="12"/>
          <w:szCs w:val="12"/>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17" w:lineRule="exact"/>
        <w:rPr>
          <w:sz w:val="20"/>
          <w:szCs w:val="20"/>
          <w:color w:val="auto"/>
        </w:rPr>
      </w:pPr>
    </w:p>
    <w:p>
      <w:pPr>
        <w:ind w:left="500" w:hanging="497"/>
        <w:spacing w:after="0"/>
        <w:tabs>
          <w:tab w:leader="none" w:pos="500" w:val="left"/>
        </w:tabs>
        <w:numPr>
          <w:ilvl w:val="0"/>
          <w:numId w:val="215"/>
        </w:numPr>
        <w:rPr>
          <w:rFonts w:ascii="Arial" w:cs="Arial" w:eastAsia="Arial" w:hAnsi="Arial"/>
          <w:sz w:val="14"/>
          <w:szCs w:val="14"/>
          <w:i w:val="1"/>
          <w:iCs w:val="1"/>
          <w:color w:val="auto"/>
        </w:rPr>
      </w:pPr>
      <w:r>
        <w:rPr>
          <w:rFonts w:ascii="Arial" w:cs="Arial" w:eastAsia="Arial" w:hAnsi="Arial"/>
          <w:sz w:val="14"/>
          <w:szCs w:val="14"/>
          <w:i w:val="1"/>
          <w:iCs w:val="1"/>
          <w:color w:val="auto"/>
        </w:rPr>
        <w:t>Extension of Time to Assume or Reject</w:t>
      </w:r>
    </w:p>
    <w:p>
      <w:pPr>
        <w:spacing w:after="0" w:line="171" w:lineRule="exact"/>
        <w:rPr>
          <w:sz w:val="20"/>
          <w:szCs w:val="20"/>
          <w:color w:val="auto"/>
        </w:rPr>
      </w:pPr>
    </w:p>
    <w:p>
      <w:pPr>
        <w:ind w:right="80" w:firstLine="498"/>
        <w:spacing w:after="0" w:line="280" w:lineRule="auto"/>
        <w:rPr>
          <w:sz w:val="20"/>
          <w:szCs w:val="20"/>
          <w:color w:val="auto"/>
        </w:rPr>
      </w:pPr>
      <w:r>
        <w:rPr>
          <w:rFonts w:ascii="Arial" w:cs="Arial" w:eastAsia="Arial" w:hAnsi="Arial"/>
          <w:sz w:val="13"/>
          <w:szCs w:val="13"/>
          <w:color w:val="auto"/>
        </w:rPr>
        <w:t xml:space="preserve">Notwithstanding anything to the contrary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3"/>
          <w:szCs w:val="13"/>
          <w:u w:val="single" w:color="auto"/>
          <w:color w:val="auto"/>
        </w:rPr>
        <w:t>Article VI.A</w:t>
      </w:r>
      <w:r>
        <w:rPr>
          <w:rFonts w:ascii="Arial" w:cs="Arial" w:eastAsia="Arial" w:hAnsi="Arial"/>
          <w:sz w:val="13"/>
          <w:szCs w:val="13"/>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32" w:lineRule="exact"/>
        <w:rPr>
          <w:sz w:val="20"/>
          <w:szCs w:val="20"/>
          <w:color w:val="auto"/>
        </w:rPr>
      </w:pPr>
    </w:p>
    <w:p>
      <w:pPr>
        <w:ind w:left="500" w:hanging="497"/>
        <w:spacing w:after="0"/>
        <w:tabs>
          <w:tab w:leader="none" w:pos="500" w:val="left"/>
        </w:tabs>
        <w:numPr>
          <w:ilvl w:val="0"/>
          <w:numId w:val="216"/>
        </w:numPr>
        <w:rPr>
          <w:rFonts w:ascii="Arial" w:cs="Arial" w:eastAsia="Arial" w:hAnsi="Arial"/>
          <w:sz w:val="14"/>
          <w:szCs w:val="14"/>
          <w:i w:val="1"/>
          <w:iCs w:val="1"/>
          <w:color w:val="auto"/>
        </w:rPr>
      </w:pPr>
      <w:r>
        <w:rPr>
          <w:rFonts w:ascii="Arial" w:cs="Arial" w:eastAsia="Arial" w:hAnsi="Arial"/>
          <w:sz w:val="14"/>
          <w:szCs w:val="14"/>
          <w:i w:val="1"/>
          <w:iCs w:val="1"/>
          <w:color w:val="auto"/>
        </w:rPr>
        <w:t>Modifications, Amendments, Supplements, Restatements, or Other Agreements</w:t>
      </w:r>
    </w:p>
    <w:p>
      <w:pPr>
        <w:spacing w:after="0" w:line="170" w:lineRule="exact"/>
        <w:rPr>
          <w:rFonts w:ascii="Arial" w:cs="Arial" w:eastAsia="Arial" w:hAnsi="Arial"/>
          <w:sz w:val="14"/>
          <w:szCs w:val="14"/>
          <w:i w:val="1"/>
          <w:iCs w:val="1"/>
          <w:color w:val="auto"/>
        </w:rPr>
      </w:pPr>
    </w:p>
    <w:p>
      <w:pPr>
        <w:ind w:left="500"/>
        <w:spacing w:after="0"/>
        <w:rPr>
          <w:rFonts w:ascii="Arial" w:cs="Arial" w:eastAsia="Arial" w:hAnsi="Arial"/>
          <w:sz w:val="14"/>
          <w:szCs w:val="14"/>
          <w:i w:val="1"/>
          <w:iCs w:val="1"/>
          <w:color w:val="auto"/>
        </w:rPr>
      </w:pPr>
      <w:r>
        <w:rPr>
          <w:rFonts w:ascii="Arial" w:cs="Arial" w:eastAsia="Arial" w:hAnsi="Arial"/>
          <w:sz w:val="13"/>
          <w:szCs w:val="13"/>
          <w:color w:val="auto"/>
        </w:rPr>
        <w:t>Unless otherwise provided in this Plan, each Executory Contract or Unexpired Lease that is assumed by the Debtors or the Reorganized Debtors will include all modifications, amendments,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224" w:name="page225"/>
    <w:bookmarkEnd w:id="224"/>
    <w:p>
      <w:pPr>
        <w:ind w:right="100"/>
        <w:spacing w:after="0" w:line="280" w:lineRule="auto"/>
        <w:rPr>
          <w:sz w:val="20"/>
          <w:szCs w:val="20"/>
          <w:color w:val="auto"/>
        </w:rPr>
      </w:pPr>
      <w:r>
        <w:rPr>
          <w:rFonts w:ascii="Arial" w:cs="Arial" w:eastAsia="Arial" w:hAnsi="Arial"/>
          <w:sz w:val="13"/>
          <w:szCs w:val="13"/>
          <w:color w:val="auto"/>
        </w:rPr>
        <w:t>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PROVISIONS GOVERNING DISTRIBUTIONS</w:t>
      </w:r>
    </w:p>
    <w:p>
      <w:pPr>
        <w:spacing w:after="0" w:line="175" w:lineRule="exact"/>
        <w:rPr>
          <w:sz w:val="20"/>
          <w:szCs w:val="20"/>
          <w:color w:val="auto"/>
        </w:rPr>
      </w:pPr>
    </w:p>
    <w:p>
      <w:pPr>
        <w:ind w:left="500" w:hanging="497"/>
        <w:spacing w:after="0"/>
        <w:tabs>
          <w:tab w:leader="none" w:pos="500" w:val="left"/>
        </w:tabs>
        <w:numPr>
          <w:ilvl w:val="0"/>
          <w:numId w:val="217"/>
        </w:numPr>
        <w:rPr>
          <w:rFonts w:ascii="Arial" w:cs="Arial" w:eastAsia="Arial" w:hAnsi="Arial"/>
          <w:sz w:val="14"/>
          <w:szCs w:val="14"/>
          <w:i w:val="1"/>
          <w:iCs w:val="1"/>
          <w:color w:val="auto"/>
        </w:rPr>
      </w:pPr>
      <w:r>
        <w:rPr>
          <w:rFonts w:ascii="Arial" w:cs="Arial" w:eastAsia="Arial" w:hAnsi="Arial"/>
          <w:sz w:val="14"/>
          <w:szCs w:val="14"/>
          <w:i w:val="1"/>
          <w:iCs w:val="1"/>
          <w:color w:val="auto"/>
        </w:rPr>
        <w:t>Distributions for Claims Allowed as of the Effective Date</w:t>
      </w:r>
    </w:p>
    <w:p>
      <w:pPr>
        <w:spacing w:after="0" w:line="171"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 xml:space="preserve">Except as otherwise provided in the “Treatment” sections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hereof.</w:t>
      </w:r>
    </w:p>
    <w:p>
      <w:pPr>
        <w:spacing w:after="0" w:line="148" w:lineRule="exact"/>
        <w:rPr>
          <w:sz w:val="20"/>
          <w:szCs w:val="20"/>
          <w:color w:val="auto"/>
        </w:rPr>
      </w:pPr>
    </w:p>
    <w:p>
      <w:pPr>
        <w:ind w:left="500" w:hanging="497"/>
        <w:spacing w:after="0"/>
        <w:tabs>
          <w:tab w:leader="none" w:pos="500" w:val="left"/>
        </w:tabs>
        <w:numPr>
          <w:ilvl w:val="0"/>
          <w:numId w:val="218"/>
        </w:numPr>
        <w:rPr>
          <w:rFonts w:ascii="Arial" w:cs="Arial" w:eastAsia="Arial" w:hAnsi="Arial"/>
          <w:sz w:val="14"/>
          <w:szCs w:val="14"/>
          <w:i w:val="1"/>
          <w:iCs w:val="1"/>
          <w:color w:val="auto"/>
        </w:rPr>
      </w:pPr>
      <w:r>
        <w:rPr>
          <w:rFonts w:ascii="Arial" w:cs="Arial" w:eastAsia="Arial" w:hAnsi="Arial"/>
          <w:sz w:val="14"/>
          <w:szCs w:val="14"/>
          <w:i w:val="1"/>
          <w:iCs w:val="1"/>
          <w:color w:val="auto"/>
        </w:rPr>
        <w:t>No Postpetition Interest on Claims</w:t>
      </w:r>
    </w:p>
    <w:p>
      <w:pPr>
        <w:spacing w:after="0" w:line="171" w:lineRule="exact"/>
        <w:rPr>
          <w:sz w:val="20"/>
          <w:szCs w:val="20"/>
          <w:color w:val="auto"/>
        </w:rPr>
      </w:pPr>
    </w:p>
    <w:p>
      <w:pPr>
        <w:ind w:right="20" w:firstLine="498"/>
        <w:spacing w:after="0" w:line="252" w:lineRule="auto"/>
        <w:rPr>
          <w:sz w:val="20"/>
          <w:szCs w:val="20"/>
          <w:color w:val="auto"/>
        </w:rPr>
      </w:pPr>
      <w:r>
        <w:rPr>
          <w:rFonts w:ascii="Arial" w:cs="Arial" w:eastAsia="Arial" w:hAnsi="Arial"/>
          <w:sz w:val="14"/>
          <w:szCs w:val="14"/>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 provided, that, to the extent provided for in the contracts or instruments giving rise to a Class 8 General Unsecured Claim or required to be paid on a Class 8 General Unsecured Claim under applicable nonbankruptcy law, interest shall accrue on Class 8 General Unsecured Claims at the relevant contractual rate or other rate applicable under relevant nonbankruptcy law.</w:t>
      </w:r>
    </w:p>
    <w:p>
      <w:pPr>
        <w:spacing w:after="0" w:line="151" w:lineRule="exact"/>
        <w:rPr>
          <w:sz w:val="20"/>
          <w:szCs w:val="20"/>
          <w:color w:val="auto"/>
        </w:rPr>
      </w:pPr>
    </w:p>
    <w:p>
      <w:pPr>
        <w:ind w:left="500" w:hanging="497"/>
        <w:spacing w:after="0"/>
        <w:tabs>
          <w:tab w:leader="none" w:pos="500" w:val="left"/>
        </w:tabs>
        <w:numPr>
          <w:ilvl w:val="0"/>
          <w:numId w:val="219"/>
        </w:numPr>
        <w:rPr>
          <w:rFonts w:ascii="Arial" w:cs="Arial" w:eastAsia="Arial" w:hAnsi="Arial"/>
          <w:sz w:val="14"/>
          <w:szCs w:val="14"/>
          <w:i w:val="1"/>
          <w:iCs w:val="1"/>
          <w:color w:val="auto"/>
        </w:rPr>
      </w:pPr>
      <w:r>
        <w:rPr>
          <w:rFonts w:ascii="Arial" w:cs="Arial" w:eastAsia="Arial" w:hAnsi="Arial"/>
          <w:sz w:val="14"/>
          <w:szCs w:val="14"/>
          <w:i w:val="1"/>
          <w:iCs w:val="1"/>
          <w:color w:val="auto"/>
        </w:rPr>
        <w:t>Distributions by the Reorganized Debtors or Other Applicable Distribution Agent</w:t>
      </w:r>
    </w:p>
    <w:p>
      <w:pPr>
        <w:spacing w:after="0" w:line="171"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Other than as specifically set forth below or as otherwise provided in this Plan, the Reorganized Debtors or other applicable Distribution Agent will make, or facilitate the making of, all distributions required to be distributed under this Plan. Except as otherwise provided in this Plan, distributions on account of the Allowed Prepetition Debt and Allowed DIP Facility Claims will be made to the Prepetition Agents, the Prepetition Notes Indenture Trustee, and the DIP Agent, respectively, and such agent or trustee will be, and will act as, the Distribution Agent with respect to its respective Class of Claims in accordance with the terms and conditions of this Plan and the applicable debt documents. Except as otherwise provided in this Plan, all distributions to Holders of Prepetition Debt Claims and DIP Facility Claims will be deemed completed when made by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25" w:name="page226"/>
    <w:bookmarkEnd w:id="225"/>
    <w:p>
      <w:pPr>
        <w:ind w:right="60"/>
        <w:spacing w:after="0" w:line="274" w:lineRule="auto"/>
        <w:rPr>
          <w:sz w:val="20"/>
          <w:szCs w:val="20"/>
          <w:color w:val="auto"/>
        </w:rPr>
      </w:pPr>
      <w:r>
        <w:rPr>
          <w:rFonts w:ascii="Arial" w:cs="Arial" w:eastAsia="Arial" w:hAnsi="Arial"/>
          <w:sz w:val="13"/>
          <w:szCs w:val="13"/>
          <w:color w:val="auto"/>
        </w:rPr>
        <w:t>Reorganized Debtors to the Prepetition Agents, the Prepetition Notes Indenture Trustee (or as directed by the Prepetition Notes Indenture Trustee) in its capacity as Distribution Agent, and the DIP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without any further notice to or action, order or approval of the Bankruptcy Court. No Distribution Agent will be required to give any bond or surety or other security for the performance of its duties unless otherwise ordered by the Bankruptcy Court. The DIP Agent, the Prepetition Agents and the Prepetition Notes Indenture Trustee shall not have any liability to any person with respect to distributions made, directed to be made by or facilitated by the DIP Agent, the Prepetition Agents or the Prepetition Notes Indenture Trustee, as applicable, pursuant to this Plan regardless of what capacity they are acting in.</w:t>
      </w:r>
    </w:p>
    <w:p>
      <w:pPr>
        <w:spacing w:after="0" w:line="138" w:lineRule="exact"/>
        <w:rPr>
          <w:sz w:val="20"/>
          <w:szCs w:val="20"/>
          <w:color w:val="auto"/>
        </w:rPr>
      </w:pPr>
    </w:p>
    <w:p>
      <w:pPr>
        <w:ind w:firstLine="498"/>
        <w:spacing w:after="0" w:line="269" w:lineRule="auto"/>
        <w:rPr>
          <w:sz w:val="20"/>
          <w:szCs w:val="20"/>
          <w:color w:val="auto"/>
        </w:rPr>
      </w:pPr>
      <w:r>
        <w:rPr>
          <w:rFonts w:ascii="Arial" w:cs="Arial" w:eastAsia="Arial" w:hAnsi="Arial"/>
          <w:sz w:val="13"/>
          <w:szCs w:val="13"/>
          <w:color w:val="auto"/>
        </w:rPr>
        <w:t>The distributions of New Common Stock and Takeback Notes to be made under this Plan to Holders of Allowed Prepetition Notes Claims shall be deemed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such Holders as set forth below. Notwithstanding anything to the contrary in this Plan, the Prepetition Notes Indenture Trustee, in its capacity as Distribution Agent, may transfer or facilitate the transfer of such distributions through the facilities of DTC in exchange for the relevant Prepetition Notes. If it is necessary to adopt alternate, additional or supplemental distribution procedures for any reason including because such distributions cannot be made through the facilities of DTC, to otherwise effectuate the distributions under this Plan or to give effect to the terms of the NOL Order, the Debtors or Reorganized Debtors, as applicable, shall implement such alternate, additional or supplemental procedures in consultation with the Prepetition Notes Indenture Trustee, in its capacity as Distribution Agent, to make distributions to Holders of the Prepetition Notes and to eliminate such Prepetition Notes, including all book entry positions relating thereto, from DTC’s books and records (the “</w:t>
      </w:r>
      <w:r>
        <w:rPr>
          <w:rFonts w:ascii="Arial" w:cs="Arial" w:eastAsia="Arial" w:hAnsi="Arial"/>
          <w:sz w:val="13"/>
          <w:szCs w:val="13"/>
          <w:b w:val="1"/>
          <w:bCs w:val="1"/>
          <w:u w:val="single" w:color="auto"/>
          <w:color w:val="auto"/>
        </w:rPr>
        <w:t>Alternate/Supplemental Distribution Process</w:t>
      </w:r>
      <w:r>
        <w:rPr>
          <w:rFonts w:ascii="Arial" w:cs="Arial" w:eastAsia="Arial" w:hAnsi="Arial"/>
          <w:sz w:val="13"/>
          <w:szCs w:val="13"/>
          <w:color w:val="auto"/>
        </w:rPr>
        <w:t>”). The Debtors or Reorganized Debtors (as applicable) shall use their best efforts to make the New Common Stock and Takeback Notes to be distributed to Holders of the Prepetition Notes eligible for distribution through the facilities of DTC.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in its capacity as indenture trustee, be deemed fully satisfied upon the Effective Date. The obligations of the Prepetition Notes Indenture Trustee in its capacity as Distribution Agent shall be deemed fully satisfied upon either: (i) DTC’s receipt of the distributions with respect to the Prepetition Notes; or (ii) if the Alternate/Supplemental Distribution Process is utilized, upon the completion (other than for continuing ministerial items) of its role in such process. The Prepetition Notes Indenture Trustee as a Distribution Agent under this Plan will be entitled to recognize and deal with for all purposes the Holders of the Prepetition Notes to the extent necessary to facilitate the distributions with respect to Allowed Prepetition Notes Claims to such Holders. Regardless of which capacity it is acting, the Prepetition Notes Indenture Trustee in any capacity shall not be responsible for, and may conclusively rely on, the Alternate/Supplemental Distribution Process.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26" w:name="page227"/>
    <w:bookmarkEnd w:id="226"/>
    <w:p>
      <w:pPr>
        <w:ind w:right="80" w:firstLine="498"/>
        <w:spacing w:after="0" w:line="287" w:lineRule="auto"/>
        <w:rPr>
          <w:sz w:val="20"/>
          <w:szCs w:val="20"/>
          <w:color w:val="auto"/>
        </w:rPr>
      </w:pPr>
      <w:r>
        <w:rPr>
          <w:rFonts w:ascii="Arial" w:cs="Arial" w:eastAsia="Arial" w:hAnsi="Arial"/>
          <w:sz w:val="13"/>
          <w:szCs w:val="13"/>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28"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Notwithstanding any policies, practices or procedures of DTC or any other applicable clearing system, DTC and all other applicable clearing systems shall cooperate with and take all actions reasonably requested by the Voting and Claims Agent or the Prepetition Notes Indenture Trustee to facilitate distributions to Holders of Allowed Claims without requiring that such distributions be characterized as repayments of principal or interest. No Distribution Agent, including the Prepetition Notes Indenture Trustee in any capacity, shall be required to provide indemnification or other security to DTC in connection with any distributions to Holders of Allowed Claims through the facilities of DTC.</w:t>
      </w:r>
    </w:p>
    <w:p>
      <w:pPr>
        <w:spacing w:after="0" w:line="148" w:lineRule="exact"/>
        <w:rPr>
          <w:sz w:val="20"/>
          <w:szCs w:val="20"/>
          <w:color w:val="auto"/>
        </w:rPr>
      </w:pPr>
    </w:p>
    <w:p>
      <w:pPr>
        <w:ind w:right="180" w:firstLine="498"/>
        <w:spacing w:after="0" w:line="353" w:lineRule="auto"/>
        <w:rPr>
          <w:sz w:val="20"/>
          <w:szCs w:val="20"/>
          <w:color w:val="auto"/>
        </w:rPr>
      </w:pPr>
      <w:r>
        <w:rPr>
          <w:rFonts w:ascii="Arial" w:cs="Arial" w:eastAsia="Arial" w:hAnsi="Arial"/>
          <w:sz w:val="12"/>
          <w:szCs w:val="12"/>
          <w:color w:val="auto"/>
        </w:rPr>
        <w:t>DTC shall be required to accept and conclusively rely upon this Plan or Confirmation Order in lieu of a legal opinion regarding whether the Plan Securities (other than the Rights Offering Notes issued to the Backstop Parties pursuant to the Backstop Commitment Agreement) are exempt from registration and/or eligible for DTC book-entry delivery, settlement, and depository services.</w:t>
      </w:r>
    </w:p>
    <w:p>
      <w:pPr>
        <w:spacing w:after="0" w:line="92" w:lineRule="exact"/>
        <w:rPr>
          <w:sz w:val="20"/>
          <w:szCs w:val="20"/>
          <w:color w:val="auto"/>
        </w:rPr>
      </w:pPr>
    </w:p>
    <w:p>
      <w:pPr>
        <w:ind w:right="20" w:firstLine="498"/>
        <w:spacing w:after="0" w:line="287" w:lineRule="auto"/>
        <w:rPr>
          <w:sz w:val="20"/>
          <w:szCs w:val="20"/>
          <w:color w:val="auto"/>
        </w:rPr>
      </w:pPr>
      <w:r>
        <w:rPr>
          <w:rFonts w:ascii="Arial" w:cs="Arial" w:eastAsia="Arial" w:hAnsi="Arial"/>
          <w:sz w:val="13"/>
          <w:szCs w:val="13"/>
          <w:color w:val="auto"/>
        </w:rPr>
        <w:t>Notwithstanding anything to the contrary in this Plan or Confirmation Order, no entity (including, for the avoidance of doubt, DTC) shall be entitled to require a legal opinion regarding the validity of any transaction contemplated by this Plan or Confirmation Order, including, for the avoidance of doubt, whether the Plan Securities (other than the Rights Offering Notes issued to the Backstop Parties pursuant to the Backstop Commitment Agreement) are exempt from registration and/or eligible for DTC book entry delivery, settlement, and depositary services.</w:t>
      </w:r>
    </w:p>
    <w:p>
      <w:pPr>
        <w:spacing w:after="0" w:line="128" w:lineRule="exact"/>
        <w:rPr>
          <w:sz w:val="20"/>
          <w:szCs w:val="20"/>
          <w:color w:val="auto"/>
        </w:rPr>
      </w:pPr>
    </w:p>
    <w:p>
      <w:pPr>
        <w:ind w:left="520" w:hanging="517"/>
        <w:spacing w:after="0"/>
        <w:tabs>
          <w:tab w:leader="none" w:pos="520" w:val="left"/>
        </w:tabs>
        <w:numPr>
          <w:ilvl w:val="0"/>
          <w:numId w:val="220"/>
        </w:numPr>
        <w:rPr>
          <w:rFonts w:ascii="Arial" w:cs="Arial" w:eastAsia="Arial" w:hAnsi="Arial"/>
          <w:sz w:val="14"/>
          <w:szCs w:val="14"/>
          <w:i w:val="1"/>
          <w:iCs w:val="1"/>
          <w:color w:val="auto"/>
        </w:rPr>
      </w:pPr>
      <w:r>
        <w:rPr>
          <w:rFonts w:ascii="Arial" w:cs="Arial" w:eastAsia="Arial" w:hAnsi="Arial"/>
          <w:sz w:val="14"/>
          <w:szCs w:val="14"/>
          <w:i w:val="1"/>
          <w:iCs w:val="1"/>
          <w:color w:val="auto"/>
        </w:rPr>
        <w:t>Delivery and Distributions; Undeliverable or Unclaimed Distributions</w:t>
      </w:r>
    </w:p>
    <w:p>
      <w:pPr>
        <w:spacing w:after="0" w:line="170" w:lineRule="exact"/>
        <w:rPr>
          <w:rFonts w:ascii="Arial" w:cs="Arial" w:eastAsia="Arial" w:hAnsi="Arial"/>
          <w:sz w:val="14"/>
          <w:szCs w:val="14"/>
          <w:i w:val="1"/>
          <w:iCs w:val="1"/>
          <w:color w:val="auto"/>
        </w:rPr>
      </w:pPr>
    </w:p>
    <w:p>
      <w:pPr>
        <w:ind w:left="740" w:hanging="239"/>
        <w:spacing w:after="0"/>
        <w:tabs>
          <w:tab w:leader="none" w:pos="740" w:val="left"/>
        </w:tabs>
        <w:numPr>
          <w:ilvl w:val="1"/>
          <w:numId w:val="220"/>
        </w:numPr>
        <w:rPr>
          <w:rFonts w:ascii="Arial" w:cs="Arial" w:eastAsia="Arial" w:hAnsi="Arial"/>
          <w:sz w:val="14"/>
          <w:szCs w:val="14"/>
          <w:color w:val="auto"/>
        </w:rPr>
      </w:pPr>
      <w:r>
        <w:rPr>
          <w:rFonts w:ascii="Arial" w:cs="Arial" w:eastAsia="Arial" w:hAnsi="Arial"/>
          <w:sz w:val="14"/>
          <w:szCs w:val="14"/>
          <w:u w:val="single" w:color="auto"/>
          <w:color w:val="auto"/>
        </w:rPr>
        <w:t>Record Date for Distributions</w:t>
      </w:r>
    </w:p>
    <w:p>
      <w:pPr>
        <w:spacing w:after="0" w:line="171" w:lineRule="exact"/>
        <w:rPr>
          <w:sz w:val="20"/>
          <w:szCs w:val="20"/>
          <w:color w:val="auto"/>
        </w:rPr>
      </w:pPr>
    </w:p>
    <w:p>
      <w:pPr>
        <w:ind w:firstLine="498"/>
        <w:spacing w:after="0" w:line="299" w:lineRule="auto"/>
        <w:rPr>
          <w:sz w:val="20"/>
          <w:szCs w:val="20"/>
          <w:color w:val="auto"/>
        </w:rPr>
      </w:pPr>
      <w:r>
        <w:rPr>
          <w:rFonts w:ascii="Arial" w:cs="Arial" w:eastAsia="Arial" w:hAnsi="Arial"/>
          <w:sz w:val="12"/>
          <w:szCs w:val="12"/>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Distribution Record Date will not apply to the DIP Facility Claims, Prepetition Debt Claims, or any securities of the Debtors deposited with DTC.</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227" w:name="page228"/>
    <w:bookmarkEnd w:id="227"/>
    <w:p>
      <w:pPr>
        <w:ind w:left="740" w:hanging="239"/>
        <w:spacing w:after="0"/>
        <w:tabs>
          <w:tab w:leader="none" w:pos="740"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Delivery of Distributions in General</w:t>
      </w:r>
    </w:p>
    <w:p>
      <w:pPr>
        <w:spacing w:after="0" w:line="171" w:lineRule="exact"/>
        <w:rPr>
          <w:sz w:val="20"/>
          <w:szCs w:val="20"/>
          <w:color w:val="auto"/>
        </w:rPr>
      </w:pPr>
    </w:p>
    <w:p>
      <w:pPr>
        <w:ind w:right="40" w:firstLine="498"/>
        <w:spacing w:after="0" w:line="274" w:lineRule="auto"/>
        <w:rPr>
          <w:sz w:val="20"/>
          <w:szCs w:val="20"/>
          <w:color w:val="auto"/>
        </w:rPr>
      </w:pPr>
      <w:r>
        <w:rPr>
          <w:rFonts w:ascii="Arial" w:cs="Arial" w:eastAsia="Arial" w:hAnsi="Arial"/>
          <w:sz w:val="13"/>
          <w:szCs w:val="13"/>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xml:space="preserve">, that the manner of such distributions will be determined in the discretion of the applicable Distribution Agent (subject to the terms and conditions of the DIP Credit Agreement and the relevant Prepetition Debt Documents, if applicable); </w:t>
      </w:r>
      <w:r>
        <w:rPr>
          <w:rFonts w:ascii="Arial" w:cs="Arial" w:eastAsia="Arial" w:hAnsi="Arial"/>
          <w:sz w:val="13"/>
          <w:szCs w:val="13"/>
          <w:u w:val="single" w:color="auto"/>
          <w:color w:val="auto"/>
        </w:rPr>
        <w:t>provided further</w:t>
      </w:r>
      <w:r>
        <w:rPr>
          <w:rFonts w:ascii="Arial" w:cs="Arial" w:eastAsia="Arial" w:hAnsi="Arial"/>
          <w:sz w:val="13"/>
          <w:szCs w:val="13"/>
          <w:i w:val="1"/>
          <w:iCs w:val="1"/>
          <w:color w:val="auto"/>
        </w:rPr>
        <w:t>,</w:t>
      </w:r>
      <w:r>
        <w:rPr>
          <w:rFonts w:ascii="Arial" w:cs="Arial" w:eastAsia="Arial" w:hAnsi="Arial"/>
          <w:sz w:val="13"/>
          <w:szCs w:val="13"/>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38" w:lineRule="exact"/>
        <w:rPr>
          <w:sz w:val="20"/>
          <w:szCs w:val="20"/>
          <w:color w:val="auto"/>
        </w:rPr>
      </w:pPr>
    </w:p>
    <w:p>
      <w:pPr>
        <w:ind w:left="740" w:hanging="239"/>
        <w:spacing w:after="0"/>
        <w:tabs>
          <w:tab w:leader="none" w:pos="74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Minimum Distributions</w:t>
      </w:r>
    </w:p>
    <w:p>
      <w:pPr>
        <w:spacing w:after="0" w:line="171"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color w:val="auto"/>
        </w:rPr>
        <w:t>Notwithstanding anything herein to the contrary, no Distribution Agent will be required to make distributions or payments of less than $100.00 (whether in Cash or otherwise) or to make partial distributions or payments of fractions of dollars, Takeback Notes, or New Common Stock, in each case with respect to Impaired Claims or Impaired Equity Interests. With respect to Impaired Claims and Impaired Equity Interests, whenever any payment or distribution of a fraction of a dollar, a fraction of a Takeback Note in less than the denominational requirement, or a fraction of a share of New Common Stock under this Plan would otherwise be called for, the actual payment or distribution will reflect a rounding of such fraction down to the nearest whole dollar, or minimum denomination of Takeback Notes, or share of New Common Stock (and no Cash will be distributed in lieu of such fractional New Common Stock). For the avoidance of doubt, DTC shall be considered a single holder for purposes of distributions.</w:t>
      </w:r>
    </w:p>
    <w:p>
      <w:pPr>
        <w:spacing w:after="0" w:line="152" w:lineRule="exact"/>
        <w:rPr>
          <w:sz w:val="20"/>
          <w:szCs w:val="20"/>
          <w:color w:val="auto"/>
        </w:rPr>
      </w:pPr>
    </w:p>
    <w:p>
      <w:pPr>
        <w:ind w:right="120" w:firstLine="498"/>
        <w:spacing w:after="0" w:line="254" w:lineRule="auto"/>
        <w:rPr>
          <w:sz w:val="20"/>
          <w:szCs w:val="20"/>
          <w:color w:val="auto"/>
        </w:rPr>
      </w:pPr>
      <w:r>
        <w:rPr>
          <w:rFonts w:ascii="Arial" w:cs="Arial" w:eastAsia="Arial" w:hAnsi="Arial"/>
          <w:sz w:val="14"/>
          <w:szCs w:val="14"/>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4"/>
          <w:szCs w:val="14"/>
          <w:u w:val="single" w:color="auto"/>
          <w:color w:val="auto"/>
        </w:rPr>
        <w:t>Article VII.D.4</w:t>
      </w:r>
      <w:r>
        <w:rPr>
          <w:rFonts w:ascii="Arial" w:cs="Arial" w:eastAsia="Arial" w:hAnsi="Arial"/>
          <w:sz w:val="14"/>
          <w:szCs w:val="14"/>
          <w:color w:val="auto"/>
        </w:rPr>
        <w:t xml:space="preserve"> below.</w:t>
      </w:r>
    </w:p>
    <w:p>
      <w:pPr>
        <w:spacing w:after="0" w:line="148" w:lineRule="exact"/>
        <w:rPr>
          <w:sz w:val="20"/>
          <w:szCs w:val="20"/>
          <w:color w:val="auto"/>
        </w:rPr>
      </w:pPr>
    </w:p>
    <w:p>
      <w:pPr>
        <w:ind w:left="740" w:hanging="239"/>
        <w:spacing w:after="0"/>
        <w:tabs>
          <w:tab w:leader="none" w:pos="740"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Undeliverable Distributions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1"/>
          <w:numId w:val="223"/>
        </w:numPr>
        <w:rPr>
          <w:rFonts w:ascii="Arial" w:cs="Arial" w:eastAsia="Arial" w:hAnsi="Arial"/>
          <w:sz w:val="14"/>
          <w:szCs w:val="14"/>
          <w:color w:val="auto"/>
        </w:rPr>
      </w:pPr>
      <w:r>
        <w:rPr>
          <w:rFonts w:ascii="Arial" w:cs="Arial" w:eastAsia="Arial" w:hAnsi="Arial"/>
          <w:sz w:val="14"/>
          <w:szCs w:val="14"/>
          <w:color w:val="auto"/>
        </w:rPr>
        <w:t>Holding of Certain Undeliverable Distributions</w:t>
      </w:r>
    </w:p>
    <w:p>
      <w:pPr>
        <w:spacing w:after="0" w:line="171" w:lineRule="exact"/>
        <w:rPr>
          <w:sz w:val="20"/>
          <w:szCs w:val="20"/>
          <w:color w:val="auto"/>
        </w:rPr>
      </w:pPr>
    </w:p>
    <w:p>
      <w:pPr>
        <w:ind w:right="60" w:firstLine="498"/>
        <w:spacing w:after="0" w:line="280" w:lineRule="auto"/>
        <w:rPr>
          <w:sz w:val="20"/>
          <w:szCs w:val="20"/>
          <w:color w:val="auto"/>
        </w:rPr>
      </w:pPr>
      <w:r>
        <w:rPr>
          <w:rFonts w:ascii="Arial" w:cs="Arial" w:eastAsia="Arial" w:hAnsi="Arial"/>
          <w:sz w:val="13"/>
          <w:szCs w:val="13"/>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3"/>
          <w:szCs w:val="13"/>
          <w:u w:val="single" w:color="auto"/>
          <w:color w:val="auto"/>
        </w:rPr>
        <w:t>Article VII.D.4(b)</w:t>
      </w:r>
      <w:r>
        <w:rPr>
          <w:rFonts w:ascii="Arial" w:cs="Arial" w:eastAsia="Arial" w:hAnsi="Arial"/>
          <w:sz w:val="13"/>
          <w:szCs w:val="13"/>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3"/>
          <w:szCs w:val="13"/>
          <w:u w:val="single" w:color="auto"/>
          <w:color w:val="auto"/>
        </w:rPr>
        <w:t>Article VII.D.4(b)</w:t>
      </w:r>
      <w:r>
        <w:rPr>
          <w:rFonts w:ascii="Arial" w:cs="Arial" w:eastAsia="Arial" w:hAnsi="Arial"/>
          <w:sz w:val="13"/>
          <w:szCs w:val="13"/>
          <w:color w:val="auto"/>
        </w:rPr>
        <w:t xml:space="preserve"> hereof, until such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28" w:name="page229"/>
    <w:bookmarkEnd w:id="228"/>
    <w:p>
      <w:pPr>
        <w:ind w:right="260"/>
        <w:spacing w:after="0" w:line="268" w:lineRule="auto"/>
        <w:rPr>
          <w:sz w:val="20"/>
          <w:szCs w:val="20"/>
          <w:color w:val="auto"/>
        </w:rPr>
      </w:pPr>
      <w:r>
        <w:rPr>
          <w:rFonts w:ascii="Arial" w:cs="Arial" w:eastAsia="Arial" w:hAnsi="Arial"/>
          <w:sz w:val="14"/>
          <w:szCs w:val="14"/>
          <w:color w:val="auto"/>
        </w:rPr>
        <w:t>time as any such distributions become deliverable. Undeliverable distributions will not be entitled to any additional interest, dividends or other accruals of any kind on account of their distribution being undeliverable.</w:t>
      </w:r>
    </w:p>
    <w:p>
      <w:pPr>
        <w:spacing w:after="0" w:line="138" w:lineRule="exact"/>
        <w:rPr>
          <w:sz w:val="20"/>
          <w:szCs w:val="20"/>
          <w:color w:val="auto"/>
        </w:rPr>
      </w:pPr>
    </w:p>
    <w:p>
      <w:pPr>
        <w:ind w:left="1500" w:hanging="501"/>
        <w:spacing w:after="0"/>
        <w:tabs>
          <w:tab w:leader="none" w:pos="150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Failure to Claim Undeliverable Distributions</w:t>
      </w:r>
    </w:p>
    <w:p>
      <w:pPr>
        <w:spacing w:after="0" w:line="171" w:lineRule="exact"/>
        <w:rPr>
          <w:sz w:val="20"/>
          <w:szCs w:val="20"/>
          <w:color w:val="auto"/>
        </w:rPr>
      </w:pPr>
    </w:p>
    <w:p>
      <w:pPr>
        <w:ind w:firstLine="498"/>
        <w:spacing w:after="0" w:line="273" w:lineRule="auto"/>
        <w:rPr>
          <w:sz w:val="20"/>
          <w:szCs w:val="20"/>
          <w:color w:val="auto"/>
        </w:rPr>
      </w:pPr>
      <w:r>
        <w:rPr>
          <w:rFonts w:ascii="Arial" w:cs="Arial" w:eastAsia="Arial" w:hAnsi="Arial"/>
          <w:sz w:val="13"/>
          <w:szCs w:val="13"/>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37" w:lineRule="exact"/>
        <w:rPr>
          <w:sz w:val="20"/>
          <w:szCs w:val="20"/>
          <w:color w:val="auto"/>
        </w:rPr>
      </w:pPr>
    </w:p>
    <w:p>
      <w:pPr>
        <w:ind w:left="1500" w:hanging="501"/>
        <w:spacing w:after="0"/>
        <w:tabs>
          <w:tab w:leader="none" w:pos="150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Failure to Present Checks</w:t>
      </w:r>
    </w:p>
    <w:p>
      <w:pPr>
        <w:spacing w:after="0" w:line="171" w:lineRule="exact"/>
        <w:rPr>
          <w:sz w:val="20"/>
          <w:szCs w:val="20"/>
          <w:color w:val="auto"/>
        </w:rPr>
      </w:pPr>
    </w:p>
    <w:p>
      <w:pPr>
        <w:ind w:right="40" w:firstLine="498"/>
        <w:spacing w:after="0" w:line="273" w:lineRule="auto"/>
        <w:rPr>
          <w:sz w:val="20"/>
          <w:szCs w:val="20"/>
          <w:color w:val="auto"/>
        </w:rPr>
      </w:pPr>
      <w:r>
        <w:rPr>
          <w:rFonts w:ascii="Arial" w:cs="Arial" w:eastAsia="Arial" w:hAnsi="Arial"/>
          <w:sz w:val="13"/>
          <w:szCs w:val="13"/>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this Plan.</w:t>
      </w:r>
    </w:p>
    <w:p>
      <w:pPr>
        <w:spacing w:after="0" w:line="137" w:lineRule="exact"/>
        <w:rPr>
          <w:sz w:val="20"/>
          <w:szCs w:val="20"/>
          <w:color w:val="auto"/>
        </w:rPr>
      </w:pPr>
    </w:p>
    <w:p>
      <w:pPr>
        <w:ind w:left="500" w:hanging="497"/>
        <w:spacing w:after="0"/>
        <w:tabs>
          <w:tab w:leader="none" w:pos="500" w:val="left"/>
        </w:tabs>
        <w:numPr>
          <w:ilvl w:val="0"/>
          <w:numId w:val="226"/>
        </w:numPr>
        <w:rPr>
          <w:rFonts w:ascii="Arial" w:cs="Arial" w:eastAsia="Arial" w:hAnsi="Arial"/>
          <w:sz w:val="14"/>
          <w:szCs w:val="14"/>
          <w:i w:val="1"/>
          <w:iCs w:val="1"/>
          <w:color w:val="auto"/>
        </w:rPr>
      </w:pPr>
      <w:r>
        <w:rPr>
          <w:rFonts w:ascii="Arial" w:cs="Arial" w:eastAsia="Arial" w:hAnsi="Arial"/>
          <w:sz w:val="14"/>
          <w:szCs w:val="14"/>
          <w:i w:val="1"/>
          <w:iCs w:val="1"/>
          <w:color w:val="auto"/>
        </w:rPr>
        <w:t>Compliance with Tax Requirements</w:t>
      </w:r>
    </w:p>
    <w:p>
      <w:pPr>
        <w:spacing w:after="0" w:line="171" w:lineRule="exact"/>
        <w:rPr>
          <w:sz w:val="20"/>
          <w:szCs w:val="20"/>
          <w:color w:val="auto"/>
        </w:rPr>
      </w:pPr>
    </w:p>
    <w:p>
      <w:pPr>
        <w:ind w:firstLine="498"/>
        <w:spacing w:after="0" w:line="280" w:lineRule="auto"/>
        <w:rPr>
          <w:sz w:val="20"/>
          <w:szCs w:val="20"/>
          <w:color w:val="auto"/>
        </w:rPr>
      </w:pPr>
      <w:r>
        <w:rPr>
          <w:rFonts w:ascii="Arial" w:cs="Arial" w:eastAsia="Arial" w:hAnsi="Arial"/>
          <w:sz w:val="13"/>
          <w:szCs w:val="13"/>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229" w:name="page230"/>
    <w:bookmarkEnd w:id="229"/>
    <w:p>
      <w:pPr>
        <w:ind w:right="340"/>
        <w:spacing w:after="0" w:line="258" w:lineRule="auto"/>
        <w:rPr>
          <w:sz w:val="20"/>
          <w:szCs w:val="20"/>
          <w:color w:val="auto"/>
        </w:rPr>
      </w:pPr>
      <w:r>
        <w:rPr>
          <w:rFonts w:ascii="Arial" w:cs="Arial" w:eastAsia="Arial" w:hAnsi="Arial"/>
          <w:sz w:val="14"/>
          <w:szCs w:val="14"/>
          <w:color w:val="auto"/>
        </w:rPr>
        <w:t>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45" w:lineRule="exact"/>
        <w:rPr>
          <w:sz w:val="20"/>
          <w:szCs w:val="20"/>
          <w:color w:val="auto"/>
        </w:rPr>
      </w:pPr>
    </w:p>
    <w:p>
      <w:pPr>
        <w:ind w:left="480" w:hanging="477"/>
        <w:spacing w:after="0"/>
        <w:tabs>
          <w:tab w:leader="none" w:pos="480" w:val="left"/>
        </w:tabs>
        <w:numPr>
          <w:ilvl w:val="0"/>
          <w:numId w:val="227"/>
        </w:numPr>
        <w:rPr>
          <w:rFonts w:ascii="Arial" w:cs="Arial" w:eastAsia="Arial" w:hAnsi="Arial"/>
          <w:sz w:val="14"/>
          <w:szCs w:val="14"/>
          <w:i w:val="1"/>
          <w:iCs w:val="1"/>
          <w:color w:val="auto"/>
        </w:rPr>
      </w:pPr>
      <w:r>
        <w:rPr>
          <w:rFonts w:ascii="Arial" w:cs="Arial" w:eastAsia="Arial" w:hAnsi="Arial"/>
          <w:sz w:val="14"/>
          <w:szCs w:val="14"/>
          <w:i w:val="1"/>
          <w:iCs w:val="1"/>
          <w:color w:val="auto"/>
        </w:rPr>
        <w:t>[Intentionally Omitted]</w:t>
      </w:r>
    </w:p>
    <w:p>
      <w:pPr>
        <w:spacing w:after="0" w:line="170" w:lineRule="exact"/>
        <w:rPr>
          <w:rFonts w:ascii="Arial" w:cs="Arial" w:eastAsia="Arial" w:hAnsi="Arial"/>
          <w:sz w:val="14"/>
          <w:szCs w:val="14"/>
          <w:i w:val="1"/>
          <w:iCs w:val="1"/>
          <w:color w:val="auto"/>
        </w:rPr>
      </w:pPr>
    </w:p>
    <w:p>
      <w:pPr>
        <w:ind w:left="520" w:hanging="517"/>
        <w:spacing w:after="0"/>
        <w:tabs>
          <w:tab w:leader="none" w:pos="520" w:val="left"/>
        </w:tabs>
        <w:numPr>
          <w:ilvl w:val="0"/>
          <w:numId w:val="227"/>
        </w:numPr>
        <w:rPr>
          <w:rFonts w:ascii="Arial" w:cs="Arial" w:eastAsia="Arial" w:hAnsi="Arial"/>
          <w:sz w:val="14"/>
          <w:szCs w:val="14"/>
          <w:i w:val="1"/>
          <w:iCs w:val="1"/>
          <w:color w:val="auto"/>
        </w:rPr>
      </w:pPr>
      <w:r>
        <w:rPr>
          <w:rFonts w:ascii="Arial" w:cs="Arial" w:eastAsia="Arial" w:hAnsi="Arial"/>
          <w:sz w:val="14"/>
          <w:szCs w:val="14"/>
          <w:i w:val="1"/>
          <w:iCs w:val="1"/>
          <w:color w:val="auto"/>
        </w:rPr>
        <w:t>Means of Cash Payment</w:t>
      </w:r>
    </w:p>
    <w:p>
      <w:pPr>
        <w:spacing w:after="0" w:line="171" w:lineRule="exact"/>
        <w:rPr>
          <w:sz w:val="20"/>
          <w:szCs w:val="20"/>
          <w:color w:val="auto"/>
        </w:rPr>
      </w:pPr>
    </w:p>
    <w:p>
      <w:pPr>
        <w:jc w:val="both"/>
        <w:ind w:right="60" w:firstLine="498"/>
        <w:spacing w:after="0" w:line="287" w:lineRule="auto"/>
        <w:rPr>
          <w:sz w:val="20"/>
          <w:szCs w:val="20"/>
          <w:color w:val="auto"/>
        </w:rPr>
      </w:pPr>
      <w:r>
        <w:rPr>
          <w:rFonts w:ascii="Arial" w:cs="Arial" w:eastAsia="Arial" w:hAnsi="Arial"/>
          <w:sz w:val="13"/>
          <w:szCs w:val="13"/>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28" w:lineRule="exact"/>
        <w:rPr>
          <w:sz w:val="20"/>
          <w:szCs w:val="20"/>
          <w:color w:val="auto"/>
        </w:rPr>
      </w:pPr>
    </w:p>
    <w:p>
      <w:pPr>
        <w:ind w:left="520" w:hanging="517"/>
        <w:spacing w:after="0"/>
        <w:tabs>
          <w:tab w:leader="none" w:pos="520" w:val="left"/>
        </w:tabs>
        <w:numPr>
          <w:ilvl w:val="0"/>
          <w:numId w:val="228"/>
        </w:numPr>
        <w:rPr>
          <w:rFonts w:ascii="Arial" w:cs="Arial" w:eastAsia="Arial" w:hAnsi="Arial"/>
          <w:sz w:val="14"/>
          <w:szCs w:val="14"/>
          <w:i w:val="1"/>
          <w:iCs w:val="1"/>
          <w:color w:val="auto"/>
        </w:rPr>
      </w:pPr>
      <w:r>
        <w:rPr>
          <w:rFonts w:ascii="Arial" w:cs="Arial" w:eastAsia="Arial" w:hAnsi="Arial"/>
          <w:sz w:val="14"/>
          <w:szCs w:val="14"/>
          <w:i w:val="1"/>
          <w:iCs w:val="1"/>
          <w:color w:val="auto"/>
        </w:rPr>
        <w:t>Timing and Calculation of Amounts to Be Distributed</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 xml:space="preserve">Except as otherwise provided in the “Treatment” sections in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hereof.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36" w:lineRule="exact"/>
        <w:rPr>
          <w:sz w:val="20"/>
          <w:szCs w:val="20"/>
          <w:color w:val="auto"/>
        </w:rPr>
      </w:pPr>
    </w:p>
    <w:p>
      <w:pPr>
        <w:ind w:left="500" w:hanging="497"/>
        <w:spacing w:after="0"/>
        <w:tabs>
          <w:tab w:leader="none" w:pos="500" w:val="left"/>
        </w:tabs>
        <w:numPr>
          <w:ilvl w:val="0"/>
          <w:numId w:val="229"/>
        </w:numPr>
        <w:rPr>
          <w:rFonts w:ascii="Arial" w:cs="Arial" w:eastAsia="Arial" w:hAnsi="Arial"/>
          <w:sz w:val="14"/>
          <w:szCs w:val="14"/>
          <w:i w:val="1"/>
          <w:iCs w:val="1"/>
          <w:color w:val="auto"/>
        </w:rPr>
      </w:pPr>
      <w:r>
        <w:rPr>
          <w:rFonts w:ascii="Arial" w:cs="Arial" w:eastAsia="Arial" w:hAnsi="Arial"/>
          <w:sz w:val="14"/>
          <w:szCs w:val="14"/>
          <w:i w:val="1"/>
          <w:iCs w:val="1"/>
          <w:color w:val="auto"/>
        </w:rPr>
        <w:t>Setoffs</w:t>
      </w:r>
    </w:p>
    <w:p>
      <w:pPr>
        <w:spacing w:after="0" w:line="171" w:lineRule="exact"/>
        <w:rPr>
          <w:sz w:val="20"/>
          <w:szCs w:val="20"/>
          <w:color w:val="auto"/>
        </w:rPr>
      </w:pPr>
    </w:p>
    <w:p>
      <w:pPr>
        <w:ind w:right="20" w:firstLine="498"/>
        <w:spacing w:after="0" w:line="272" w:lineRule="auto"/>
        <w:rPr>
          <w:sz w:val="20"/>
          <w:szCs w:val="20"/>
          <w:color w:val="auto"/>
        </w:rPr>
      </w:pPr>
      <w:r>
        <w:rPr>
          <w:rFonts w:ascii="Arial" w:cs="Arial" w:eastAsia="Arial" w:hAnsi="Arial"/>
          <w:sz w:val="13"/>
          <w:szCs w:val="13"/>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30" w:name="page231"/>
    <w:bookmarkEnd w:id="230"/>
    <w:p>
      <w:pPr>
        <w:ind w:right="20"/>
        <w:spacing w:after="0" w:line="254" w:lineRule="auto"/>
        <w:rPr>
          <w:sz w:val="20"/>
          <w:szCs w:val="20"/>
          <w:color w:val="auto"/>
        </w:rPr>
      </w:pPr>
      <w:r>
        <w:rPr>
          <w:rFonts w:ascii="Arial" w:cs="Arial" w:eastAsia="Arial" w:hAnsi="Arial"/>
          <w:sz w:val="14"/>
          <w:szCs w:val="14"/>
          <w:color w:val="auto"/>
        </w:rPr>
        <w:t>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PROCEDURES FOR RESOLVING CONTINGENT,</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UNLIQUIDATED, AND DISPUTED CLAIMS AND EQUITY INTERESTS</w:t>
      </w:r>
    </w:p>
    <w:p>
      <w:pPr>
        <w:spacing w:after="0" w:line="162" w:lineRule="exact"/>
        <w:rPr>
          <w:sz w:val="20"/>
          <w:szCs w:val="20"/>
          <w:color w:val="auto"/>
        </w:rPr>
      </w:pPr>
    </w:p>
    <w:p>
      <w:pPr>
        <w:ind w:left="500" w:right="8100" w:hanging="497"/>
        <w:spacing w:after="0" w:line="577" w:lineRule="auto"/>
        <w:tabs>
          <w:tab w:leader="none" w:pos="505" w:val="left"/>
        </w:tabs>
        <w:numPr>
          <w:ilvl w:val="0"/>
          <w:numId w:val="230"/>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Resolution of Disputed Claims and Equity Interests </w:t>
      </w:r>
      <w:r>
        <w:rPr>
          <w:rFonts w:ascii="Arial" w:cs="Arial" w:eastAsia="Arial" w:hAnsi="Arial"/>
          <w:sz w:val="12"/>
          <w:szCs w:val="12"/>
          <w:color w:val="auto"/>
        </w:rPr>
        <w:t xml:space="preserve">1. </w:t>
      </w:r>
      <w:r>
        <w:rPr>
          <w:rFonts w:ascii="Arial" w:cs="Arial" w:eastAsia="Arial" w:hAnsi="Arial"/>
          <w:sz w:val="12"/>
          <w:szCs w:val="12"/>
          <w:u w:val="single" w:color="auto"/>
          <w:color w:val="auto"/>
        </w:rPr>
        <w:t>Allowance of Claims and Equity Interests</w:t>
      </w:r>
    </w:p>
    <w:p>
      <w:pPr>
        <w:ind w:firstLine="498"/>
        <w:spacing w:after="0" w:line="280" w:lineRule="auto"/>
        <w:rPr>
          <w:sz w:val="20"/>
          <w:szCs w:val="20"/>
          <w:color w:val="auto"/>
        </w:rPr>
      </w:pPr>
      <w:r>
        <w:rPr>
          <w:rFonts w:ascii="Arial" w:cs="Arial" w:eastAsia="Arial" w:hAnsi="Arial"/>
          <w:sz w:val="13"/>
          <w:szCs w:val="13"/>
          <w:color w:val="auto"/>
        </w:rPr>
        <w:t>After the Effective Date, and except as otherwise provided in this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32" w:lineRule="exact"/>
        <w:rPr>
          <w:sz w:val="20"/>
          <w:szCs w:val="20"/>
          <w:color w:val="auto"/>
        </w:rPr>
      </w:pPr>
    </w:p>
    <w:p>
      <w:pPr>
        <w:ind w:left="740" w:hanging="239"/>
        <w:spacing w:after="0"/>
        <w:tabs>
          <w:tab w:leader="none" w:pos="740"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Prosecution of Objections to Claims and Equity Interests</w:t>
      </w:r>
    </w:p>
    <w:p>
      <w:pPr>
        <w:spacing w:after="0" w:line="171" w:lineRule="exact"/>
        <w:rPr>
          <w:sz w:val="20"/>
          <w:szCs w:val="20"/>
          <w:color w:val="auto"/>
        </w:rPr>
      </w:pPr>
    </w:p>
    <w:p>
      <w:pPr>
        <w:ind w:right="140" w:firstLine="498"/>
        <w:spacing w:after="0" w:line="250" w:lineRule="auto"/>
        <w:rPr>
          <w:sz w:val="20"/>
          <w:szCs w:val="20"/>
          <w:color w:val="auto"/>
        </w:rPr>
      </w:pPr>
      <w:r>
        <w:rPr>
          <w:rFonts w:ascii="Arial" w:cs="Arial" w:eastAsia="Arial" w:hAnsi="Arial"/>
          <w:sz w:val="14"/>
          <w:szCs w:val="14"/>
          <w:color w:val="auto"/>
        </w:rPr>
        <w:t xml:space="preserve">After the Confirmation Date but before the Effective Date, the Debtors (in consultation with the Ad Hoc Noteholder Committee and the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31" w:name="page232"/>
    <w:bookmarkEnd w:id="231"/>
    <w:p>
      <w:pPr>
        <w:ind w:left="740" w:hanging="239"/>
        <w:spacing w:after="0"/>
        <w:tabs>
          <w:tab w:leader="none" w:pos="740" w:val="left"/>
        </w:tabs>
        <w:numPr>
          <w:ilvl w:val="0"/>
          <w:numId w:val="232"/>
        </w:numPr>
        <w:rPr>
          <w:rFonts w:ascii="Arial" w:cs="Arial" w:eastAsia="Arial" w:hAnsi="Arial"/>
          <w:sz w:val="14"/>
          <w:szCs w:val="14"/>
          <w:color w:val="auto"/>
        </w:rPr>
      </w:pPr>
      <w:r>
        <w:rPr>
          <w:rFonts w:ascii="Arial" w:cs="Arial" w:eastAsia="Arial" w:hAnsi="Arial"/>
          <w:sz w:val="14"/>
          <w:szCs w:val="14"/>
          <w:u w:val="single" w:color="auto"/>
          <w:color w:val="auto"/>
        </w:rPr>
        <w:t>Claims Estimation</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After the Confirmation Date but before the Effective Date, the Debtors (in consultation with the Ad Hoc Noteholder Committee and the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38" w:lineRule="exact"/>
        <w:rPr>
          <w:sz w:val="20"/>
          <w:szCs w:val="20"/>
          <w:color w:val="auto"/>
        </w:rPr>
      </w:pPr>
    </w:p>
    <w:p>
      <w:pPr>
        <w:ind w:left="740" w:hanging="239"/>
        <w:spacing w:after="0"/>
        <w:tabs>
          <w:tab w:leader="none" w:pos="740" w:val="left"/>
        </w:tabs>
        <w:numPr>
          <w:ilvl w:val="0"/>
          <w:numId w:val="233"/>
        </w:numPr>
        <w:rPr>
          <w:rFonts w:ascii="Arial" w:cs="Arial" w:eastAsia="Arial" w:hAnsi="Arial"/>
          <w:sz w:val="14"/>
          <w:szCs w:val="14"/>
          <w:color w:val="auto"/>
        </w:rPr>
      </w:pPr>
      <w:r>
        <w:rPr>
          <w:rFonts w:ascii="Arial" w:cs="Arial" w:eastAsia="Arial" w:hAnsi="Arial"/>
          <w:sz w:val="14"/>
          <w:szCs w:val="14"/>
          <w:u w:val="single" w:color="auto"/>
          <w:color w:val="auto"/>
        </w:rPr>
        <w:t>No Filings of Proofs of Claim or Equity Interests</w:t>
      </w:r>
    </w:p>
    <w:p>
      <w:pPr>
        <w:spacing w:after="0" w:line="171" w:lineRule="exact"/>
        <w:rPr>
          <w:sz w:val="20"/>
          <w:szCs w:val="20"/>
          <w:color w:val="auto"/>
        </w:rPr>
      </w:pPr>
    </w:p>
    <w:p>
      <w:pPr>
        <w:ind w:firstLine="498"/>
        <w:spacing w:after="0" w:line="270" w:lineRule="auto"/>
        <w:rPr>
          <w:sz w:val="20"/>
          <w:szCs w:val="20"/>
          <w:color w:val="auto"/>
        </w:rPr>
      </w:pPr>
      <w:r>
        <w:rPr>
          <w:rFonts w:ascii="Arial" w:cs="Arial" w:eastAsia="Arial" w:hAnsi="Arial"/>
          <w:sz w:val="13"/>
          <w:szCs w:val="13"/>
          <w:color w:val="auto"/>
        </w:rPr>
        <w:t xml:space="preserve">Except as otherwise provided in this Plan,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Debtors and the Reorganized Debtors, as applicable, reserve the right to object to any Claim or Equity Interest (other than those that are Allowed under this Plan) that is entitled, or deemed to be entitled, to a distribution under this Plan or is rendered Unimpaired under this Plan. Instead, the Debtors intend to make distributions, 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(other than those that are Allowed under this Plan) or any other appropriate motion or adversary proceeding with respect thereto. All such objections will be litigated to Final Order;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Debtors may, with the consent of the Required Consenting Noteholders, compromise, settle, withdraw or resolve by any other method approved by the Bankruptcy Court any objections to Claims or Equity Interests.</w:t>
      </w:r>
    </w:p>
    <w:p>
      <w:pPr>
        <w:spacing w:after="0" w:line="139" w:lineRule="exact"/>
        <w:rPr>
          <w:sz w:val="20"/>
          <w:szCs w:val="20"/>
          <w:color w:val="auto"/>
        </w:rPr>
      </w:pPr>
    </w:p>
    <w:p>
      <w:pPr>
        <w:ind w:left="500" w:hanging="497"/>
        <w:spacing w:after="0"/>
        <w:tabs>
          <w:tab w:leader="none" w:pos="500" w:val="left"/>
        </w:tabs>
        <w:numPr>
          <w:ilvl w:val="0"/>
          <w:numId w:val="234"/>
        </w:numPr>
        <w:rPr>
          <w:rFonts w:ascii="Arial" w:cs="Arial" w:eastAsia="Arial" w:hAnsi="Arial"/>
          <w:sz w:val="14"/>
          <w:szCs w:val="14"/>
          <w:i w:val="1"/>
          <w:iCs w:val="1"/>
          <w:color w:val="auto"/>
        </w:rPr>
      </w:pPr>
      <w:r>
        <w:rPr>
          <w:rFonts w:ascii="Arial" w:cs="Arial" w:eastAsia="Arial" w:hAnsi="Arial"/>
          <w:sz w:val="14"/>
          <w:szCs w:val="14"/>
          <w:i w:val="1"/>
          <w:iCs w:val="1"/>
          <w:color w:val="auto"/>
        </w:rPr>
        <w:t>No Distributions Pending Allowance</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Notwithstanding any other provision of this Plan to the contrary, no payments or distributions of any kind or nature will be made with respect to all or any portion of a Disputed Claim or Disputed Equity Interest unless and until all objections to such Disputed Claim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32" w:name="page233"/>
    <w:bookmarkEnd w:id="232"/>
    <w:p>
      <w:pPr>
        <w:ind w:right="120"/>
        <w:spacing w:after="0" w:line="258" w:lineRule="auto"/>
        <w:rPr>
          <w:sz w:val="20"/>
          <w:szCs w:val="20"/>
          <w:color w:val="auto"/>
        </w:rPr>
      </w:pPr>
      <w:r>
        <w:rPr>
          <w:rFonts w:ascii="Arial" w:cs="Arial" w:eastAsia="Arial" w:hAnsi="Arial"/>
          <w:sz w:val="14"/>
          <w:szCs w:val="14"/>
          <w:color w:val="auto"/>
        </w:rPr>
        <w:t xml:space="preserve">Disputed Equity Interest have been settled or withdrawn or have been determined by Final Order, and the Disputed Claim or Disputed Equity Interest is or becomes Allowed by Final Order;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45" w:lineRule="exact"/>
        <w:rPr>
          <w:sz w:val="20"/>
          <w:szCs w:val="20"/>
          <w:color w:val="auto"/>
        </w:rPr>
      </w:pPr>
    </w:p>
    <w:p>
      <w:pPr>
        <w:ind w:left="500" w:right="320" w:hanging="497"/>
        <w:spacing w:after="0" w:line="268" w:lineRule="auto"/>
        <w:tabs>
          <w:tab w:leader="none" w:pos="502" w:val="left"/>
        </w:tabs>
        <w:numPr>
          <w:ilvl w:val="0"/>
          <w:numId w:val="235"/>
        </w:numPr>
        <w:rPr>
          <w:rFonts w:ascii="Arial" w:cs="Arial" w:eastAsia="Arial" w:hAnsi="Arial"/>
          <w:sz w:val="14"/>
          <w:szCs w:val="14"/>
          <w:i w:val="1"/>
          <w:iCs w:val="1"/>
          <w:color w:val="auto"/>
        </w:rPr>
      </w:pPr>
      <w:r>
        <w:rPr>
          <w:rFonts w:ascii="Arial" w:cs="Arial" w:eastAsia="Arial" w:hAnsi="Arial"/>
          <w:sz w:val="14"/>
          <w:szCs w:val="14"/>
          <w:i w:val="1"/>
          <w:iCs w:val="1"/>
          <w:color w:val="auto"/>
        </w:rPr>
        <w:t>Distributions on Account of Disputed Claims and Disputed Equity Interests Once They Are Allowed and Additional Distributions on Account of Previously Allowed Claims and Allowed Equity Interests</w:t>
      </w:r>
    </w:p>
    <w:p>
      <w:pPr>
        <w:spacing w:after="0" w:line="138" w:lineRule="exact"/>
        <w:rPr>
          <w:sz w:val="20"/>
          <w:szCs w:val="20"/>
          <w:color w:val="auto"/>
        </w:rPr>
      </w:pPr>
    </w:p>
    <w:p>
      <w:pPr>
        <w:ind w:firstLine="498"/>
        <w:spacing w:after="0" w:line="250" w:lineRule="auto"/>
        <w:rPr>
          <w:sz w:val="20"/>
          <w:szCs w:val="20"/>
          <w:color w:val="auto"/>
        </w:rPr>
      </w:pPr>
      <w:r>
        <w:rPr>
          <w:rFonts w:ascii="Arial" w:cs="Arial" w:eastAsia="Arial" w:hAnsi="Arial"/>
          <w:sz w:val="14"/>
          <w:szCs w:val="14"/>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of this Plan. For the avoidance of doubt, but without limiting the terms or conditions of </w:t>
      </w:r>
      <w:r>
        <w:rPr>
          <w:rFonts w:ascii="Arial" w:cs="Arial" w:eastAsia="Arial" w:hAnsi="Arial"/>
          <w:sz w:val="14"/>
          <w:szCs w:val="14"/>
          <w:u w:val="single" w:color="auto"/>
          <w:color w:val="auto"/>
        </w:rPr>
        <w:t>Article VII.B</w:t>
      </w:r>
      <w:r>
        <w:rPr>
          <w:rFonts w:ascii="Arial" w:cs="Arial" w:eastAsia="Arial" w:hAnsi="Arial"/>
          <w:sz w:val="14"/>
          <w:szCs w:val="14"/>
          <w:color w:val="auto"/>
        </w:rPr>
        <w:t xml:space="preserve"> or Paragraph B of this </w:t>
      </w:r>
      <w:r>
        <w:rPr>
          <w:rFonts w:ascii="Arial" w:cs="Arial" w:eastAsia="Arial" w:hAnsi="Arial"/>
          <w:sz w:val="14"/>
          <w:szCs w:val="14"/>
          <w:u w:val="single" w:color="auto"/>
          <w:color w:val="auto"/>
        </w:rPr>
        <w:t>Article VIII</w:t>
      </w:r>
      <w:r>
        <w:rPr>
          <w:rFonts w:ascii="Arial" w:cs="Arial" w:eastAsia="Arial" w:hAnsi="Arial"/>
          <w:sz w:val="14"/>
          <w:szCs w:val="14"/>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52" w:lineRule="exact"/>
        <w:rPr>
          <w:sz w:val="20"/>
          <w:szCs w:val="20"/>
          <w:color w:val="auto"/>
        </w:rPr>
      </w:pPr>
    </w:p>
    <w:p>
      <w:pPr>
        <w:ind w:left="520" w:hanging="517"/>
        <w:spacing w:after="0"/>
        <w:tabs>
          <w:tab w:leader="none" w:pos="520" w:val="left"/>
        </w:tabs>
        <w:numPr>
          <w:ilvl w:val="0"/>
          <w:numId w:val="236"/>
        </w:numPr>
        <w:rPr>
          <w:rFonts w:ascii="Arial" w:cs="Arial" w:eastAsia="Arial" w:hAnsi="Arial"/>
          <w:sz w:val="14"/>
          <w:szCs w:val="14"/>
          <w:i w:val="1"/>
          <w:iCs w:val="1"/>
          <w:color w:val="auto"/>
        </w:rPr>
      </w:pPr>
      <w:r>
        <w:rPr>
          <w:rFonts w:ascii="Arial" w:cs="Arial" w:eastAsia="Arial" w:hAnsi="Arial"/>
          <w:sz w:val="14"/>
          <w:szCs w:val="14"/>
          <w:i w:val="1"/>
          <w:iCs w:val="1"/>
          <w:color w:val="auto"/>
        </w:rPr>
        <w:t>Reserve for Disputed Claims and Disputed Equity Interests</w:t>
      </w:r>
    </w:p>
    <w:p>
      <w:pPr>
        <w:spacing w:after="0" w:line="171" w:lineRule="exact"/>
        <w:rPr>
          <w:sz w:val="20"/>
          <w:szCs w:val="20"/>
          <w:color w:val="auto"/>
        </w:rPr>
      </w:pPr>
    </w:p>
    <w:p>
      <w:pPr>
        <w:ind w:right="40" w:firstLine="498"/>
        <w:spacing w:after="0" w:line="304" w:lineRule="auto"/>
        <w:rPr>
          <w:sz w:val="20"/>
          <w:szCs w:val="20"/>
          <w:color w:val="auto"/>
        </w:rPr>
      </w:pPr>
      <w:r>
        <w:rPr>
          <w:rFonts w:ascii="Arial" w:cs="Arial" w:eastAsia="Arial" w:hAnsi="Arial"/>
          <w:sz w:val="12"/>
          <w:szCs w:val="12"/>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the Debtors and the Reorganized Debtors, as applicable, will have the right to file a motion seeking to estimate any Disputed Claims or Disputed Equity Interest.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233" w:name="page234"/>
    <w:bookmarkEnd w:id="233"/>
    <w:p>
      <w:pPr>
        <w:jc w:val="center"/>
        <w:ind w:right="-96"/>
        <w:spacing w:after="0"/>
        <w:rPr>
          <w:sz w:val="20"/>
          <w:szCs w:val="20"/>
          <w:color w:val="auto"/>
        </w:rPr>
      </w:pPr>
      <w:r>
        <w:rPr>
          <w:rFonts w:ascii="Arial" w:cs="Arial" w:eastAsia="Arial" w:hAnsi="Arial"/>
          <w:sz w:val="14"/>
          <w:szCs w:val="14"/>
          <w:b w:val="1"/>
          <w:bCs w:val="1"/>
          <w:color w:val="auto"/>
        </w:rPr>
        <w:t>ARTICLE IX.</w:t>
      </w:r>
    </w:p>
    <w:p>
      <w:pPr>
        <w:spacing w:after="0" w:line="171" w:lineRule="exact"/>
        <w:rPr>
          <w:sz w:val="20"/>
          <w:szCs w:val="20"/>
          <w:color w:val="auto"/>
        </w:rPr>
      </w:pPr>
    </w:p>
    <w:p>
      <w:pPr>
        <w:jc w:val="center"/>
        <w:ind w:right="-96"/>
        <w:spacing w:after="0"/>
        <w:rPr>
          <w:sz w:val="20"/>
          <w:szCs w:val="20"/>
          <w:color w:val="auto"/>
        </w:rPr>
      </w:pPr>
      <w:r>
        <w:rPr>
          <w:rFonts w:ascii="Arial" w:cs="Arial" w:eastAsia="Arial" w:hAnsi="Arial"/>
          <w:sz w:val="14"/>
          <w:szCs w:val="14"/>
          <w:b w:val="1"/>
          <w:bCs w:val="1"/>
          <w:color w:val="auto"/>
        </w:rPr>
        <w:t>CONDITIONS PRECEDENT TO CONFIRMATION</w:t>
      </w:r>
    </w:p>
    <w:p>
      <w:pPr>
        <w:spacing w:after="0" w:line="18" w:lineRule="exact"/>
        <w:rPr>
          <w:sz w:val="20"/>
          <w:szCs w:val="20"/>
          <w:color w:val="auto"/>
        </w:rPr>
      </w:pPr>
    </w:p>
    <w:p>
      <w:pPr>
        <w:jc w:val="center"/>
        <w:ind w:right="-96"/>
        <w:spacing w:after="0"/>
        <w:rPr>
          <w:sz w:val="20"/>
          <w:szCs w:val="20"/>
          <w:color w:val="auto"/>
        </w:rPr>
      </w:pPr>
      <w:r>
        <w:rPr>
          <w:rFonts w:ascii="Arial" w:cs="Arial" w:eastAsia="Arial" w:hAnsi="Arial"/>
          <w:sz w:val="14"/>
          <w:szCs w:val="14"/>
          <w:b w:val="1"/>
          <w:bCs w:val="1"/>
          <w:color w:val="auto"/>
        </w:rPr>
        <w:t>AND CONSUMMATION OF THE PLAN</w:t>
      </w:r>
    </w:p>
    <w:p>
      <w:pPr>
        <w:spacing w:after="0" w:line="162" w:lineRule="exact"/>
        <w:rPr>
          <w:sz w:val="20"/>
          <w:szCs w:val="20"/>
          <w:color w:val="auto"/>
        </w:rPr>
      </w:pPr>
    </w:p>
    <w:p>
      <w:pPr>
        <w:ind w:left="497" w:hanging="497"/>
        <w:spacing w:after="0"/>
        <w:tabs>
          <w:tab w:leader="none" w:pos="497" w:val="left"/>
        </w:tabs>
        <w:numPr>
          <w:ilvl w:val="0"/>
          <w:numId w:val="237"/>
        </w:numPr>
        <w:rPr>
          <w:rFonts w:ascii="Arial" w:cs="Arial" w:eastAsia="Arial" w:hAnsi="Arial"/>
          <w:sz w:val="14"/>
          <w:szCs w:val="14"/>
          <w:i w:val="1"/>
          <w:iCs w:val="1"/>
          <w:color w:val="auto"/>
        </w:rPr>
      </w:pPr>
      <w:r>
        <w:rPr>
          <w:rFonts w:ascii="Arial" w:cs="Arial" w:eastAsia="Arial" w:hAnsi="Arial"/>
          <w:sz w:val="14"/>
          <w:szCs w:val="14"/>
          <w:i w:val="1"/>
          <w:iCs w:val="1"/>
          <w:color w:val="auto"/>
        </w:rPr>
        <w:t>Conditions Precedent to Confirmation</w:t>
      </w:r>
    </w:p>
    <w:p>
      <w:pPr>
        <w:spacing w:after="0" w:line="170" w:lineRule="exact"/>
        <w:rPr>
          <w:rFonts w:ascii="Arial" w:cs="Arial" w:eastAsia="Arial" w:hAnsi="Arial"/>
          <w:sz w:val="14"/>
          <w:szCs w:val="14"/>
          <w:i w:val="1"/>
          <w:iCs w:val="1"/>
          <w:color w:val="auto"/>
        </w:rPr>
      </w:pPr>
    </w:p>
    <w:p>
      <w:pPr>
        <w:ind w:left="497"/>
        <w:spacing w:after="0"/>
        <w:rPr>
          <w:rFonts w:ascii="Arial" w:cs="Arial" w:eastAsia="Arial" w:hAnsi="Arial"/>
          <w:sz w:val="14"/>
          <w:szCs w:val="14"/>
          <w:i w:val="1"/>
          <w:iCs w:val="1"/>
          <w:color w:val="auto"/>
        </w:rPr>
      </w:pPr>
      <w:r>
        <w:rPr>
          <w:rFonts w:ascii="Arial" w:cs="Arial" w:eastAsia="Arial" w:hAnsi="Arial"/>
          <w:sz w:val="14"/>
          <w:szCs w:val="14"/>
          <w:color w:val="auto"/>
        </w:rPr>
        <w:t xml:space="preserve">Unless satisfied or waived pursuant to the provisions of </w:t>
      </w:r>
      <w:r>
        <w:rPr>
          <w:rFonts w:ascii="Arial" w:cs="Arial" w:eastAsia="Arial" w:hAnsi="Arial"/>
          <w:sz w:val="14"/>
          <w:szCs w:val="14"/>
          <w:u w:val="single" w:color="auto"/>
          <w:color w:val="auto"/>
        </w:rPr>
        <w:t>Article IX.C</w:t>
      </w:r>
      <w:r>
        <w:rPr>
          <w:rFonts w:ascii="Arial" w:cs="Arial" w:eastAsia="Arial" w:hAnsi="Arial"/>
          <w:sz w:val="14"/>
          <w:szCs w:val="14"/>
          <w:color w:val="auto"/>
        </w:rPr>
        <w:t xml:space="preserve"> hereof, the following are conditions precedent to Confirmation of this Plan.</w:t>
      </w:r>
    </w:p>
    <w:p>
      <w:pPr>
        <w:spacing w:after="0" w:line="170" w:lineRule="exact"/>
        <w:rPr>
          <w:rFonts w:ascii="Arial" w:cs="Arial" w:eastAsia="Arial" w:hAnsi="Arial"/>
          <w:sz w:val="14"/>
          <w:szCs w:val="14"/>
          <w:i w:val="1"/>
          <w:iCs w:val="1"/>
          <w:color w:val="auto"/>
        </w:rPr>
      </w:pPr>
    </w:p>
    <w:p>
      <w:pPr>
        <w:ind w:left="-3" w:right="60" w:firstLine="501"/>
        <w:spacing w:after="0" w:line="287" w:lineRule="auto"/>
        <w:tabs>
          <w:tab w:leader="none" w:pos="744" w:val="left"/>
        </w:tabs>
        <w:numPr>
          <w:ilvl w:val="1"/>
          <w:numId w:val="237"/>
        </w:numPr>
        <w:rPr>
          <w:rFonts w:ascii="Arial" w:cs="Arial" w:eastAsia="Arial" w:hAnsi="Arial"/>
          <w:sz w:val="13"/>
          <w:szCs w:val="13"/>
          <w:color w:val="auto"/>
        </w:rPr>
      </w:pPr>
      <w:r>
        <w:rPr>
          <w:rFonts w:ascii="Arial" w:cs="Arial" w:eastAsia="Arial" w:hAnsi="Arial"/>
          <w:sz w:val="13"/>
          <w:szCs w:val="13"/>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otherwise consistent with the Restructuring Term Sheet and the Restructuring Support Agreement;</w:t>
      </w:r>
    </w:p>
    <w:p>
      <w:pPr>
        <w:spacing w:after="0" w:line="127" w:lineRule="exact"/>
        <w:rPr>
          <w:rFonts w:ascii="Arial" w:cs="Arial" w:eastAsia="Arial" w:hAnsi="Arial"/>
          <w:sz w:val="13"/>
          <w:szCs w:val="13"/>
          <w:color w:val="auto"/>
        </w:rPr>
      </w:pPr>
    </w:p>
    <w:p>
      <w:pPr>
        <w:ind w:left="-3" w:right="100" w:firstLine="501"/>
        <w:spacing w:after="0" w:line="280" w:lineRule="auto"/>
        <w:tabs>
          <w:tab w:leader="none" w:pos="744" w:val="left"/>
        </w:tabs>
        <w:numPr>
          <w:ilvl w:val="1"/>
          <w:numId w:val="237"/>
        </w:numPr>
        <w:rPr>
          <w:rFonts w:ascii="Arial" w:cs="Arial" w:eastAsia="Arial" w:hAnsi="Arial"/>
          <w:sz w:val="13"/>
          <w:szCs w:val="13"/>
          <w:color w:val="auto"/>
        </w:rPr>
      </w:pPr>
      <w:r>
        <w:rPr>
          <w:rFonts w:ascii="Arial" w:cs="Arial" w:eastAsia="Arial" w:hAnsi="Arial"/>
          <w:sz w:val="13"/>
          <w:szCs w:val="13"/>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reasonably acceptable to the Committee with respect to the treatment of General Unsecured Claims; and</w:t>
      </w:r>
    </w:p>
    <w:p>
      <w:pPr>
        <w:spacing w:after="0" w:line="132" w:lineRule="exact"/>
        <w:rPr>
          <w:rFonts w:ascii="Arial" w:cs="Arial" w:eastAsia="Arial" w:hAnsi="Arial"/>
          <w:sz w:val="13"/>
          <w:szCs w:val="13"/>
          <w:color w:val="auto"/>
        </w:rPr>
      </w:pPr>
    </w:p>
    <w:p>
      <w:pPr>
        <w:ind w:left="737" w:hanging="239"/>
        <w:spacing w:after="0"/>
        <w:tabs>
          <w:tab w:leader="none" w:pos="737" w:val="left"/>
        </w:tabs>
        <w:numPr>
          <w:ilvl w:val="1"/>
          <w:numId w:val="237"/>
        </w:numPr>
        <w:rPr>
          <w:rFonts w:ascii="Arial" w:cs="Arial" w:eastAsia="Arial" w:hAnsi="Arial"/>
          <w:sz w:val="14"/>
          <w:szCs w:val="14"/>
          <w:color w:val="auto"/>
        </w:rPr>
      </w:pPr>
      <w:r>
        <w:rPr>
          <w:rFonts w:ascii="Arial" w:cs="Arial" w:eastAsia="Arial" w:hAnsi="Arial"/>
          <w:sz w:val="14"/>
          <w:szCs w:val="14"/>
          <w:color w:val="auto"/>
        </w:rPr>
        <w:t>The Restructuring Support Agreement is in full force and effect and has not been terminated in accordance with its terms.</w:t>
      </w:r>
    </w:p>
    <w:p>
      <w:pPr>
        <w:spacing w:after="0" w:line="170" w:lineRule="exact"/>
        <w:rPr>
          <w:rFonts w:ascii="Arial" w:cs="Arial" w:eastAsia="Arial" w:hAnsi="Arial"/>
          <w:sz w:val="14"/>
          <w:szCs w:val="14"/>
          <w:color w:val="auto"/>
        </w:rPr>
      </w:pPr>
    </w:p>
    <w:p>
      <w:pPr>
        <w:ind w:left="497" w:hanging="497"/>
        <w:spacing w:after="0"/>
        <w:tabs>
          <w:tab w:leader="none" w:pos="497" w:val="left"/>
        </w:tabs>
        <w:numPr>
          <w:ilvl w:val="0"/>
          <w:numId w:val="237"/>
        </w:numPr>
        <w:rPr>
          <w:rFonts w:ascii="Arial" w:cs="Arial" w:eastAsia="Arial" w:hAnsi="Arial"/>
          <w:sz w:val="14"/>
          <w:szCs w:val="14"/>
          <w:i w:val="1"/>
          <w:iCs w:val="1"/>
          <w:color w:val="auto"/>
        </w:rPr>
      </w:pPr>
      <w:r>
        <w:rPr>
          <w:rFonts w:ascii="Arial" w:cs="Arial" w:eastAsia="Arial" w:hAnsi="Arial"/>
          <w:sz w:val="14"/>
          <w:szCs w:val="14"/>
          <w:i w:val="1"/>
          <w:iCs w:val="1"/>
          <w:color w:val="auto"/>
        </w:rPr>
        <w:t>Conditions Precedent to Consummation</w:t>
      </w:r>
    </w:p>
    <w:p>
      <w:pPr>
        <w:spacing w:after="0" w:line="170" w:lineRule="exact"/>
        <w:rPr>
          <w:rFonts w:ascii="Arial" w:cs="Arial" w:eastAsia="Arial" w:hAnsi="Arial"/>
          <w:sz w:val="14"/>
          <w:szCs w:val="14"/>
          <w:i w:val="1"/>
          <w:iCs w:val="1"/>
          <w:color w:val="auto"/>
        </w:rPr>
      </w:pPr>
    </w:p>
    <w:p>
      <w:pPr>
        <w:ind w:left="497"/>
        <w:spacing w:after="0"/>
        <w:rPr>
          <w:rFonts w:ascii="Arial" w:cs="Arial" w:eastAsia="Arial" w:hAnsi="Arial"/>
          <w:sz w:val="14"/>
          <w:szCs w:val="14"/>
          <w:i w:val="1"/>
          <w:iCs w:val="1"/>
          <w:color w:val="auto"/>
        </w:rPr>
      </w:pPr>
      <w:r>
        <w:rPr>
          <w:rFonts w:ascii="Arial" w:cs="Arial" w:eastAsia="Arial" w:hAnsi="Arial"/>
          <w:sz w:val="14"/>
          <w:szCs w:val="14"/>
          <w:color w:val="auto"/>
        </w:rPr>
        <w:t xml:space="preserve">Unless satisfied or waived pursuant to the provisions of </w:t>
      </w:r>
      <w:r>
        <w:rPr>
          <w:rFonts w:ascii="Arial" w:cs="Arial" w:eastAsia="Arial" w:hAnsi="Arial"/>
          <w:sz w:val="14"/>
          <w:szCs w:val="14"/>
          <w:u w:val="single" w:color="auto"/>
          <w:color w:val="auto"/>
        </w:rPr>
        <w:t>Article IX.C</w:t>
      </w:r>
      <w:r>
        <w:rPr>
          <w:rFonts w:ascii="Arial" w:cs="Arial" w:eastAsia="Arial" w:hAnsi="Arial"/>
          <w:sz w:val="14"/>
          <w:szCs w:val="14"/>
          <w:color w:val="auto"/>
        </w:rPr>
        <w:t xml:space="preserve"> hereof, the following are conditions precedent to Consummation of this Plan.</w:t>
      </w:r>
    </w:p>
    <w:p>
      <w:pPr>
        <w:spacing w:after="0" w:line="170" w:lineRule="exact"/>
        <w:rPr>
          <w:rFonts w:ascii="Arial" w:cs="Arial" w:eastAsia="Arial" w:hAnsi="Arial"/>
          <w:sz w:val="14"/>
          <w:szCs w:val="14"/>
          <w:i w:val="1"/>
          <w:iCs w:val="1"/>
          <w:color w:val="auto"/>
        </w:rPr>
      </w:pPr>
    </w:p>
    <w:p>
      <w:pPr>
        <w:ind w:left="737" w:hanging="239"/>
        <w:spacing w:after="0"/>
        <w:tabs>
          <w:tab w:leader="none" w:pos="737" w:val="left"/>
        </w:tabs>
        <w:numPr>
          <w:ilvl w:val="1"/>
          <w:numId w:val="237"/>
        </w:numPr>
        <w:rPr>
          <w:rFonts w:ascii="Arial" w:cs="Arial" w:eastAsia="Arial" w:hAnsi="Arial"/>
          <w:sz w:val="14"/>
          <w:szCs w:val="14"/>
          <w:color w:val="auto"/>
        </w:rPr>
      </w:pPr>
      <w:r>
        <w:rPr>
          <w:rFonts w:ascii="Arial" w:cs="Arial" w:eastAsia="Arial" w:hAnsi="Arial"/>
          <w:sz w:val="14"/>
          <w:szCs w:val="14"/>
          <w:color w:val="auto"/>
        </w:rPr>
        <w:t>The Confirmation Order has become a Final Order and such order has not been amended, modified, vacated, stayed, or reversed;</w:t>
      </w:r>
    </w:p>
    <w:p>
      <w:pPr>
        <w:spacing w:after="0" w:line="170" w:lineRule="exact"/>
        <w:rPr>
          <w:rFonts w:ascii="Arial" w:cs="Arial" w:eastAsia="Arial" w:hAnsi="Arial"/>
          <w:sz w:val="14"/>
          <w:szCs w:val="14"/>
          <w:color w:val="auto"/>
        </w:rPr>
      </w:pPr>
    </w:p>
    <w:p>
      <w:pPr>
        <w:ind w:left="-3" w:right="100" w:firstLine="501"/>
        <w:spacing w:after="0" w:line="353" w:lineRule="auto"/>
        <w:tabs>
          <w:tab w:leader="none" w:pos="744" w:val="left"/>
        </w:tabs>
        <w:numPr>
          <w:ilvl w:val="1"/>
          <w:numId w:val="237"/>
        </w:numPr>
        <w:rPr>
          <w:rFonts w:ascii="Arial" w:cs="Arial" w:eastAsia="Arial" w:hAnsi="Arial"/>
          <w:sz w:val="12"/>
          <w:szCs w:val="12"/>
          <w:color w:val="auto"/>
        </w:rPr>
      </w:pPr>
      <w:r>
        <w:rPr>
          <w:rFonts w:ascii="Arial" w:cs="Arial" w:eastAsia="Arial" w:hAnsi="Arial"/>
          <w:sz w:val="12"/>
          <w:szCs w:val="12"/>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91" w:lineRule="exact"/>
        <w:rPr>
          <w:rFonts w:ascii="Arial" w:cs="Arial" w:eastAsia="Arial" w:hAnsi="Arial"/>
          <w:sz w:val="12"/>
          <w:szCs w:val="12"/>
          <w:color w:val="auto"/>
        </w:rPr>
      </w:pPr>
    </w:p>
    <w:p>
      <w:pPr>
        <w:ind w:left="-3" w:firstLine="501"/>
        <w:spacing w:after="0" w:line="254" w:lineRule="auto"/>
        <w:tabs>
          <w:tab w:leader="none" w:pos="744" w:val="left"/>
        </w:tabs>
        <w:numPr>
          <w:ilvl w:val="1"/>
          <w:numId w:val="237"/>
        </w:numPr>
        <w:rPr>
          <w:rFonts w:ascii="Arial" w:cs="Arial" w:eastAsia="Arial" w:hAnsi="Arial"/>
          <w:sz w:val="14"/>
          <w:szCs w:val="14"/>
          <w:color w:val="auto"/>
        </w:rPr>
      </w:pPr>
      <w:r>
        <w:rPr>
          <w:rFonts w:ascii="Arial" w:cs="Arial" w:eastAsia="Arial" w:hAnsi="Arial"/>
          <w:sz w:val="14"/>
          <w:szCs w:val="14"/>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reasonably acceptable to the Committee with respect to the treatment of General Unsecured Claims;</w:t>
      </w:r>
    </w:p>
    <w:p>
      <w:pPr>
        <w:spacing w:after="0" w:line="148" w:lineRule="exact"/>
        <w:rPr>
          <w:sz w:val="20"/>
          <w:szCs w:val="20"/>
          <w:color w:val="auto"/>
        </w:rPr>
      </w:pPr>
    </w:p>
    <w:p>
      <w:pPr>
        <w:jc w:val="center"/>
        <w:ind w:right="-96"/>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9742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57"/>
          </w:cols>
          <w:pgMar w:left="223" w:top="290" w:right="319" w:bottom="1440" w:gutter="0" w:footer="0" w:header="0"/>
        </w:sectPr>
      </w:pPr>
    </w:p>
    <w:bookmarkStart w:id="234" w:name="page235"/>
    <w:bookmarkEnd w:id="234"/>
    <w:p>
      <w:pPr>
        <w:ind w:left="-20" w:right="80" w:firstLine="501"/>
        <w:spacing w:after="0" w:line="254" w:lineRule="auto"/>
        <w:tabs>
          <w:tab w:leader="none" w:pos="727" w:val="left"/>
        </w:tabs>
        <w:numPr>
          <w:ilvl w:val="0"/>
          <w:numId w:val="238"/>
        </w:numPr>
        <w:rPr>
          <w:rFonts w:ascii="Arial" w:cs="Arial" w:eastAsia="Arial" w:hAnsi="Arial"/>
          <w:sz w:val="14"/>
          <w:szCs w:val="14"/>
          <w:color w:val="auto"/>
        </w:rPr>
      </w:pPr>
      <w:r>
        <w:rPr>
          <w:rFonts w:ascii="Arial" w:cs="Arial" w:eastAsia="Arial" w:hAnsi="Arial"/>
          <w:sz w:val="14"/>
          <w:szCs w:val="14"/>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Exit Senior Unsecured Notes Indenture,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48" w:lineRule="exact"/>
        <w:rPr>
          <w:rFonts w:ascii="Arial" w:cs="Arial" w:eastAsia="Arial" w:hAnsi="Arial"/>
          <w:sz w:val="14"/>
          <w:szCs w:val="14"/>
          <w:color w:val="auto"/>
        </w:rPr>
      </w:pPr>
    </w:p>
    <w:p>
      <w:pPr>
        <w:ind w:left="-20" w:firstLine="501"/>
        <w:spacing w:after="0" w:line="258" w:lineRule="auto"/>
        <w:tabs>
          <w:tab w:leader="none" w:pos="727" w:val="left"/>
        </w:tabs>
        <w:numPr>
          <w:ilvl w:val="0"/>
          <w:numId w:val="238"/>
        </w:numPr>
        <w:rPr>
          <w:rFonts w:ascii="Arial" w:cs="Arial" w:eastAsia="Arial" w:hAnsi="Arial"/>
          <w:sz w:val="14"/>
          <w:szCs w:val="14"/>
          <w:color w:val="auto"/>
        </w:rPr>
      </w:pPr>
      <w:r>
        <w:rPr>
          <w:rFonts w:ascii="Arial" w:cs="Arial" w:eastAsia="Arial" w:hAnsi="Arial"/>
          <w:sz w:val="14"/>
          <w:szCs w:val="14"/>
          <w:color w:val="auto"/>
        </w:rPr>
        <w:t>Any documents governing the Exit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Exit Senior Unsecured Notes have been satisfied or waived;</w:t>
      </w:r>
    </w:p>
    <w:p>
      <w:pPr>
        <w:spacing w:after="0" w:line="144" w:lineRule="exact"/>
        <w:rPr>
          <w:rFonts w:ascii="Arial" w:cs="Arial" w:eastAsia="Arial" w:hAnsi="Arial"/>
          <w:sz w:val="14"/>
          <w:szCs w:val="14"/>
          <w:color w:val="auto"/>
        </w:rPr>
      </w:pPr>
    </w:p>
    <w:p>
      <w:pPr>
        <w:ind w:left="-20" w:right="80" w:firstLine="501"/>
        <w:spacing w:after="0" w:line="268" w:lineRule="auto"/>
        <w:tabs>
          <w:tab w:leader="none" w:pos="727" w:val="left"/>
        </w:tabs>
        <w:numPr>
          <w:ilvl w:val="0"/>
          <w:numId w:val="238"/>
        </w:numPr>
        <w:rPr>
          <w:rFonts w:ascii="Arial" w:cs="Arial" w:eastAsia="Arial" w:hAnsi="Arial"/>
          <w:sz w:val="14"/>
          <w:szCs w:val="14"/>
          <w:color w:val="auto"/>
        </w:rPr>
      </w:pPr>
      <w:r>
        <w:rPr>
          <w:rFonts w:ascii="Arial" w:cs="Arial" w:eastAsia="Arial" w:hAnsi="Arial"/>
          <w:sz w:val="14"/>
          <w:szCs w:val="14"/>
          <w:color w:val="auto"/>
        </w:rPr>
        <w:t>All DIP Facility Claims have been indefeasibly paid in full in Cash, or will have been paid in full in Cash simultaneously with the effectiveness of this Plan, in accordance with the terms of the DIP Credit Agreement;</w:t>
      </w:r>
    </w:p>
    <w:p>
      <w:pPr>
        <w:spacing w:after="0" w:line="138" w:lineRule="exact"/>
        <w:rPr>
          <w:rFonts w:ascii="Arial" w:cs="Arial" w:eastAsia="Arial" w:hAnsi="Arial"/>
          <w:sz w:val="14"/>
          <w:szCs w:val="14"/>
          <w:color w:val="auto"/>
        </w:rPr>
      </w:pPr>
    </w:p>
    <w:p>
      <w:pPr>
        <w:ind w:left="-20" w:right="420" w:firstLine="501"/>
        <w:spacing w:after="0" w:line="353" w:lineRule="auto"/>
        <w:tabs>
          <w:tab w:leader="none" w:pos="727" w:val="left"/>
        </w:tabs>
        <w:numPr>
          <w:ilvl w:val="0"/>
          <w:numId w:val="238"/>
        </w:numPr>
        <w:rPr>
          <w:rFonts w:ascii="Arial" w:cs="Arial" w:eastAsia="Arial" w:hAnsi="Arial"/>
          <w:sz w:val="12"/>
          <w:szCs w:val="12"/>
          <w:color w:val="auto"/>
        </w:rPr>
      </w:pPr>
      <w:r>
        <w:rPr>
          <w:rFonts w:ascii="Arial" w:cs="Arial" w:eastAsia="Arial" w:hAnsi="Arial"/>
          <w:sz w:val="12"/>
          <w:szCs w:val="12"/>
          <w:color w:val="auto"/>
        </w:rPr>
        <w:t>The Debtors have received, or concurrently with the occurrence of the Effective Date will receive, up to $1,600,000,000, but no less than $1,500,000,000 based on the amount of the Exit Facility commitments in excess of $650,000,000, as contemplated in connection with the Backstop Commitment Agreement and the Rights Offering provided to the Prepetition Noteholders;</w:t>
      </w:r>
    </w:p>
    <w:p>
      <w:pPr>
        <w:spacing w:after="0" w:line="91" w:lineRule="exact"/>
        <w:rPr>
          <w:rFonts w:ascii="Arial" w:cs="Arial" w:eastAsia="Arial" w:hAnsi="Arial"/>
          <w:sz w:val="12"/>
          <w:szCs w:val="12"/>
          <w:color w:val="auto"/>
        </w:rPr>
      </w:pPr>
    </w:p>
    <w:p>
      <w:pPr>
        <w:ind w:left="-20" w:right="60" w:firstLine="501"/>
        <w:spacing w:after="0" w:line="268" w:lineRule="auto"/>
        <w:tabs>
          <w:tab w:leader="none" w:pos="727" w:val="left"/>
        </w:tabs>
        <w:numPr>
          <w:ilvl w:val="0"/>
          <w:numId w:val="238"/>
        </w:numPr>
        <w:rPr>
          <w:rFonts w:ascii="Arial" w:cs="Arial" w:eastAsia="Arial" w:hAnsi="Arial"/>
          <w:sz w:val="14"/>
          <w:szCs w:val="14"/>
          <w:color w:val="auto"/>
        </w:rPr>
      </w:pPr>
      <w:r>
        <w:rPr>
          <w:rFonts w:ascii="Arial" w:cs="Arial" w:eastAsia="Arial" w:hAnsi="Arial"/>
          <w:sz w:val="14"/>
          <w:szCs w:val="14"/>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38" w:lineRule="exact"/>
        <w:rPr>
          <w:rFonts w:ascii="Arial" w:cs="Arial" w:eastAsia="Arial" w:hAnsi="Arial"/>
          <w:sz w:val="14"/>
          <w:szCs w:val="14"/>
          <w:color w:val="auto"/>
        </w:rPr>
      </w:pPr>
    </w:p>
    <w:p>
      <w:pPr>
        <w:ind w:left="-20" w:right="40" w:firstLine="501"/>
        <w:spacing w:after="0" w:line="254" w:lineRule="auto"/>
        <w:tabs>
          <w:tab w:leader="none" w:pos="727" w:val="left"/>
        </w:tabs>
        <w:numPr>
          <w:ilvl w:val="0"/>
          <w:numId w:val="238"/>
        </w:numPr>
        <w:rPr>
          <w:rFonts w:ascii="Arial" w:cs="Arial" w:eastAsia="Arial" w:hAnsi="Arial"/>
          <w:sz w:val="14"/>
          <w:szCs w:val="14"/>
          <w:color w:val="auto"/>
        </w:rPr>
      </w:pPr>
      <w:r>
        <w:rPr>
          <w:rFonts w:ascii="Arial" w:cs="Arial" w:eastAsia="Arial" w:hAnsi="Arial"/>
          <w:sz w:val="14"/>
          <w:szCs w:val="14"/>
          <w:color w:val="auto"/>
        </w:rPr>
        <w:t>The Irish Scheme of Arrangement has been approved by the High Court of Ireland, or such other structure as is reasonably acceptable to the Required Consenting Noteholders and, solely to the extent the Irish Scheme of Arrangement has an adverse impact on the treatment of General Unsecured Creditors, the Committee (with such consent not to be unreasonably withheld), and to the extent required by the DIP Credit Agreement, the DIP Agent and the DIP Required Lenders, and has become effective in accordance with its terms or will become effective concurrently with effectiveness of this Plan;</w:t>
      </w:r>
    </w:p>
    <w:p>
      <w:pPr>
        <w:spacing w:after="0" w:line="148" w:lineRule="exact"/>
        <w:rPr>
          <w:rFonts w:ascii="Arial" w:cs="Arial" w:eastAsia="Arial" w:hAnsi="Arial"/>
          <w:sz w:val="14"/>
          <w:szCs w:val="14"/>
          <w:color w:val="auto"/>
        </w:rPr>
      </w:pPr>
    </w:p>
    <w:p>
      <w:pPr>
        <w:ind w:left="-20" w:right="80" w:firstLine="501"/>
        <w:spacing w:after="0" w:line="280" w:lineRule="auto"/>
        <w:tabs>
          <w:tab w:leader="none" w:pos="723"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solely to the extent the scheme of arrangement has an adverse impact on the treatment of General Unsecured Creditors, the Committee (with such consent not to be unreasonably withheld), and to the extent required by the DIP Credit Agreement, the DIP Agent and the DIP Required Lenders, and has become effective in accordance with its terms or will become effective concurrently with effectiveness of this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59690</wp:posOffset>
            </wp:positionV>
            <wp:extent cx="729742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235" w:name="page236"/>
    <w:bookmarkEnd w:id="235"/>
    <w:p>
      <w:pPr>
        <w:ind w:right="240" w:firstLine="501"/>
        <w:spacing w:after="0" w:line="258" w:lineRule="auto"/>
        <w:tabs>
          <w:tab w:leader="none" w:pos="738" w:val="left"/>
        </w:tabs>
        <w:numPr>
          <w:ilvl w:val="0"/>
          <w:numId w:val="239"/>
        </w:numPr>
        <w:rPr>
          <w:rFonts w:ascii="Arial" w:cs="Arial" w:eastAsia="Arial" w:hAnsi="Arial"/>
          <w:sz w:val="14"/>
          <w:szCs w:val="14"/>
          <w:color w:val="auto"/>
        </w:rPr>
      </w:pPr>
      <w:r>
        <w:rPr>
          <w:rFonts w:ascii="Arial" w:cs="Arial" w:eastAsia="Arial" w:hAnsi="Arial"/>
          <w:sz w:val="14"/>
          <w:szCs w:val="14"/>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4" w:lineRule="exact"/>
        <w:rPr>
          <w:rFonts w:ascii="Arial" w:cs="Arial" w:eastAsia="Arial" w:hAnsi="Arial"/>
          <w:sz w:val="14"/>
          <w:szCs w:val="14"/>
          <w:color w:val="auto"/>
        </w:rPr>
      </w:pPr>
    </w:p>
    <w:p>
      <w:pPr>
        <w:jc w:val="both"/>
        <w:ind w:right="220" w:firstLine="501"/>
        <w:spacing w:after="0" w:line="258" w:lineRule="auto"/>
        <w:tabs>
          <w:tab w:leader="none" w:pos="743" w:val="left"/>
        </w:tabs>
        <w:numPr>
          <w:ilvl w:val="0"/>
          <w:numId w:val="239"/>
        </w:numPr>
        <w:rPr>
          <w:rFonts w:ascii="Arial" w:cs="Arial" w:eastAsia="Arial" w:hAnsi="Arial"/>
          <w:sz w:val="14"/>
          <w:szCs w:val="14"/>
          <w:color w:val="auto"/>
        </w:rPr>
      </w:pPr>
      <w:r>
        <w:rPr>
          <w:rFonts w:ascii="Arial" w:cs="Arial" w:eastAsia="Arial" w:hAnsi="Arial"/>
          <w:sz w:val="14"/>
          <w:szCs w:val="14"/>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44" w:lineRule="exact"/>
        <w:rPr>
          <w:rFonts w:ascii="Arial" w:cs="Arial" w:eastAsia="Arial" w:hAnsi="Arial"/>
          <w:sz w:val="14"/>
          <w:szCs w:val="14"/>
          <w:color w:val="auto"/>
        </w:rPr>
      </w:pPr>
    </w:p>
    <w:p>
      <w:pPr>
        <w:ind w:left="740" w:hanging="239"/>
        <w:spacing w:after="0"/>
        <w:tabs>
          <w:tab w:leader="none" w:pos="74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New Board has been selected in accordance with the Restructuring Support Agreement;</w:t>
      </w:r>
    </w:p>
    <w:p>
      <w:pPr>
        <w:spacing w:after="0" w:line="170" w:lineRule="exact"/>
        <w:rPr>
          <w:rFonts w:ascii="Arial" w:cs="Arial" w:eastAsia="Arial" w:hAnsi="Arial"/>
          <w:sz w:val="14"/>
          <w:szCs w:val="14"/>
          <w:color w:val="auto"/>
        </w:rPr>
      </w:pPr>
    </w:p>
    <w:p>
      <w:pPr>
        <w:ind w:firstLine="501"/>
        <w:spacing w:after="0" w:line="268" w:lineRule="auto"/>
        <w:tabs>
          <w:tab w:leader="none" w:pos="743"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Executive Arrangements, as defined in the Restructuring Support Agreement, relating to change in control and severance matters have been modified in a manner acceptable to the Required Consenting Noteholders;</w:t>
      </w:r>
    </w:p>
    <w:p>
      <w:pPr>
        <w:spacing w:after="0" w:line="138" w:lineRule="exact"/>
        <w:rPr>
          <w:rFonts w:ascii="Arial" w:cs="Arial" w:eastAsia="Arial" w:hAnsi="Arial"/>
          <w:sz w:val="14"/>
          <w:szCs w:val="14"/>
          <w:color w:val="auto"/>
        </w:rPr>
      </w:pPr>
    </w:p>
    <w:p>
      <w:pPr>
        <w:ind w:left="740" w:hanging="239"/>
        <w:spacing w:after="0"/>
        <w:tabs>
          <w:tab w:leader="none" w:pos="74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Restructuring Support Agreement is in full force and effect and has not been terminated in accordance with its terms;</w:t>
      </w:r>
    </w:p>
    <w:p>
      <w:pPr>
        <w:spacing w:after="0" w:line="170" w:lineRule="exact"/>
        <w:rPr>
          <w:rFonts w:ascii="Arial" w:cs="Arial" w:eastAsia="Arial" w:hAnsi="Arial"/>
          <w:sz w:val="14"/>
          <w:szCs w:val="14"/>
          <w:color w:val="auto"/>
        </w:rPr>
      </w:pPr>
    </w:p>
    <w:p>
      <w:pPr>
        <w:ind w:left="740" w:hanging="239"/>
        <w:spacing w:after="0"/>
        <w:tabs>
          <w:tab w:leader="none" w:pos="74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Professional Fee Claim Reserve has been funded in full in Cash by the Debtors in accordance with the terms and conditions of this Plan;</w:t>
      </w:r>
    </w:p>
    <w:p>
      <w:pPr>
        <w:spacing w:after="0" w:line="170" w:lineRule="exact"/>
        <w:rPr>
          <w:rFonts w:ascii="Arial" w:cs="Arial" w:eastAsia="Arial" w:hAnsi="Arial"/>
          <w:sz w:val="14"/>
          <w:szCs w:val="14"/>
          <w:color w:val="auto"/>
        </w:rPr>
      </w:pPr>
    </w:p>
    <w:p>
      <w:pPr>
        <w:ind w:left="740" w:hanging="239"/>
        <w:spacing w:after="0"/>
        <w:tabs>
          <w:tab w:leader="none" w:pos="74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4"/>
          <w:szCs w:val="14"/>
          <w:color w:val="auto"/>
        </w:rPr>
      </w:pPr>
    </w:p>
    <w:p>
      <w:pPr>
        <w:ind w:firstLine="501"/>
        <w:spacing w:after="0" w:line="268" w:lineRule="auto"/>
        <w:tabs>
          <w:tab w:leader="none" w:pos="743"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To the extent invoiced, (a) all Ad Hoc Noteholder Committee Fees and Expenses have been paid in full in Cash and (b) all Prepetition Notes Indenture Trustee Fees and Expenses have been paid in full in Cash.</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C</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Waiver of Conditions</w:t>
      </w:r>
    </w:p>
    <w:p>
      <w:pPr>
        <w:spacing w:after="0" w:line="171" w:lineRule="exact"/>
        <w:rPr>
          <w:sz w:val="20"/>
          <w:szCs w:val="20"/>
          <w:color w:val="auto"/>
        </w:rPr>
      </w:pPr>
    </w:p>
    <w:p>
      <w:pPr>
        <w:ind w:right="40" w:firstLine="498"/>
        <w:spacing w:after="0" w:line="274" w:lineRule="auto"/>
        <w:rPr>
          <w:sz w:val="20"/>
          <w:szCs w:val="20"/>
          <w:color w:val="auto"/>
        </w:rPr>
      </w:pPr>
      <w:r>
        <w:rPr>
          <w:rFonts w:ascii="Arial" w:cs="Arial" w:eastAsia="Arial" w:hAnsi="Arial"/>
          <w:sz w:val="13"/>
          <w:szCs w:val="13"/>
          <w:color w:val="auto"/>
        </w:rPr>
        <w:t xml:space="preserve">Subject to section 1127 of the Bankruptcy Code, the conditions to Confirmation and Consummation of this Plan set forth in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may be waived by the Debtors, with the consent of the Required Consenting Noteholders in the manner set forth in the Restructuring Support Agreement and in consultation with the Committee, or, to the extent such waiver adversely impacts the treatment of the General Unsecured Claims, with the reasonable consent of the Committee, or, in the case of Article IX.B.14 and B.18(a), the Required Consenting Noteholders (and solely with respect to the payment of the Prepetition Notes Indenture Trustee Fees and Expenses in Article IX.B.19(b), the Prepetition Notes Indenture Trustee)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36" w:name="page237"/>
    <w:bookmarkEnd w:id="236"/>
    <w:p>
      <w:pPr>
        <w:spacing w:after="0"/>
        <w:tabs>
          <w:tab w:leader="none" w:pos="500" w:val="left"/>
        </w:tabs>
        <w:rPr>
          <w:sz w:val="20"/>
          <w:szCs w:val="20"/>
          <w:color w:val="auto"/>
        </w:rPr>
      </w:pPr>
      <w:r>
        <w:rPr>
          <w:rFonts w:ascii="Arial" w:cs="Arial" w:eastAsia="Arial" w:hAnsi="Arial"/>
          <w:sz w:val="14"/>
          <w:szCs w:val="14"/>
          <w:i w:val="1"/>
          <w:iCs w:val="1"/>
          <w:color w:val="auto"/>
        </w:rPr>
        <w:t>D</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Effect of Non-Occurrence of Conditions to Confirmation or Consummation</w:t>
      </w:r>
    </w:p>
    <w:p>
      <w:pPr>
        <w:spacing w:after="0" w:line="171" w:lineRule="exact"/>
        <w:rPr>
          <w:sz w:val="20"/>
          <w:szCs w:val="20"/>
          <w:color w:val="auto"/>
        </w:rPr>
      </w:pPr>
    </w:p>
    <w:p>
      <w:pPr>
        <w:ind w:right="40" w:firstLine="498"/>
        <w:spacing w:after="0" w:line="254" w:lineRule="auto"/>
        <w:rPr>
          <w:sz w:val="20"/>
          <w:szCs w:val="20"/>
          <w:color w:val="auto"/>
        </w:rPr>
      </w:pPr>
      <w:r>
        <w:rPr>
          <w:rFonts w:ascii="Arial" w:cs="Arial" w:eastAsia="Arial" w:hAnsi="Arial"/>
          <w:sz w:val="14"/>
          <w:szCs w:val="14"/>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RELEASE, DISCHARGE, INJUNCTION AND RELATED PROVISIONS</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A</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General</w:t>
      </w:r>
    </w:p>
    <w:p>
      <w:pPr>
        <w:spacing w:after="0" w:line="171" w:lineRule="exact"/>
        <w:rPr>
          <w:sz w:val="20"/>
          <w:szCs w:val="20"/>
          <w:color w:val="auto"/>
        </w:rPr>
      </w:pPr>
    </w:p>
    <w:p>
      <w:pPr>
        <w:ind w:right="100" w:firstLine="498"/>
        <w:spacing w:after="0" w:line="280" w:lineRule="auto"/>
        <w:rPr>
          <w:sz w:val="20"/>
          <w:szCs w:val="20"/>
          <w:color w:val="auto"/>
        </w:rPr>
      </w:pPr>
      <w:r>
        <w:rPr>
          <w:rFonts w:ascii="Arial" w:cs="Arial" w:eastAsia="Arial" w:hAnsi="Arial"/>
          <w:sz w:val="13"/>
          <w:szCs w:val="13"/>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32" w:lineRule="exact"/>
        <w:rPr>
          <w:sz w:val="20"/>
          <w:szCs w:val="20"/>
          <w:color w:val="auto"/>
        </w:rPr>
      </w:pPr>
    </w:p>
    <w:p>
      <w:pPr>
        <w:ind w:firstLine="498"/>
        <w:spacing w:after="0" w:line="273" w:lineRule="auto"/>
        <w:rPr>
          <w:sz w:val="20"/>
          <w:szCs w:val="20"/>
          <w:color w:val="auto"/>
        </w:rPr>
      </w:pPr>
      <w:r>
        <w:rPr>
          <w:rFonts w:ascii="Arial" w:cs="Arial" w:eastAsia="Arial" w:hAnsi="Arial"/>
          <w:sz w:val="13"/>
          <w:szCs w:val="13"/>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B</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Release of Claims and Causes of Action</w:t>
      </w:r>
    </w:p>
    <w:p>
      <w:pPr>
        <w:spacing w:after="0" w:line="167" w:lineRule="exact"/>
        <w:rPr>
          <w:sz w:val="20"/>
          <w:szCs w:val="20"/>
          <w:color w:val="auto"/>
        </w:rPr>
      </w:pPr>
    </w:p>
    <w:p>
      <w:pPr>
        <w:ind w:right="120" w:firstLine="501"/>
        <w:spacing w:after="0" w:line="290" w:lineRule="auto"/>
        <w:tabs>
          <w:tab w:leader="none" w:pos="996" w:val="left"/>
        </w:tabs>
        <w:numPr>
          <w:ilvl w:val="0"/>
          <w:numId w:val="240"/>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Release by the Debtors and their Estates</w:t>
      </w:r>
      <w:r>
        <w:rPr>
          <w:rFonts w:ascii="Arial" w:cs="Arial" w:eastAsia="Arial" w:hAnsi="Arial"/>
          <w:sz w:val="13"/>
          <w:szCs w:val="13"/>
          <w:b w:val="1"/>
          <w:bCs w:val="1"/>
          <w:color w:val="auto"/>
        </w:rPr>
        <w:t>. Pursuant to section 1123(b) and any other applicable provisions of the Bankruptcy Code, and except as otherwise expressly provided in</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this Plan (including with respect to retained Litigation Claims as provided in Article X.F below), effective as of the Effective Date, for good and valuable consideration provided by each of the Released Parties, the adequacy and sufficiency of which is hereby confirmed, the Debtors and the Reorganized Debtors, in their respective individual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37" w:name="page238"/>
    <w:bookmarkEnd w:id="237"/>
    <w:p>
      <w:pPr>
        <w:spacing w:after="0" w:line="292" w:lineRule="auto"/>
        <w:rPr>
          <w:sz w:val="20"/>
          <w:szCs w:val="20"/>
          <w:color w:val="auto"/>
        </w:rPr>
      </w:pPr>
      <w:r>
        <w:rPr>
          <w:rFonts w:ascii="Arial" w:cs="Arial" w:eastAsia="Arial" w:hAnsi="Arial"/>
          <w:sz w:val="12"/>
          <w:szCs w:val="12"/>
          <w:b w:val="1"/>
          <w:bCs w:val="1"/>
          <w:color w:val="auto"/>
        </w:rPr>
        <w:t>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2"/>
          <w:szCs w:val="12"/>
          <w:b w:val="1"/>
          <w:bCs w:val="1"/>
          <w:u w:val="single" w:color="auto"/>
          <w:color w:val="auto"/>
        </w:rPr>
        <w:t>Debtor Releasing Parties</w:t>
      </w:r>
      <w:r>
        <w:rPr>
          <w:rFonts w:ascii="Arial" w:cs="Arial" w:eastAsia="Arial" w:hAnsi="Arial"/>
          <w:sz w:val="12"/>
          <w:szCs w:val="12"/>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2"/>
          <w:szCs w:val="12"/>
          <w:b w:val="1"/>
          <w:bCs w:val="1"/>
          <w:u w:val="single" w:color="auto"/>
          <w:color w:val="auto"/>
        </w:rPr>
        <w:t>Debtor Release</w:t>
      </w:r>
      <w:r>
        <w:rPr>
          <w:rFonts w:ascii="Arial" w:cs="Arial" w:eastAsia="Arial" w:hAnsi="Arial"/>
          <w:sz w:val="12"/>
          <w:szCs w:val="12"/>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2"/>
          <w:szCs w:val="12"/>
          <w:b w:val="1"/>
          <w:bCs w:val="1"/>
          <w:i w:val="1"/>
          <w:iCs w:val="1"/>
          <w:u w:val="single" w:color="auto"/>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u w:val="single" w:color="auto"/>
          <w:color w:val="auto"/>
        </w:rPr>
        <w:t>however</w:t>
      </w:r>
      <w:r>
        <w:rPr>
          <w:rFonts w:ascii="Arial" w:cs="Arial" w:eastAsia="Arial" w:hAnsi="Arial"/>
          <w:sz w:val="12"/>
          <w:szCs w:val="12"/>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2"/>
          <w:szCs w:val="12"/>
          <w:b w:val="1"/>
          <w:bCs w:val="1"/>
          <w:u w:val="single" w:color="auto"/>
          <w:color w:val="auto"/>
        </w:rPr>
        <w:t>Article X.B</w:t>
      </w:r>
      <w:r>
        <w:rPr>
          <w:rFonts w:ascii="Arial" w:cs="Arial" w:eastAsia="Arial" w:hAnsi="Arial"/>
          <w:sz w:val="12"/>
          <w:szCs w:val="12"/>
          <w:b w:val="1"/>
          <w:bCs w:val="1"/>
          <w:color w:val="auto"/>
        </w:rPr>
        <w:t xml:space="preserve"> shall or shall be deemed to (i) prohibit the Debtors or the Reorganized Debtors from asserting and enforcing any claims,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238" w:name="page239"/>
    <w:bookmarkEnd w:id="238"/>
    <w:p>
      <w:pPr>
        <w:ind w:right="80"/>
        <w:spacing w:after="0" w:line="324" w:lineRule="auto"/>
        <w:rPr>
          <w:sz w:val="20"/>
          <w:szCs w:val="20"/>
          <w:color w:val="auto"/>
        </w:rPr>
      </w:pPr>
      <w:r>
        <w:rPr>
          <w:rFonts w:ascii="Arial" w:cs="Arial" w:eastAsia="Arial" w:hAnsi="Arial"/>
          <w:sz w:val="12"/>
          <w:szCs w:val="12"/>
          <w:b w:val="1"/>
          <w:bCs w:val="1"/>
          <w:color w:val="auto"/>
        </w:rPr>
        <w:t>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05" w:lineRule="exact"/>
        <w:rPr>
          <w:sz w:val="20"/>
          <w:szCs w:val="20"/>
          <w:color w:val="auto"/>
        </w:rPr>
      </w:pPr>
    </w:p>
    <w:p>
      <w:pPr>
        <w:ind w:firstLine="498"/>
        <w:spacing w:after="0" w:line="296" w:lineRule="auto"/>
        <w:rPr>
          <w:sz w:val="20"/>
          <w:szCs w:val="20"/>
          <w:color w:val="auto"/>
        </w:rPr>
      </w:pPr>
      <w:r>
        <w:rPr>
          <w:rFonts w:ascii="Arial" w:cs="Arial" w:eastAsia="Arial" w:hAnsi="Arial"/>
          <w:sz w:val="12"/>
          <w:szCs w:val="12"/>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w:t>
      </w:r>
    </w:p>
    <w:p>
      <w:pPr>
        <w:spacing w:after="0" w:line="1" w:lineRule="exact"/>
        <w:rPr>
          <w:sz w:val="20"/>
          <w:szCs w:val="20"/>
          <w:color w:val="auto"/>
        </w:rPr>
      </w:pPr>
    </w:p>
    <w:p>
      <w:pPr>
        <w:ind w:left="240" w:hanging="237"/>
        <w:spacing w:after="0"/>
        <w:tabs>
          <w:tab w:leader="none" w:pos="240" w:val="left"/>
        </w:tabs>
        <w:numPr>
          <w:ilvl w:val="0"/>
          <w:numId w:val="241"/>
        </w:numPr>
        <w:rPr>
          <w:rFonts w:ascii="Arial" w:cs="Arial" w:eastAsia="Arial" w:hAnsi="Arial"/>
          <w:sz w:val="14"/>
          <w:szCs w:val="14"/>
          <w:b w:val="1"/>
          <w:bCs w:val="1"/>
          <w:color w:val="auto"/>
        </w:rPr>
      </w:pPr>
      <w:r>
        <w:rPr>
          <w:rFonts w:ascii="Arial" w:cs="Arial" w:eastAsia="Arial" w:hAnsi="Arial"/>
          <w:sz w:val="14"/>
          <w:szCs w:val="14"/>
          <w:b w:val="1"/>
          <w:bCs w:val="1"/>
          <w:color w:val="auto"/>
        </w:rPr>
        <w:t>fair, equitable and reasonable; and (v) given and made after due notice and opportunity for hearing.</w:t>
      </w:r>
    </w:p>
    <w:p>
      <w:pPr>
        <w:spacing w:after="0" w:line="157" w:lineRule="exact"/>
        <w:rPr>
          <w:rFonts w:ascii="Arial" w:cs="Arial" w:eastAsia="Arial" w:hAnsi="Arial"/>
          <w:sz w:val="14"/>
          <w:szCs w:val="14"/>
          <w:b w:val="1"/>
          <w:bCs w:val="1"/>
          <w:color w:val="auto"/>
        </w:rPr>
      </w:pPr>
    </w:p>
    <w:p>
      <w:pPr>
        <w:ind w:right="40" w:firstLine="501"/>
        <w:spacing w:after="0" w:line="293" w:lineRule="auto"/>
        <w:tabs>
          <w:tab w:leader="none" w:pos="996" w:val="left"/>
        </w:tabs>
        <w:numPr>
          <w:ilvl w:val="1"/>
          <w:numId w:val="241"/>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Release By Third Parties</w:t>
      </w:r>
      <w:r>
        <w:rPr>
          <w:rFonts w:ascii="Arial" w:cs="Arial" w:eastAsia="Arial" w:hAnsi="Arial"/>
          <w:sz w:val="12"/>
          <w:szCs w:val="12"/>
          <w:b w:val="1"/>
          <w:bCs w:val="1"/>
          <w:color w:val="auto"/>
        </w:rPr>
        <w:t>. Except as otherwise expressly provided in this Plan, effective as of the Effective Date, to the fullest extent permitted by applicable law, for good and</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2"/>
          <w:szCs w:val="12"/>
          <w:b w:val="1"/>
          <w:bCs w:val="1"/>
          <w:u w:val="single" w:color="auto"/>
          <w:color w:val="auto"/>
        </w:rPr>
        <w:t>Releasing Parties</w:t>
      </w:r>
      <w:r>
        <w:rPr>
          <w:rFonts w:ascii="Arial" w:cs="Arial" w:eastAsia="Arial" w:hAnsi="Arial"/>
          <w:sz w:val="12"/>
          <w:szCs w:val="12"/>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2"/>
          <w:szCs w:val="12"/>
          <w:b w:val="1"/>
          <w:bCs w:val="1"/>
          <w:u w:val="single" w:color="auto"/>
          <w:color w:val="auto"/>
        </w:rPr>
        <w:t>Third Party Release</w:t>
      </w:r>
      <w:r>
        <w:rPr>
          <w:rFonts w:ascii="Arial" w:cs="Arial" w:eastAsia="Arial" w:hAnsi="Arial"/>
          <w:sz w:val="12"/>
          <w:szCs w:val="12"/>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2"/>
          <w:szCs w:val="12"/>
          <w:b w:val="1"/>
          <w:bCs w:val="1"/>
          <w:u w:val="single" w:color="auto"/>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however</w:t>
      </w:r>
      <w:r>
        <w:rPr>
          <w:rFonts w:ascii="Arial" w:cs="Arial" w:eastAsia="Arial" w:hAnsi="Arial"/>
          <w:sz w:val="12"/>
          <w:szCs w:val="12"/>
          <w:b w:val="1"/>
          <w:bCs w:val="1"/>
          <w:color w:val="auto"/>
        </w:rPr>
        <w:t>, that the foregoing provisions of this Third Party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239" w:name="page240"/>
    <w:bookmarkEnd w:id="239"/>
    <w:p>
      <w:pPr>
        <w:spacing w:after="0" w:line="251" w:lineRule="auto"/>
        <w:rPr>
          <w:sz w:val="20"/>
          <w:szCs w:val="20"/>
          <w:color w:val="auto"/>
        </w:rPr>
      </w:pPr>
      <w:r>
        <w:rPr>
          <w:rFonts w:ascii="Arial" w:cs="Arial" w:eastAsia="Arial" w:hAnsi="Arial"/>
          <w:sz w:val="14"/>
          <w:szCs w:val="14"/>
          <w:b w:val="1"/>
          <w:bCs w:val="1"/>
          <w:color w:val="auto"/>
        </w:rPr>
        <w:t>Release shall not operate to waive or release (i) any Causes of Action arising from willful misconduct, actual fraud, or gross negligence of such applicable Released Party as determined by Final Order of the Bankruptcy Court or any other court of competent jurisdiction; (ii) any Unimpaired Class 8 General Unsecured Claims, and/or (iii)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(iv)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47" w:lineRule="exact"/>
        <w:rPr>
          <w:sz w:val="20"/>
          <w:szCs w:val="20"/>
          <w:color w:val="auto"/>
        </w:rPr>
      </w:pPr>
    </w:p>
    <w:p>
      <w:pPr>
        <w:ind w:right="100" w:firstLine="498"/>
        <w:spacing w:after="0" w:line="282" w:lineRule="auto"/>
        <w:rPr>
          <w:sz w:val="20"/>
          <w:szCs w:val="20"/>
          <w:color w:val="auto"/>
        </w:rPr>
      </w:pPr>
      <w:r>
        <w:rPr>
          <w:rFonts w:ascii="Arial" w:cs="Arial" w:eastAsia="Arial" w:hAnsi="Arial"/>
          <w:sz w:val="13"/>
          <w:szCs w:val="13"/>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C</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Waiver of Statutory Limitations on Releases</w:t>
      </w:r>
    </w:p>
    <w:p>
      <w:pPr>
        <w:spacing w:after="0" w:line="171" w:lineRule="exact"/>
        <w:rPr>
          <w:sz w:val="20"/>
          <w:szCs w:val="20"/>
          <w:color w:val="auto"/>
        </w:rPr>
      </w:pPr>
    </w:p>
    <w:p>
      <w:pPr>
        <w:ind w:right="40" w:firstLine="498"/>
        <w:spacing w:after="0" w:line="251" w:lineRule="auto"/>
        <w:rPr>
          <w:sz w:val="20"/>
          <w:szCs w:val="20"/>
          <w:color w:val="auto"/>
        </w:rPr>
      </w:pPr>
      <w:r>
        <w:rPr>
          <w:rFonts w:ascii="Arial" w:cs="Arial" w:eastAsia="Arial" w:hAnsi="Arial"/>
          <w:sz w:val="14"/>
          <w:szCs w:val="14"/>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5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i w:val="1"/>
          <w:iCs w:val="1"/>
          <w:color w:val="auto"/>
        </w:rPr>
        <w:t>D</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Discharge of Claims and Equity Interests</w:t>
      </w:r>
    </w:p>
    <w:p>
      <w:pPr>
        <w:spacing w:after="0" w:line="171" w:lineRule="exact"/>
        <w:rPr>
          <w:sz w:val="20"/>
          <w:szCs w:val="20"/>
          <w:color w:val="auto"/>
        </w:rPr>
      </w:pPr>
    </w:p>
    <w:p>
      <w:pPr>
        <w:ind w:right="180" w:firstLine="498"/>
        <w:spacing w:after="0" w:line="258" w:lineRule="auto"/>
        <w:rPr>
          <w:sz w:val="20"/>
          <w:szCs w:val="20"/>
          <w:color w:val="auto"/>
        </w:rPr>
      </w:pPr>
      <w:r>
        <w:rPr>
          <w:rFonts w:ascii="Arial" w:cs="Arial" w:eastAsia="Arial" w:hAnsi="Arial"/>
          <w:sz w:val="14"/>
          <w:szCs w:val="14"/>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4"/>
          <w:szCs w:val="14"/>
          <w:u w:val="single" w:color="auto"/>
          <w:color w:val="auto"/>
        </w:rPr>
        <w:t>Article V.D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V.E</w:t>
      </w:r>
      <w:r>
        <w:rPr>
          <w:rFonts w:ascii="Arial" w:cs="Arial" w:eastAsia="Arial" w:hAnsi="Arial"/>
          <w:sz w:val="14"/>
          <w:szCs w:val="14"/>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240" w:name="page241"/>
    <w:bookmarkEnd w:id="240"/>
    <w:p>
      <w:pPr>
        <w:ind w:right="80"/>
        <w:spacing w:after="0" w:line="258" w:lineRule="auto"/>
        <w:rPr>
          <w:sz w:val="20"/>
          <w:szCs w:val="20"/>
          <w:color w:val="auto"/>
        </w:rPr>
      </w:pPr>
      <w:r>
        <w:rPr>
          <w:rFonts w:ascii="Arial" w:cs="Arial" w:eastAsia="Arial" w:hAnsi="Arial"/>
          <w:sz w:val="14"/>
          <w:szCs w:val="14"/>
          <w:color w:val="auto"/>
        </w:rPr>
        <w:t>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45" w:lineRule="exact"/>
        <w:rPr>
          <w:sz w:val="20"/>
          <w:szCs w:val="20"/>
          <w:color w:val="auto"/>
        </w:rPr>
      </w:pPr>
    </w:p>
    <w:p>
      <w:pPr>
        <w:ind w:firstLine="498"/>
        <w:spacing w:after="0" w:line="310" w:lineRule="auto"/>
        <w:rPr>
          <w:sz w:val="20"/>
          <w:szCs w:val="20"/>
          <w:color w:val="auto"/>
        </w:rPr>
      </w:pPr>
      <w:r>
        <w:rPr>
          <w:rFonts w:ascii="Arial" w:cs="Arial" w:eastAsia="Arial" w:hAnsi="Arial"/>
          <w:sz w:val="12"/>
          <w:szCs w:val="12"/>
          <w:color w:val="auto"/>
        </w:rPr>
        <w:t xml:space="preserve">Except as otherwise expressly provided by this Plan (including, without limitation, </w:t>
      </w:r>
      <w:r>
        <w:rPr>
          <w:rFonts w:ascii="Arial" w:cs="Arial" w:eastAsia="Arial" w:hAnsi="Arial"/>
          <w:sz w:val="12"/>
          <w:szCs w:val="12"/>
          <w:u w:val="single" w:color="auto"/>
          <w:color w:val="auto"/>
        </w:rPr>
        <w:t>Article V.D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V.E</w:t>
      </w:r>
      <w:r>
        <w:rPr>
          <w:rFonts w:ascii="Arial" w:cs="Arial" w:eastAsia="Arial" w:hAnsi="Arial"/>
          <w:sz w:val="12"/>
          <w:szCs w:val="12"/>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17" w:lineRule="exact"/>
        <w:rPr>
          <w:sz w:val="20"/>
          <w:szCs w:val="20"/>
          <w:color w:val="auto"/>
        </w:rPr>
      </w:pPr>
    </w:p>
    <w:p>
      <w:pPr>
        <w:ind w:right="40" w:firstLine="498"/>
        <w:spacing w:after="0" w:line="301" w:lineRule="auto"/>
        <w:rPr>
          <w:sz w:val="20"/>
          <w:szCs w:val="20"/>
          <w:color w:val="auto"/>
        </w:rPr>
      </w:pPr>
      <w:r>
        <w:rPr>
          <w:rFonts w:ascii="Arial" w:cs="Arial" w:eastAsia="Arial" w:hAnsi="Arial"/>
          <w:sz w:val="12"/>
          <w:szCs w:val="12"/>
          <w:color w:val="auto"/>
        </w:rPr>
        <w:t xml:space="preserve">Except as otherwise expressly provided by this Plan (including, without limitation, </w:t>
      </w:r>
      <w:r>
        <w:rPr>
          <w:rFonts w:ascii="Arial" w:cs="Arial" w:eastAsia="Arial" w:hAnsi="Arial"/>
          <w:sz w:val="12"/>
          <w:szCs w:val="12"/>
          <w:u w:val="single" w:color="auto"/>
          <w:color w:val="auto"/>
        </w:rPr>
        <w:t>Article V.D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V.E</w:t>
      </w:r>
      <w:r>
        <w:rPr>
          <w:rFonts w:ascii="Arial" w:cs="Arial" w:eastAsia="Arial" w:hAnsi="Arial"/>
          <w:sz w:val="12"/>
          <w:szCs w:val="12"/>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E</w:t>
      </w:r>
      <w:r>
        <w:rPr>
          <w:rFonts w:ascii="Arial" w:cs="Arial" w:eastAsia="Arial" w:hAnsi="Arial"/>
          <w:sz w:val="14"/>
          <w:szCs w:val="14"/>
          <w:color w:val="auto"/>
        </w:rPr>
        <w:t>.</w:t>
      </w:r>
      <w:r>
        <w:rPr>
          <w:sz w:val="20"/>
          <w:szCs w:val="20"/>
          <w:color w:val="auto"/>
        </w:rPr>
        <w:tab/>
      </w:r>
      <w:r>
        <w:rPr>
          <w:rFonts w:ascii="Arial" w:cs="Arial" w:eastAsia="Arial" w:hAnsi="Arial"/>
          <w:sz w:val="13"/>
          <w:szCs w:val="13"/>
          <w:i w:val="1"/>
          <w:iCs w:val="1"/>
          <w:color w:val="auto"/>
        </w:rPr>
        <w:t>Exculpation</w:t>
      </w:r>
    </w:p>
    <w:p>
      <w:pPr>
        <w:spacing w:after="0" w:line="171" w:lineRule="exact"/>
        <w:rPr>
          <w:sz w:val="20"/>
          <w:szCs w:val="20"/>
          <w:color w:val="auto"/>
        </w:rPr>
      </w:pPr>
    </w:p>
    <w:p>
      <w:pPr>
        <w:ind w:right="20" w:firstLine="498"/>
        <w:spacing w:after="0" w:line="272" w:lineRule="auto"/>
        <w:rPr>
          <w:sz w:val="20"/>
          <w:szCs w:val="20"/>
          <w:color w:val="auto"/>
        </w:rPr>
      </w:pPr>
      <w:r>
        <w:rPr>
          <w:rFonts w:ascii="Arial" w:cs="Arial" w:eastAsia="Arial" w:hAnsi="Arial"/>
          <w:sz w:val="13"/>
          <w:szCs w:val="13"/>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 restructuring of the Debtors, the approval of the Disclosure Statement or Confirmation or Consummation of this Plan;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41" w:name="page242"/>
    <w:bookmarkEnd w:id="241"/>
    <w:p>
      <w:pPr>
        <w:spacing w:after="0" w:line="304" w:lineRule="auto"/>
        <w:rPr>
          <w:sz w:val="20"/>
          <w:szCs w:val="20"/>
          <w:color w:val="auto"/>
        </w:rPr>
      </w:pPr>
      <w:r>
        <w:rPr>
          <w:rFonts w:ascii="Arial" w:cs="Arial" w:eastAsia="Arial" w:hAnsi="Arial"/>
          <w:sz w:val="12"/>
          <w:szCs w:val="12"/>
          <w:color w:val="auto"/>
        </w:rPr>
        <w:t xml:space="preserve">this Plan or Final Order of the Bankruptcy Court;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2"/>
          <w:szCs w:val="12"/>
          <w:u w:val="single" w:color="auto"/>
          <w:color w:val="auto"/>
        </w:rPr>
        <w:t>Article X.E</w:t>
      </w:r>
      <w:r>
        <w:rPr>
          <w:rFonts w:ascii="Arial" w:cs="Arial" w:eastAsia="Arial" w:hAnsi="Arial"/>
          <w:sz w:val="12"/>
          <w:szCs w:val="12"/>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2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F</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Preservation of Causes of Action</w:t>
      </w:r>
    </w:p>
    <w:p>
      <w:pPr>
        <w:spacing w:after="0" w:line="171" w:lineRule="exact"/>
        <w:rPr>
          <w:sz w:val="20"/>
          <w:szCs w:val="20"/>
          <w:color w:val="auto"/>
        </w:rPr>
      </w:pPr>
    </w:p>
    <w:p>
      <w:pPr>
        <w:ind w:left="740" w:hanging="239"/>
        <w:spacing w:after="0"/>
        <w:tabs>
          <w:tab w:leader="none" w:pos="740"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Maintenance of Causes of Action</w:t>
      </w:r>
    </w:p>
    <w:p>
      <w:pPr>
        <w:spacing w:after="0" w:line="171"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 xml:space="preserve">Except as otherwise provided in this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(including, without limitation, and for the avoidance of doubt, the Releases contained in </w:t>
      </w:r>
      <w:r>
        <w:rPr>
          <w:rFonts w:ascii="Arial" w:cs="Arial" w:eastAsia="Arial" w:hAnsi="Arial"/>
          <w:sz w:val="14"/>
          <w:szCs w:val="14"/>
          <w:u w:val="single" w:color="auto"/>
          <w:color w:val="auto"/>
        </w:rPr>
        <w:t>Article X.B</w:t>
      </w:r>
      <w:r>
        <w:rPr>
          <w:rFonts w:ascii="Arial" w:cs="Arial" w:eastAsia="Arial" w:hAnsi="Arial"/>
          <w:sz w:val="14"/>
          <w:szCs w:val="14"/>
          <w:color w:val="auto"/>
        </w:rPr>
        <w:t xml:space="preserve"> and Exculpation contained in </w:t>
      </w:r>
      <w:r>
        <w:rPr>
          <w:rFonts w:ascii="Arial" w:cs="Arial" w:eastAsia="Arial" w:hAnsi="Arial"/>
          <w:sz w:val="14"/>
          <w:szCs w:val="14"/>
          <w:u w:val="single" w:color="auto"/>
          <w:color w:val="auto"/>
        </w:rPr>
        <w:t>Article X.E</w:t>
      </w:r>
      <w:r>
        <w:rPr>
          <w:rFonts w:ascii="Arial" w:cs="Arial" w:eastAsia="Arial" w:hAnsi="Arial"/>
          <w:sz w:val="14"/>
          <w:szCs w:val="14"/>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51" w:lineRule="exact"/>
        <w:rPr>
          <w:sz w:val="20"/>
          <w:szCs w:val="20"/>
          <w:color w:val="auto"/>
        </w:rPr>
      </w:pPr>
    </w:p>
    <w:p>
      <w:pPr>
        <w:ind w:left="740" w:hanging="239"/>
        <w:spacing w:after="0"/>
        <w:tabs>
          <w:tab w:leader="none" w:pos="740"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Preservation of All Causes of Action Not Expressly Settled or Released</w:t>
      </w:r>
    </w:p>
    <w:p>
      <w:pPr>
        <w:spacing w:after="0" w:line="171" w:lineRule="exact"/>
        <w:rPr>
          <w:sz w:val="20"/>
          <w:szCs w:val="20"/>
          <w:color w:val="auto"/>
        </w:rPr>
      </w:pPr>
    </w:p>
    <w:p>
      <w:pPr>
        <w:ind w:right="80" w:firstLine="498"/>
        <w:spacing w:after="0" w:line="297" w:lineRule="auto"/>
        <w:rPr>
          <w:sz w:val="20"/>
          <w:szCs w:val="20"/>
          <w:color w:val="auto"/>
        </w:rPr>
      </w:pPr>
      <w:r>
        <w:rPr>
          <w:rFonts w:ascii="Arial" w:cs="Arial" w:eastAsia="Arial" w:hAnsi="Arial"/>
          <w:sz w:val="12"/>
          <w:szCs w:val="12"/>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2"/>
          <w:szCs w:val="12"/>
          <w:i w:val="1"/>
          <w:iCs w:val="1"/>
          <w:color w:val="auto"/>
        </w:rPr>
        <w:t>res judicata</w:t>
      </w:r>
      <w:r>
        <w:rPr>
          <w:rFonts w:ascii="Arial" w:cs="Arial" w:eastAsia="Arial" w:hAnsi="Arial"/>
          <w:sz w:val="12"/>
          <w:szCs w:val="12"/>
          <w:color w:val="auto"/>
        </w:rPr>
        <w:t xml:space="preserve">,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 contained in </w:t>
      </w:r>
      <w:r>
        <w:rPr>
          <w:rFonts w:ascii="Arial" w:cs="Arial" w:eastAsia="Arial" w:hAnsi="Arial"/>
          <w:sz w:val="12"/>
          <w:szCs w:val="12"/>
          <w:u w:val="single" w:color="auto"/>
          <w:color w:val="auto"/>
        </w:rPr>
        <w:t>Article X.B</w:t>
      </w:r>
      <w:r>
        <w:rPr>
          <w:rFonts w:ascii="Arial" w:cs="Arial" w:eastAsia="Arial" w:hAnsi="Arial"/>
          <w:sz w:val="12"/>
          <w:szCs w:val="12"/>
          <w:color w:val="auto"/>
        </w:rPr>
        <w:t xml:space="preserve"> and Exculpation contained in </w:t>
      </w:r>
      <w:r>
        <w:rPr>
          <w:rFonts w:ascii="Arial" w:cs="Arial" w:eastAsia="Arial" w:hAnsi="Arial"/>
          <w:sz w:val="12"/>
          <w:szCs w:val="12"/>
          <w:u w:val="single" w:color="auto"/>
          <w:color w:val="auto"/>
        </w:rPr>
        <w:t>Article X.E</w:t>
      </w:r>
      <w:r>
        <w:rPr>
          <w:rFonts w:ascii="Arial" w:cs="Arial" w:eastAsia="Arial" w:hAnsi="Arial"/>
          <w:sz w:val="12"/>
          <w:szCs w:val="12"/>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42" w:name="page243"/>
    <w:bookmarkEnd w:id="242"/>
    <w:p>
      <w:pPr>
        <w:spacing w:after="0"/>
        <w:tabs>
          <w:tab w:leader="none" w:pos="500" w:val="left"/>
        </w:tabs>
        <w:rPr>
          <w:sz w:val="20"/>
          <w:szCs w:val="20"/>
          <w:color w:val="auto"/>
        </w:rPr>
      </w:pPr>
      <w:r>
        <w:rPr>
          <w:rFonts w:ascii="Arial" w:cs="Arial" w:eastAsia="Arial" w:hAnsi="Arial"/>
          <w:sz w:val="14"/>
          <w:szCs w:val="14"/>
          <w:i w:val="1"/>
          <w:iCs w:val="1"/>
          <w:color w:val="auto"/>
        </w:rPr>
        <w:t>G</w:t>
      </w:r>
      <w:r>
        <w:rPr>
          <w:rFonts w:ascii="Arial" w:cs="Arial" w:eastAsia="Arial" w:hAnsi="Arial"/>
          <w:sz w:val="14"/>
          <w:szCs w:val="14"/>
          <w:color w:val="auto"/>
        </w:rPr>
        <w:t>.</w:t>
      </w:r>
      <w:r>
        <w:rPr>
          <w:sz w:val="20"/>
          <w:szCs w:val="20"/>
          <w:color w:val="auto"/>
        </w:rPr>
        <w:tab/>
      </w:r>
      <w:r>
        <w:rPr>
          <w:rFonts w:ascii="Arial" w:cs="Arial" w:eastAsia="Arial" w:hAnsi="Arial"/>
          <w:sz w:val="13"/>
          <w:szCs w:val="13"/>
          <w:i w:val="1"/>
          <w:iCs w:val="1"/>
          <w:color w:val="auto"/>
        </w:rPr>
        <w:t>Injunction</w:t>
      </w:r>
    </w:p>
    <w:p>
      <w:pPr>
        <w:spacing w:after="0" w:line="167" w:lineRule="exact"/>
        <w:rPr>
          <w:sz w:val="20"/>
          <w:szCs w:val="20"/>
          <w:color w:val="auto"/>
        </w:rPr>
      </w:pPr>
    </w:p>
    <w:p>
      <w:pPr>
        <w:ind w:right="80" w:firstLine="498"/>
        <w:spacing w:after="0" w:line="249" w:lineRule="auto"/>
        <w:rPr>
          <w:sz w:val="20"/>
          <w:szCs w:val="20"/>
          <w:color w:val="auto"/>
        </w:rPr>
      </w:pPr>
      <w:r>
        <w:rPr>
          <w:rFonts w:ascii="Arial" w:cs="Arial" w:eastAsia="Arial" w:hAnsi="Arial"/>
          <w:sz w:val="14"/>
          <w:szCs w:val="14"/>
          <w:b w:val="1"/>
          <w:bCs w:val="1"/>
          <w:color w:val="auto"/>
        </w:rPr>
        <w:t>EXCEPT AS OTHERWISE EXPRESSLY PROVIDED IN THIS PLAN OR THE CONFIRMATION ORDER, INCLUDING SPECIFICALLY WITH RESPECT TO CLASS 8 GENERAL UNSECURED CLAIMS AND FOR THE AVOIDANCE OF DOUBT, SUBJECT TO ARTICLE III.C,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(II) ENFORCING, ATTACHING, COLLECTING, OR RECOVERING IN ANY MANNER ANY JUDGMENT, AWARD, DECREE, OR ORDER; (III) 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5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i w:val="1"/>
          <w:iCs w:val="1"/>
          <w:color w:val="auto"/>
        </w:rPr>
        <w:t>H</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Binding Nature of Plan</w:t>
      </w:r>
    </w:p>
    <w:p>
      <w:pPr>
        <w:spacing w:after="0" w:line="167" w:lineRule="exact"/>
        <w:rPr>
          <w:sz w:val="20"/>
          <w:szCs w:val="20"/>
          <w:color w:val="auto"/>
        </w:rPr>
      </w:pPr>
    </w:p>
    <w:p>
      <w:pPr>
        <w:ind w:firstLine="498"/>
        <w:spacing w:after="0" w:line="251" w:lineRule="auto"/>
        <w:rPr>
          <w:sz w:val="20"/>
          <w:szCs w:val="20"/>
          <w:color w:val="auto"/>
        </w:rPr>
      </w:pPr>
      <w:r>
        <w:rPr>
          <w:rFonts w:ascii="Arial" w:cs="Arial" w:eastAsia="Arial" w:hAnsi="Arial"/>
          <w:sz w:val="14"/>
          <w:szCs w:val="14"/>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 ACCEPT OR REJECT THIS PLAN, AFFIRMATIVELY VOTED TO REJECT THIS PLAN OR IS CONCLUSIVELY PRESUMED TO REJECT THIS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43" w:name="page244"/>
    <w:bookmarkEnd w:id="243"/>
    <w:p>
      <w:pPr>
        <w:spacing w:after="0"/>
        <w:tabs>
          <w:tab w:leader="none" w:pos="480" w:val="left"/>
        </w:tabs>
        <w:rPr>
          <w:sz w:val="20"/>
          <w:szCs w:val="20"/>
          <w:color w:val="auto"/>
        </w:rPr>
      </w:pPr>
      <w:r>
        <w:rPr>
          <w:rFonts w:ascii="Arial" w:cs="Arial" w:eastAsia="Arial" w:hAnsi="Arial"/>
          <w:sz w:val="14"/>
          <w:szCs w:val="14"/>
          <w:i w:val="1"/>
          <w:iCs w:val="1"/>
          <w:color w:val="auto"/>
        </w:rPr>
        <w:t>I</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Protection Against Discriminatory Treatment</w:t>
      </w:r>
    </w:p>
    <w:p>
      <w:pPr>
        <w:spacing w:after="0" w:line="171" w:lineRule="exact"/>
        <w:rPr>
          <w:sz w:val="20"/>
          <w:szCs w:val="20"/>
          <w:color w:val="auto"/>
        </w:rPr>
      </w:pPr>
    </w:p>
    <w:p>
      <w:pPr>
        <w:ind w:right="80" w:firstLine="498"/>
        <w:spacing w:after="0" w:line="252" w:lineRule="auto"/>
        <w:rPr>
          <w:sz w:val="20"/>
          <w:szCs w:val="20"/>
          <w:color w:val="auto"/>
        </w:rPr>
      </w:pPr>
      <w:r>
        <w:rPr>
          <w:rFonts w:ascii="Arial" w:cs="Arial" w:eastAsia="Arial" w:hAnsi="Arial"/>
          <w:sz w:val="14"/>
          <w:szCs w:val="14"/>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J</w:t>
      </w:r>
      <w:r>
        <w:rPr>
          <w:rFonts w:ascii="Arial" w:cs="Arial" w:eastAsia="Arial" w:hAnsi="Arial"/>
          <w:sz w:val="14"/>
          <w:szCs w:val="14"/>
          <w:color w:val="auto"/>
        </w:rPr>
        <w:t>.</w:t>
      </w:r>
      <w:r>
        <w:rPr>
          <w:sz w:val="20"/>
          <w:szCs w:val="20"/>
          <w:color w:val="auto"/>
        </w:rPr>
        <w:tab/>
      </w:r>
      <w:r>
        <w:rPr>
          <w:rFonts w:ascii="Arial" w:cs="Arial" w:eastAsia="Arial" w:hAnsi="Arial"/>
          <w:sz w:val="13"/>
          <w:szCs w:val="13"/>
          <w:i w:val="1"/>
          <w:iCs w:val="1"/>
          <w:color w:val="auto"/>
        </w:rPr>
        <w:t>Integral Part of Plan</w:t>
      </w:r>
    </w:p>
    <w:p>
      <w:pPr>
        <w:spacing w:after="0" w:line="171"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RETENTION OF JURISDICTION</w:t>
      </w:r>
    </w:p>
    <w:p>
      <w:pPr>
        <w:spacing w:after="0" w:line="175" w:lineRule="exact"/>
        <w:rPr>
          <w:sz w:val="20"/>
          <w:szCs w:val="20"/>
          <w:color w:val="auto"/>
        </w:rPr>
      </w:pPr>
    </w:p>
    <w:p>
      <w:pPr>
        <w:ind w:right="140" w:firstLine="498"/>
        <w:spacing w:after="0" w:line="258" w:lineRule="auto"/>
        <w:rPr>
          <w:sz w:val="20"/>
          <w:szCs w:val="20"/>
          <w:color w:val="auto"/>
        </w:rPr>
      </w:pPr>
      <w:r>
        <w:rPr>
          <w:rFonts w:ascii="Arial" w:cs="Arial" w:eastAsia="Arial" w:hAnsi="Arial"/>
          <w:sz w:val="14"/>
          <w:szCs w:val="14"/>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45" w:lineRule="exact"/>
        <w:rPr>
          <w:sz w:val="20"/>
          <w:szCs w:val="20"/>
          <w:color w:val="auto"/>
        </w:rPr>
      </w:pPr>
    </w:p>
    <w:p>
      <w:pPr>
        <w:ind w:right="40" w:firstLine="501"/>
        <w:spacing w:after="0" w:line="268" w:lineRule="auto"/>
        <w:tabs>
          <w:tab w:leader="none" w:pos="747" w:val="left"/>
        </w:tabs>
        <w:numPr>
          <w:ilvl w:val="0"/>
          <w:numId w:val="244"/>
        </w:numPr>
        <w:rPr>
          <w:rFonts w:ascii="Arial" w:cs="Arial" w:eastAsia="Arial" w:hAnsi="Arial"/>
          <w:sz w:val="14"/>
          <w:szCs w:val="14"/>
          <w:color w:val="auto"/>
        </w:rPr>
      </w:pPr>
      <w:r>
        <w:rPr>
          <w:rFonts w:ascii="Arial" w:cs="Arial" w:eastAsia="Arial" w:hAnsi="Arial"/>
          <w:sz w:val="14"/>
          <w:szCs w:val="14"/>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38" w:lineRule="exact"/>
        <w:rPr>
          <w:rFonts w:ascii="Arial" w:cs="Arial" w:eastAsia="Arial" w:hAnsi="Arial"/>
          <w:sz w:val="14"/>
          <w:szCs w:val="14"/>
          <w:color w:val="auto"/>
        </w:rPr>
      </w:pPr>
    </w:p>
    <w:p>
      <w:pPr>
        <w:ind w:right="80" w:firstLine="501"/>
        <w:spacing w:after="0" w:line="258" w:lineRule="auto"/>
        <w:tabs>
          <w:tab w:leader="none" w:pos="747" w:val="left"/>
        </w:tabs>
        <w:numPr>
          <w:ilvl w:val="0"/>
          <w:numId w:val="244"/>
        </w:numPr>
        <w:rPr>
          <w:rFonts w:ascii="Arial" w:cs="Arial" w:eastAsia="Arial" w:hAnsi="Arial"/>
          <w:sz w:val="14"/>
          <w:szCs w:val="14"/>
          <w:color w:val="auto"/>
        </w:rPr>
      </w:pPr>
      <w:r>
        <w:rPr>
          <w:rFonts w:ascii="Arial" w:cs="Arial" w:eastAsia="Arial" w:hAnsi="Arial"/>
          <w:sz w:val="14"/>
          <w:szCs w:val="14"/>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44" w:lineRule="exact"/>
        <w:rPr>
          <w:rFonts w:ascii="Arial" w:cs="Arial" w:eastAsia="Arial" w:hAnsi="Arial"/>
          <w:sz w:val="14"/>
          <w:szCs w:val="14"/>
          <w:color w:val="auto"/>
        </w:rPr>
      </w:pPr>
    </w:p>
    <w:p>
      <w:pPr>
        <w:ind w:right="20" w:firstLine="501"/>
        <w:spacing w:after="0" w:line="258" w:lineRule="auto"/>
        <w:tabs>
          <w:tab w:leader="none" w:pos="747" w:val="left"/>
        </w:tabs>
        <w:numPr>
          <w:ilvl w:val="0"/>
          <w:numId w:val="244"/>
        </w:numPr>
        <w:rPr>
          <w:rFonts w:ascii="Arial" w:cs="Arial" w:eastAsia="Arial" w:hAnsi="Arial"/>
          <w:sz w:val="14"/>
          <w:szCs w:val="14"/>
          <w:color w:val="auto"/>
        </w:rPr>
      </w:pPr>
      <w:r>
        <w:rPr>
          <w:rFonts w:ascii="Arial" w:cs="Arial" w:eastAsia="Arial" w:hAnsi="Arial"/>
          <w:sz w:val="14"/>
          <w:szCs w:val="14"/>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 the Effective Date to add Executory Contracts or Unexpired Leases to the list of Executory Contracts and Unexpired Leases to be assumed or rejected (as applicable);</w:t>
      </w:r>
    </w:p>
    <w:p>
      <w:pPr>
        <w:spacing w:after="0" w:line="144" w:lineRule="exact"/>
        <w:rPr>
          <w:rFonts w:ascii="Arial" w:cs="Arial" w:eastAsia="Arial" w:hAnsi="Arial"/>
          <w:sz w:val="14"/>
          <w:szCs w:val="14"/>
          <w:color w:val="auto"/>
        </w:rPr>
      </w:pPr>
    </w:p>
    <w:p>
      <w:pPr>
        <w:ind w:left="740" w:hanging="239"/>
        <w:spacing w:after="0"/>
        <w:tabs>
          <w:tab w:leader="none" w:pos="740" w:val="left"/>
        </w:tabs>
        <w:numPr>
          <w:ilvl w:val="0"/>
          <w:numId w:val="244"/>
        </w:numPr>
        <w:rPr>
          <w:rFonts w:ascii="Arial" w:cs="Arial" w:eastAsia="Arial" w:hAnsi="Arial"/>
          <w:sz w:val="14"/>
          <w:szCs w:val="14"/>
          <w:color w:val="auto"/>
        </w:rPr>
      </w:pPr>
      <w:r>
        <w:rPr>
          <w:rFonts w:ascii="Arial" w:cs="Arial" w:eastAsia="Arial" w:hAnsi="Arial"/>
          <w:sz w:val="14"/>
          <w:szCs w:val="14"/>
          <w:color w:val="auto"/>
        </w:rPr>
        <w:t>resolve any issues related to any matters adjudicated in the Chapter 11 Cases;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44" w:name="page245"/>
    <w:bookmarkEnd w:id="244"/>
    <w:p>
      <w:pPr>
        <w:ind w:left="740" w:hanging="239"/>
        <w:spacing w:after="0"/>
        <w:tabs>
          <w:tab w:leader="none" w:pos="7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ensure that distributions to Holders of Allowed Claims or Allowed Equity Interests are accomplished pursuant to the provisions of this Plan;</w:t>
      </w:r>
    </w:p>
    <w:p>
      <w:pPr>
        <w:spacing w:after="0" w:line="170" w:lineRule="exact"/>
        <w:rPr>
          <w:rFonts w:ascii="Arial" w:cs="Arial" w:eastAsia="Arial" w:hAnsi="Arial"/>
          <w:sz w:val="14"/>
          <w:szCs w:val="14"/>
          <w:color w:val="auto"/>
        </w:rPr>
      </w:pPr>
    </w:p>
    <w:p>
      <w:pPr>
        <w:ind w:right="120" w:firstLine="501"/>
        <w:spacing w:after="0" w:line="258" w:lineRule="auto"/>
        <w:tabs>
          <w:tab w:leader="none" w:pos="7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xml:space="preserve"> that the Reorganized Debtors will reserve the right to commence actions in all appropriate forums and jurisdictions;</w:t>
      </w:r>
    </w:p>
    <w:p>
      <w:pPr>
        <w:spacing w:after="0" w:line="144" w:lineRule="exact"/>
        <w:rPr>
          <w:rFonts w:ascii="Arial" w:cs="Arial" w:eastAsia="Arial" w:hAnsi="Arial"/>
          <w:sz w:val="14"/>
          <w:szCs w:val="14"/>
          <w:color w:val="auto"/>
        </w:rPr>
      </w:pPr>
    </w:p>
    <w:p>
      <w:pPr>
        <w:ind w:right="140" w:firstLine="501"/>
        <w:spacing w:after="0" w:line="268" w:lineRule="auto"/>
        <w:tabs>
          <w:tab w:leader="none" w:pos="7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38" w:lineRule="exact"/>
        <w:rPr>
          <w:rFonts w:ascii="Arial" w:cs="Arial" w:eastAsia="Arial" w:hAnsi="Arial"/>
          <w:sz w:val="14"/>
          <w:szCs w:val="14"/>
          <w:color w:val="auto"/>
        </w:rPr>
      </w:pPr>
    </w:p>
    <w:p>
      <w:pPr>
        <w:ind w:right="80" w:firstLine="501"/>
        <w:spacing w:after="0" w:line="268" w:lineRule="auto"/>
        <w:tabs>
          <w:tab w:leader="none" w:pos="7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38" w:lineRule="exact"/>
        <w:rPr>
          <w:rFonts w:ascii="Arial" w:cs="Arial" w:eastAsia="Arial" w:hAnsi="Arial"/>
          <w:sz w:val="14"/>
          <w:szCs w:val="14"/>
          <w:color w:val="auto"/>
        </w:rPr>
      </w:pPr>
    </w:p>
    <w:p>
      <w:pPr>
        <w:ind w:left="740" w:hanging="239"/>
        <w:spacing w:after="0"/>
        <w:tabs>
          <w:tab w:leader="none" w:pos="7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hear and determine all Causes of Action that are pending as of the Effective Date or that may be commenced in the future;</w:t>
      </w:r>
    </w:p>
    <w:p>
      <w:pPr>
        <w:spacing w:after="0" w:line="170" w:lineRule="exact"/>
        <w:rPr>
          <w:rFonts w:ascii="Arial" w:cs="Arial" w:eastAsia="Arial" w:hAnsi="Arial"/>
          <w:sz w:val="14"/>
          <w:szCs w:val="14"/>
          <w:color w:val="auto"/>
        </w:rPr>
      </w:pPr>
    </w:p>
    <w:p>
      <w:pPr>
        <w:ind w:right="520" w:firstLine="501"/>
        <w:spacing w:after="0" w:line="268" w:lineRule="auto"/>
        <w:tabs>
          <w:tab w:leader="none" w:pos="743"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38" w:lineRule="exact"/>
        <w:rPr>
          <w:rFonts w:ascii="Arial" w:cs="Arial" w:eastAsia="Arial" w:hAnsi="Arial"/>
          <w:sz w:val="14"/>
          <w:szCs w:val="14"/>
          <w:color w:val="auto"/>
        </w:rPr>
      </w:pPr>
    </w:p>
    <w:p>
      <w:pPr>
        <w:ind w:left="740" w:hanging="239"/>
        <w:spacing w:after="0"/>
        <w:tabs>
          <w:tab w:leader="none" w:pos="7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enforce the terms and conditions of this Plan, the Confirmation Order, and the Restructuring Documents;</w:t>
      </w:r>
    </w:p>
    <w:p>
      <w:pPr>
        <w:spacing w:after="0" w:line="170" w:lineRule="exact"/>
        <w:rPr>
          <w:rFonts w:ascii="Arial" w:cs="Arial" w:eastAsia="Arial" w:hAnsi="Arial"/>
          <w:sz w:val="14"/>
          <w:szCs w:val="14"/>
          <w:color w:val="auto"/>
        </w:rPr>
      </w:pPr>
    </w:p>
    <w:p>
      <w:pPr>
        <w:ind w:right="160" w:firstLine="501"/>
        <w:spacing w:after="0" w:line="268" w:lineRule="auto"/>
        <w:tabs>
          <w:tab w:leader="none" w:pos="743" w:val="left"/>
        </w:tabs>
        <w:numPr>
          <w:ilvl w:val="0"/>
          <w:numId w:val="245"/>
        </w:numPr>
        <w:rPr>
          <w:rFonts w:ascii="Arial" w:cs="Arial" w:eastAsia="Arial" w:hAnsi="Arial"/>
          <w:sz w:val="14"/>
          <w:szCs w:val="14"/>
          <w:color w:val="auto"/>
        </w:rPr>
      </w:pPr>
      <w:r>
        <w:rPr>
          <w:rFonts w:ascii="Arial" w:cs="Arial" w:eastAsia="Arial" w:hAnsi="Arial"/>
          <w:sz w:val="14"/>
          <w:szCs w:val="14"/>
          <w:color w:val="auto"/>
        </w:rPr>
        <w:t xml:space="preserve">resolve any cases, controversies, suits or disputes with respect to the Release, the Exculpation, the indemnification and other provisions contained in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hereof and enter such orders or take such others actions as may be necessary or appropriate to implement or enforce all such provisions;</w:t>
      </w:r>
    </w:p>
    <w:p>
      <w:pPr>
        <w:spacing w:after="0" w:line="138" w:lineRule="exact"/>
        <w:rPr>
          <w:rFonts w:ascii="Arial" w:cs="Arial" w:eastAsia="Arial" w:hAnsi="Arial"/>
          <w:sz w:val="14"/>
          <w:szCs w:val="14"/>
          <w:color w:val="auto"/>
        </w:rPr>
      </w:pPr>
    </w:p>
    <w:p>
      <w:pPr>
        <w:ind w:left="740" w:hanging="239"/>
        <w:spacing w:after="0"/>
        <w:tabs>
          <w:tab w:leader="none" w:pos="7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hear and determine all Litigation Claims;</w:t>
      </w:r>
    </w:p>
    <w:p>
      <w:pPr>
        <w:spacing w:after="0" w:line="170" w:lineRule="exact"/>
        <w:rPr>
          <w:rFonts w:ascii="Arial" w:cs="Arial" w:eastAsia="Arial" w:hAnsi="Arial"/>
          <w:sz w:val="14"/>
          <w:szCs w:val="14"/>
          <w:color w:val="auto"/>
        </w:rPr>
      </w:pPr>
    </w:p>
    <w:p>
      <w:pPr>
        <w:ind w:left="740" w:hanging="239"/>
        <w:spacing w:after="0"/>
        <w:tabs>
          <w:tab w:leader="none" w:pos="7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4"/>
          <w:szCs w:val="14"/>
          <w:color w:val="auto"/>
        </w:rPr>
      </w:pPr>
    </w:p>
    <w:p>
      <w:pPr>
        <w:ind w:left="740" w:hanging="239"/>
        <w:spacing w:after="0"/>
        <w:tabs>
          <w:tab w:leader="none" w:pos="74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resolve any other matters that may arise in connection with or relate to this Plan, the Disclosure Statement, the Confirmation Order or any release or exculpation adopted in connection with this</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Plan; and</w:t>
      </w:r>
    </w:p>
    <w:p>
      <w:pPr>
        <w:spacing w:after="0" w:line="161" w:lineRule="exact"/>
        <w:rPr>
          <w:rFonts w:ascii="Arial" w:cs="Arial" w:eastAsia="Arial" w:hAnsi="Arial"/>
          <w:sz w:val="12"/>
          <w:szCs w:val="12"/>
          <w:color w:val="auto"/>
        </w:rPr>
      </w:pPr>
    </w:p>
    <w:p>
      <w:pPr>
        <w:ind w:left="740" w:hanging="239"/>
        <w:spacing w:after="0"/>
        <w:tabs>
          <w:tab w:leader="none" w:pos="7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enter an order concluding or closing the Chapter 11 Cases.</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Notwithstanding the foregoing, (i) any dispute arising under or in connection with the Exit Loan Facility or the Exit Senior Unsecured Notes Indenture or any other contract or agreement binding on the Reorganized Debtors that contains provisions governing jurisdiction for litigation</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245" w:name="page246"/>
    <w:bookmarkEnd w:id="245"/>
    <w:p>
      <w:pPr>
        <w:ind w:right="40"/>
        <w:spacing w:after="0" w:line="258" w:lineRule="auto"/>
        <w:rPr>
          <w:sz w:val="20"/>
          <w:szCs w:val="20"/>
          <w:color w:val="auto"/>
        </w:rPr>
      </w:pPr>
      <w:r>
        <w:rPr>
          <w:rFonts w:ascii="Arial" w:cs="Arial" w:eastAsia="Arial" w:hAnsi="Arial"/>
          <w:sz w:val="14"/>
          <w:szCs w:val="14"/>
          <w:color w:val="auto"/>
        </w:rPr>
        <w:t xml:space="preserve">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will have no effect upon and will not control, prohibit, or limit the exercise of jurisdiction by any other court having jurisdiction with respect to such matter.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MISCELLANEOUS PROVISIONS</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A</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Substantial Consummation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“Substantial Consummation” of this Plan, as defined in 11 U.S.C. § 1101(2), will be deemed to occur on the Effective Date.</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B</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Payment of Statutory Fees; Post-Effective Date Fees and Expenses</w:t>
      </w:r>
    </w:p>
    <w:p>
      <w:pPr>
        <w:spacing w:after="0" w:line="171" w:lineRule="exact"/>
        <w:rPr>
          <w:sz w:val="20"/>
          <w:szCs w:val="20"/>
          <w:color w:val="auto"/>
        </w:rPr>
      </w:pPr>
    </w:p>
    <w:p>
      <w:pPr>
        <w:jc w:val="both"/>
        <w:ind w:firstLine="498"/>
        <w:spacing w:after="0" w:line="254" w:lineRule="auto"/>
        <w:rPr>
          <w:sz w:val="20"/>
          <w:szCs w:val="20"/>
          <w:color w:val="auto"/>
        </w:rPr>
      </w:pPr>
      <w:r>
        <w:rPr>
          <w:rFonts w:ascii="Arial" w:cs="Arial" w:eastAsia="Arial" w:hAnsi="Arial"/>
          <w:sz w:val="14"/>
          <w:szCs w:val="14"/>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48" w:lineRule="exact"/>
        <w:rPr>
          <w:sz w:val="20"/>
          <w:szCs w:val="20"/>
          <w:color w:val="auto"/>
        </w:rPr>
      </w:pPr>
    </w:p>
    <w:p>
      <w:pPr>
        <w:ind w:right="80" w:firstLine="498"/>
        <w:spacing w:after="0" w:line="280" w:lineRule="auto"/>
        <w:rPr>
          <w:sz w:val="20"/>
          <w:szCs w:val="20"/>
          <w:color w:val="auto"/>
        </w:rPr>
      </w:pPr>
      <w:r>
        <w:rPr>
          <w:rFonts w:ascii="Arial" w:cs="Arial" w:eastAsia="Arial" w:hAnsi="Arial"/>
          <w:sz w:val="13"/>
          <w:szCs w:val="13"/>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3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C</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Statutory Committee</w:t>
      </w:r>
    </w:p>
    <w:p>
      <w:pPr>
        <w:spacing w:after="0" w:line="171" w:lineRule="exact"/>
        <w:rPr>
          <w:sz w:val="20"/>
          <w:szCs w:val="20"/>
          <w:color w:val="auto"/>
        </w:rPr>
      </w:pPr>
    </w:p>
    <w:p>
      <w:pPr>
        <w:ind w:right="20" w:firstLine="498"/>
        <w:spacing w:after="0" w:line="251" w:lineRule="auto"/>
        <w:rPr>
          <w:sz w:val="20"/>
          <w:szCs w:val="20"/>
          <w:color w:val="auto"/>
        </w:rPr>
      </w:pPr>
      <w:r>
        <w:rPr>
          <w:rFonts w:ascii="Arial" w:cs="Arial" w:eastAsia="Arial" w:hAnsi="Arial"/>
          <w:sz w:val="14"/>
          <w:szCs w:val="14"/>
          <w:color w:val="auto"/>
        </w:rPr>
        <w:t xml:space="preserve">On the Effective Date, the current and former members of the Committee,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following limited purposes: (i) pursuing claims and final fee applications filed pursuant to sections 330 and 331 of the Bankruptcy Code in accordance with </w:t>
      </w:r>
      <w:r>
        <w:rPr>
          <w:rFonts w:ascii="Arial" w:cs="Arial" w:eastAsia="Arial" w:hAnsi="Arial"/>
          <w:sz w:val="14"/>
          <w:szCs w:val="14"/>
          <w:u w:val="single" w:color="auto"/>
          <w:color w:val="auto"/>
        </w:rPr>
        <w:t>Article II.A</w:t>
      </w:r>
      <w:r>
        <w:rPr>
          <w:rFonts w:ascii="Arial" w:cs="Arial" w:eastAsia="Arial" w:hAnsi="Arial"/>
          <w:sz w:val="14"/>
          <w:szCs w:val="14"/>
          <w:color w:val="auto"/>
        </w:rPr>
        <w:t>; and (ii) any appeals of the Confirmation Order or other appeal to which the Committee is a party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46" w:name="page247"/>
    <w:bookmarkEnd w:id="246"/>
    <w:p>
      <w:pPr>
        <w:spacing w:after="0"/>
        <w:tabs>
          <w:tab w:leader="none" w:pos="500" w:val="left"/>
        </w:tabs>
        <w:rPr>
          <w:sz w:val="20"/>
          <w:szCs w:val="20"/>
          <w:color w:val="auto"/>
        </w:rPr>
      </w:pPr>
      <w:r>
        <w:rPr>
          <w:rFonts w:ascii="Arial" w:cs="Arial" w:eastAsia="Arial" w:hAnsi="Arial"/>
          <w:sz w:val="14"/>
          <w:szCs w:val="14"/>
          <w:i w:val="1"/>
          <w:iCs w:val="1"/>
          <w:color w:val="auto"/>
        </w:rPr>
        <w:t>D</w:t>
      </w:r>
      <w:r>
        <w:rPr>
          <w:rFonts w:ascii="Arial" w:cs="Arial" w:eastAsia="Arial" w:hAnsi="Arial"/>
          <w:sz w:val="14"/>
          <w:szCs w:val="14"/>
          <w:color w:val="auto"/>
        </w:rPr>
        <w:t>.</w:t>
      </w:r>
      <w:r>
        <w:rPr>
          <w:sz w:val="20"/>
          <w:szCs w:val="20"/>
          <w:color w:val="auto"/>
        </w:rPr>
        <w:tab/>
      </w:r>
      <w:r>
        <w:rPr>
          <w:rFonts w:ascii="Arial" w:cs="Arial" w:eastAsia="Arial" w:hAnsi="Arial"/>
          <w:sz w:val="13"/>
          <w:szCs w:val="13"/>
          <w:i w:val="1"/>
          <w:iCs w:val="1"/>
          <w:color w:val="auto"/>
        </w:rPr>
        <w:t>Conflicts</w:t>
      </w:r>
    </w:p>
    <w:p>
      <w:pPr>
        <w:spacing w:after="0" w:line="171" w:lineRule="exact"/>
        <w:rPr>
          <w:sz w:val="20"/>
          <w:szCs w:val="20"/>
          <w:color w:val="auto"/>
        </w:rPr>
      </w:pPr>
    </w:p>
    <w:p>
      <w:pPr>
        <w:ind w:right="320" w:firstLine="498"/>
        <w:spacing w:after="0" w:line="258" w:lineRule="auto"/>
        <w:rPr>
          <w:sz w:val="20"/>
          <w:szCs w:val="20"/>
          <w:color w:val="auto"/>
        </w:rPr>
      </w:pPr>
      <w:r>
        <w:rPr>
          <w:rFonts w:ascii="Arial" w:cs="Arial" w:eastAsia="Arial" w:hAnsi="Arial"/>
          <w:sz w:val="14"/>
          <w:szCs w:val="14"/>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E</w:t>
      </w:r>
      <w:r>
        <w:rPr>
          <w:rFonts w:ascii="Arial" w:cs="Arial" w:eastAsia="Arial" w:hAnsi="Arial"/>
          <w:sz w:val="14"/>
          <w:szCs w:val="14"/>
          <w:color w:val="auto"/>
        </w:rPr>
        <w:t>.</w:t>
      </w:r>
      <w:r>
        <w:rPr>
          <w:sz w:val="20"/>
          <w:szCs w:val="20"/>
          <w:color w:val="auto"/>
        </w:rPr>
        <w:tab/>
      </w:r>
      <w:r>
        <w:rPr>
          <w:rFonts w:ascii="Arial" w:cs="Arial" w:eastAsia="Arial" w:hAnsi="Arial"/>
          <w:sz w:val="13"/>
          <w:szCs w:val="13"/>
          <w:i w:val="1"/>
          <w:iCs w:val="1"/>
          <w:color w:val="auto"/>
        </w:rPr>
        <w:t>Modification of Plan</w:t>
      </w:r>
    </w:p>
    <w:p>
      <w:pPr>
        <w:spacing w:after="0" w:line="171" w:lineRule="exact"/>
        <w:rPr>
          <w:sz w:val="20"/>
          <w:szCs w:val="20"/>
          <w:color w:val="auto"/>
        </w:rPr>
      </w:pPr>
    </w:p>
    <w:p>
      <w:pPr>
        <w:ind w:right="20" w:firstLine="498"/>
        <w:spacing w:after="0" w:line="294" w:lineRule="auto"/>
        <w:rPr>
          <w:sz w:val="20"/>
          <w:szCs w:val="20"/>
          <w:color w:val="auto"/>
        </w:rPr>
      </w:pPr>
      <w:r>
        <w:rPr>
          <w:rFonts w:ascii="Arial" w:cs="Arial" w:eastAsia="Arial" w:hAnsi="Arial"/>
          <w:sz w:val="12"/>
          <w:szCs w:val="12"/>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1127(a) of the Bankruptcy Code, and in consultation with the Committee, provided that, if such amendment or modification adversely impacts the treatment of General Unsecured Claims, such modification or amendment shall require the consent of the Committee, not to be unreasonably withheld;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1127(b) of the Bankruptcy Code, and in consultation with the Committee, provided that, if such amendment or modification adversely impacts the treatment of General Unsecured Claims, such modification or amendment shall require the consent of the Committee, not to be unreasonably withheld,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F</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Revocation or Withdrawal of Plan</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47" w:name="page248"/>
    <w:bookmarkEnd w:id="247"/>
    <w:p>
      <w:pPr>
        <w:jc w:val="both"/>
        <w:ind w:right="200"/>
        <w:spacing w:after="0" w:line="321" w:lineRule="auto"/>
        <w:rPr>
          <w:sz w:val="20"/>
          <w:szCs w:val="20"/>
          <w:color w:val="auto"/>
        </w:rPr>
      </w:pPr>
      <w:r>
        <w:rPr>
          <w:rFonts w:ascii="Arial" w:cs="Arial" w:eastAsia="Arial" w:hAnsi="Arial"/>
          <w:sz w:val="12"/>
          <w:szCs w:val="12"/>
          <w:color w:val="auto"/>
        </w:rPr>
        <w:t>or Unexpired Leases effected by this Plan and any document or agreement executed pursuant hereto will be deemed null and void except as may be set forth in a separate order entered by the Bankruptcy Court; and (3) nothing contained in this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i w:val="1"/>
          <w:iCs w:val="1"/>
          <w:color w:val="auto"/>
        </w:rPr>
        <w:t>G</w:t>
      </w:r>
      <w:r>
        <w:rPr>
          <w:rFonts w:ascii="Arial" w:cs="Arial" w:eastAsia="Arial" w:hAnsi="Arial"/>
          <w:sz w:val="14"/>
          <w:szCs w:val="14"/>
          <w:color w:val="auto"/>
        </w:rPr>
        <w:t>.</w:t>
      </w:r>
      <w:r>
        <w:rPr>
          <w:sz w:val="20"/>
          <w:szCs w:val="20"/>
          <w:color w:val="auto"/>
        </w:rPr>
        <w:tab/>
      </w:r>
      <w:r>
        <w:rPr>
          <w:rFonts w:ascii="Arial" w:cs="Arial" w:eastAsia="Arial" w:hAnsi="Arial"/>
          <w:sz w:val="10"/>
          <w:szCs w:val="10"/>
          <w:i w:val="1"/>
          <w:iCs w:val="1"/>
          <w:color w:val="auto"/>
        </w:rPr>
        <w:t>Successors and Assigns</w:t>
      </w:r>
    </w:p>
    <w:p>
      <w:pPr>
        <w:spacing w:after="0" w:line="171" w:lineRule="exact"/>
        <w:rPr>
          <w:sz w:val="20"/>
          <w:szCs w:val="20"/>
          <w:color w:val="auto"/>
        </w:rPr>
      </w:pPr>
    </w:p>
    <w:p>
      <w:pPr>
        <w:jc w:val="both"/>
        <w:ind w:right="220" w:firstLine="498"/>
        <w:spacing w:after="0" w:line="258" w:lineRule="auto"/>
        <w:rPr>
          <w:sz w:val="20"/>
          <w:szCs w:val="20"/>
          <w:color w:val="auto"/>
        </w:rPr>
      </w:pPr>
      <w:r>
        <w:rPr>
          <w:rFonts w:ascii="Arial" w:cs="Arial" w:eastAsia="Arial" w:hAnsi="Arial"/>
          <w:sz w:val="14"/>
          <w:szCs w:val="14"/>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4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i w:val="1"/>
          <w:iCs w:val="1"/>
          <w:color w:val="auto"/>
        </w:rPr>
        <w:t>H</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Reservation of Rights</w:t>
      </w:r>
    </w:p>
    <w:p>
      <w:pPr>
        <w:spacing w:after="0" w:line="171" w:lineRule="exact"/>
        <w:rPr>
          <w:sz w:val="20"/>
          <w:szCs w:val="20"/>
          <w:color w:val="auto"/>
        </w:rPr>
      </w:pPr>
    </w:p>
    <w:p>
      <w:pPr>
        <w:jc w:val="both"/>
        <w:ind w:right="80" w:firstLine="498"/>
        <w:spacing w:after="0" w:line="321" w:lineRule="auto"/>
        <w:rPr>
          <w:sz w:val="20"/>
          <w:szCs w:val="20"/>
          <w:color w:val="auto"/>
        </w:rPr>
      </w:pPr>
      <w:r>
        <w:rPr>
          <w:rFonts w:ascii="Arial" w:cs="Arial" w:eastAsia="Arial" w:hAnsi="Arial"/>
          <w:sz w:val="12"/>
          <w:szCs w:val="12"/>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1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I</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Further Assurances</w:t>
      </w:r>
    </w:p>
    <w:p>
      <w:pPr>
        <w:spacing w:after="0" w:line="171" w:lineRule="exact"/>
        <w:rPr>
          <w:sz w:val="20"/>
          <w:szCs w:val="20"/>
          <w:color w:val="auto"/>
        </w:rPr>
      </w:pPr>
    </w:p>
    <w:p>
      <w:pPr>
        <w:ind w:right="420" w:firstLine="498"/>
        <w:spacing w:after="0" w:line="307" w:lineRule="auto"/>
        <w:rPr>
          <w:sz w:val="20"/>
          <w:szCs w:val="20"/>
          <w:color w:val="auto"/>
        </w:rPr>
      </w:pPr>
      <w:r>
        <w:rPr>
          <w:rFonts w:ascii="Arial" w:cs="Arial" w:eastAsia="Arial" w:hAnsi="Arial"/>
          <w:sz w:val="13"/>
          <w:szCs w:val="13"/>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1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J</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Severability</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248" w:name="page249"/>
    <w:bookmarkEnd w:id="248"/>
    <w:p>
      <w:pPr>
        <w:spacing w:after="0"/>
        <w:tabs>
          <w:tab w:leader="none" w:pos="480" w:val="left"/>
        </w:tabs>
        <w:rPr>
          <w:sz w:val="20"/>
          <w:szCs w:val="20"/>
          <w:color w:val="auto"/>
        </w:rPr>
      </w:pPr>
      <w:r>
        <w:rPr>
          <w:rFonts w:ascii="Arial" w:cs="Arial" w:eastAsia="Arial" w:hAnsi="Arial"/>
          <w:sz w:val="14"/>
          <w:szCs w:val="14"/>
          <w:i w:val="1"/>
          <w:iCs w:val="1"/>
          <w:color w:val="auto"/>
        </w:rPr>
        <w:t>K</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Service of Documents</w:t>
      </w:r>
    </w:p>
    <w:p>
      <w:pPr>
        <w:spacing w:after="0" w:line="167" w:lineRule="exact"/>
        <w:rPr>
          <w:sz w:val="20"/>
          <w:szCs w:val="20"/>
          <w:color w:val="auto"/>
        </w:rPr>
      </w:pPr>
    </w:p>
    <w:p>
      <w:pPr>
        <w:ind w:firstLine="498"/>
        <w:spacing w:after="0" w:line="274" w:lineRule="auto"/>
        <w:rPr>
          <w:sz w:val="20"/>
          <w:szCs w:val="20"/>
          <w:color w:val="auto"/>
        </w:rPr>
      </w:pPr>
      <w:r>
        <w:rPr>
          <w:rFonts w:ascii="Arial" w:cs="Arial" w:eastAsia="Arial" w:hAnsi="Arial"/>
          <w:sz w:val="14"/>
          <w:szCs w:val="14"/>
          <w:color w:val="auto"/>
        </w:rPr>
        <w:t>Any notice, direction or other communication given regarding the matters contemplated by this Plan (each, a “</w:t>
      </w:r>
      <w:r>
        <w:rPr>
          <w:rFonts w:ascii="Arial" w:cs="Arial" w:eastAsia="Arial" w:hAnsi="Arial"/>
          <w:sz w:val="14"/>
          <w:szCs w:val="14"/>
          <w:b w:val="1"/>
          <w:bCs w:val="1"/>
          <w:u w:val="single" w:color="auto"/>
          <w:color w:val="auto"/>
        </w:rPr>
        <w:t>Notice</w:t>
      </w:r>
      <w:r>
        <w:rPr>
          <w:rFonts w:ascii="Arial" w:cs="Arial" w:eastAsia="Arial" w:hAnsi="Arial"/>
          <w:sz w:val="14"/>
          <w:szCs w:val="14"/>
          <w:color w:val="auto"/>
        </w:rPr>
        <w:t>”) must be in writing, sent by personal delivery, electronic mail, courier or facsimile and addressed as follows:</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If to the Debtors</w:t>
      </w:r>
      <w:r>
        <w:rPr>
          <w:rFonts w:ascii="Arial" w:cs="Arial" w:eastAsia="Arial" w:hAnsi="Arial"/>
          <w:sz w:val="14"/>
          <w:szCs w:val="14"/>
          <w:color w:val="auto"/>
        </w:rPr>
        <w: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Weatherford International plc</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2000 St. James Place</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Houston, Texas 77056</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(713) 836-5032</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Attn: Christina M. Ibrahim</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Email: christina.ibrahim@weatherford.com</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with a copy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Latham &amp; Watkins LLP</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885 Third Avenue</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New York, NY 10022</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Attn: George A. Davis and Keith A. Simon</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Direct Dial: (212) 906-1200</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(212) 751-4864</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Email: george.davis@lw.com and keith.simon@lw.com</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If to the Ad Hoc Noteholder Committee</w:t>
      </w:r>
      <w:r>
        <w:rPr>
          <w:rFonts w:ascii="Arial" w:cs="Arial" w:eastAsia="Arial" w:hAnsi="Arial"/>
          <w:sz w:val="14"/>
          <w:szCs w:val="14"/>
          <w:color w:val="auto"/>
        </w:rPr>
        <w: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Akin Gump Strauss Hauer &amp; Feld LLP</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One Bryant Park</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Bank of America Tower</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New York, NY 10036-6745</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Attn: Michael S Stamer, Meredith Lahaie</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Direct Dial: (212) 872-1000</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(212) 872-1002</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Email: mstamer@akingump.com and mlahaie@akingump.com</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and -</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2001 K Street N.W.</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Washington, DC 20006</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Attn: Kate Doorley</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Direct Dial: (202) 887-4592</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(202) 887-4288</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Email: kdoorley@akingump.com</w:t>
      </w:r>
    </w:p>
    <w:p>
      <w:pPr>
        <w:spacing w:after="0" w:line="162"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100"/>
          </w:cols>
          <w:pgMar w:left="220" w:top="295" w:right="579" w:bottom="1440" w:gutter="0" w:footer="0" w:header="0"/>
        </w:sectPr>
      </w:pPr>
    </w:p>
    <w:bookmarkStart w:id="249" w:name="page250"/>
    <w:bookmarkEnd w:id="249"/>
    <w:p>
      <w:pPr>
        <w:ind w:left="1000"/>
        <w:spacing w:after="0"/>
        <w:rPr>
          <w:sz w:val="20"/>
          <w:szCs w:val="20"/>
          <w:color w:val="auto"/>
        </w:rPr>
      </w:pPr>
      <w:r>
        <w:rPr>
          <w:rFonts w:ascii="Arial" w:cs="Arial" w:eastAsia="Arial" w:hAnsi="Arial"/>
          <w:sz w:val="14"/>
          <w:szCs w:val="14"/>
          <w:b w:val="1"/>
          <w:bCs w:val="1"/>
          <w:u w:val="single" w:color="auto"/>
          <w:color w:val="auto"/>
        </w:rPr>
        <w:t>If to the Committee</w:t>
      </w:r>
      <w:r>
        <w:rPr>
          <w:rFonts w:ascii="Arial" w:cs="Arial" w:eastAsia="Arial" w:hAnsi="Arial"/>
          <w:sz w:val="14"/>
          <w:szCs w:val="14"/>
          <w:color w:val="auto"/>
        </w:rPr>
        <w:t>:</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Ropes and Gray LLP</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1211 Avenue of the Americas</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New York, NY 10036-8704</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Attn: Mark R. Somerstein; Matthew M. Roose</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Direct Dial: (212) 596-9000</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Fax: (212) 596-9090</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Email: mark.somerstein@ropesgray.com and matthew.roose@ropesgray.com</w:t>
      </w:r>
    </w:p>
    <w:p>
      <w:pPr>
        <w:spacing w:after="0" w:line="162"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L</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Exemption from Transfer Taxes Pursuant to Section 1146(a) of the Bankruptcy Code</w:t>
      </w:r>
    </w:p>
    <w:p>
      <w:pPr>
        <w:spacing w:after="0" w:line="171" w:lineRule="exact"/>
        <w:rPr>
          <w:sz w:val="20"/>
          <w:szCs w:val="20"/>
          <w:color w:val="auto"/>
        </w:rPr>
      </w:pPr>
    </w:p>
    <w:p>
      <w:pPr>
        <w:ind w:right="20" w:firstLine="498"/>
        <w:spacing w:after="0" w:line="273" w:lineRule="auto"/>
        <w:rPr>
          <w:sz w:val="20"/>
          <w:szCs w:val="20"/>
          <w:color w:val="auto"/>
        </w:rPr>
      </w:pPr>
      <w:r>
        <w:rPr>
          <w:rFonts w:ascii="Arial" w:cs="Arial" w:eastAsia="Arial" w:hAnsi="Arial"/>
          <w:sz w:val="13"/>
          <w:szCs w:val="13"/>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M</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Governing Law</w:t>
      </w:r>
    </w:p>
    <w:p>
      <w:pPr>
        <w:spacing w:after="0" w:line="171"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color w:val="auto"/>
        </w:rPr>
        <w:t>construed and enforced in accordance with, the laws of New York, without giving effect to the principles of conflicts of law of such jurisdiction.</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N</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Tax Reporting and Compliance</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3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i w:val="1"/>
          <w:iCs w:val="1"/>
          <w:color w:val="auto"/>
        </w:rPr>
        <w:t>O</w:t>
      </w:r>
      <w:r>
        <w:rPr>
          <w:rFonts w:ascii="Arial" w:cs="Arial" w:eastAsia="Arial" w:hAnsi="Arial"/>
          <w:sz w:val="14"/>
          <w:szCs w:val="14"/>
          <w:color w:val="auto"/>
        </w:rPr>
        <w:t>.</w:t>
      </w:r>
      <w:r>
        <w:rPr>
          <w:sz w:val="20"/>
          <w:szCs w:val="20"/>
          <w:color w:val="auto"/>
        </w:rPr>
        <w:tab/>
      </w:r>
      <w:r>
        <w:rPr>
          <w:rFonts w:ascii="Arial" w:cs="Arial" w:eastAsia="Arial" w:hAnsi="Arial"/>
          <w:sz w:val="10"/>
          <w:szCs w:val="10"/>
          <w:i w:val="1"/>
          <w:iCs w:val="1"/>
          <w:color w:val="auto"/>
        </w:rPr>
        <w:t>Schedules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exhibits and schedules to this Plan, including the Exhibits and Plan Schedules, are incorporated herein and are a part of this Plan as if set forth in full herein.</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P</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No Strict Construction</w:t>
      </w:r>
    </w:p>
    <w:p>
      <w:pPr>
        <w:spacing w:after="0" w:line="171"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 xml:space="preserve">This Plan is the product of extensive discussions and negotiations between and among, </w:t>
      </w:r>
      <w:r>
        <w:rPr>
          <w:rFonts w:ascii="Arial" w:cs="Arial" w:eastAsia="Arial" w:hAnsi="Arial"/>
          <w:sz w:val="14"/>
          <w:szCs w:val="14"/>
          <w:i w:val="1"/>
          <w:iCs w:val="1"/>
          <w:color w:val="auto"/>
        </w:rPr>
        <w:t>inter alia</w:t>
      </w:r>
      <w:r>
        <w:rPr>
          <w:rFonts w:ascii="Arial" w:cs="Arial" w:eastAsia="Arial" w:hAnsi="Arial"/>
          <w:sz w:val="14"/>
          <w:szCs w:val="14"/>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i w:val="1"/>
          <w:iCs w:val="1"/>
          <w:color w:val="auto"/>
        </w:rPr>
        <w:t>Q</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Entire Agreement</w:t>
      </w:r>
    </w:p>
    <w:p>
      <w:pPr>
        <w:spacing w:after="0" w:line="171" w:lineRule="exact"/>
        <w:rPr>
          <w:sz w:val="20"/>
          <w:szCs w:val="20"/>
          <w:color w:val="auto"/>
        </w:rPr>
      </w:pPr>
    </w:p>
    <w:p>
      <w:pPr>
        <w:ind w:right="740" w:firstLine="498"/>
        <w:spacing w:after="0" w:line="307" w:lineRule="auto"/>
        <w:rPr>
          <w:sz w:val="20"/>
          <w:szCs w:val="20"/>
          <w:color w:val="auto"/>
        </w:rPr>
      </w:pPr>
      <w:r>
        <w:rPr>
          <w:rFonts w:ascii="Arial" w:cs="Arial" w:eastAsia="Arial" w:hAnsi="Arial"/>
          <w:sz w:val="13"/>
          <w:szCs w:val="13"/>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1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R</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Closing of Chapter 11 Cases</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i w:val="1"/>
          <w:iCs w:val="1"/>
          <w:color w:val="auto"/>
        </w:rPr>
        <w:t>S</w:t>
      </w:r>
      <w:r>
        <w:rPr>
          <w:rFonts w:ascii="Arial" w:cs="Arial" w:eastAsia="Arial" w:hAnsi="Arial"/>
          <w:sz w:val="14"/>
          <w:szCs w:val="14"/>
          <w:color w:val="auto"/>
        </w:rPr>
        <w:t>.</w:t>
      </w:r>
      <w:r>
        <w:rPr>
          <w:sz w:val="20"/>
          <w:szCs w:val="20"/>
          <w:color w:val="auto"/>
        </w:rPr>
        <w:tab/>
      </w:r>
      <w:r>
        <w:rPr>
          <w:rFonts w:ascii="Arial" w:cs="Arial" w:eastAsia="Arial" w:hAnsi="Arial"/>
          <w:sz w:val="12"/>
          <w:szCs w:val="12"/>
          <w:i w:val="1"/>
          <w:iCs w:val="1"/>
          <w:color w:val="auto"/>
        </w:rPr>
        <w:t>2002 Notice Parties</w:t>
      </w:r>
    </w:p>
    <w:p>
      <w:pPr>
        <w:spacing w:after="0" w:line="171"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251" w:name="page252"/>
    <w:bookmarkEnd w:id="251"/>
    <w:p>
      <w:pPr>
        <w:spacing w:after="0"/>
        <w:rPr>
          <w:sz w:val="20"/>
          <w:szCs w:val="20"/>
          <w:color w:val="auto"/>
        </w:rPr>
      </w:pPr>
      <w:r>
        <w:rPr>
          <w:rFonts w:ascii="Arial" w:cs="Arial" w:eastAsia="Arial" w:hAnsi="Arial"/>
          <w:sz w:val="14"/>
          <w:szCs w:val="14"/>
          <w:color w:val="auto"/>
        </w:rPr>
        <w:t>Dated: September 9, 2019</w:t>
      </w:r>
    </w:p>
    <w:p>
      <w:pPr>
        <w:spacing w:after="0" w:line="171"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Respectfully submitted,</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WEATHERFORD INTERNATIONAL PLC AND ITS AFFILIATE DEBTORS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ind w:left="5740"/>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Christoph Bausch</w:t>
            </w:r>
          </w:p>
        </w:tc>
        <w:tc>
          <w:tcPr>
            <w:tcW w:w="40" w:type="dxa"/>
            <w:vAlign w:val="bottom"/>
          </w:tcPr>
          <w:p>
            <w:pPr>
              <w:spacing w:after="0"/>
              <w:rPr>
                <w:sz w:val="15"/>
                <w:szCs w:val="15"/>
                <w:color w:val="auto"/>
              </w:rPr>
            </w:pPr>
          </w:p>
        </w:tc>
      </w:tr>
      <w:tr>
        <w:trPr>
          <w:trHeight w:val="158"/>
        </w:trPr>
        <w:tc>
          <w:tcPr>
            <w:tcW w:w="6300" w:type="dxa"/>
            <w:vAlign w:val="bottom"/>
          </w:tcPr>
          <w:p>
            <w:pPr>
              <w:ind w:left="5740"/>
              <w:spacing w:after="0" w:line="155" w:lineRule="exact"/>
              <w:rPr>
                <w:sz w:val="20"/>
                <w:szCs w:val="20"/>
                <w:color w:val="auto"/>
              </w:rPr>
            </w:pPr>
            <w:r>
              <w:rPr>
                <w:rFonts w:ascii="Arial" w:cs="Arial" w:eastAsia="Arial" w:hAnsi="Arial"/>
                <w:sz w:val="14"/>
                <w:szCs w:val="14"/>
                <w:color w:val="auto"/>
              </w:rPr>
              <w:t>Title:</w:t>
            </w:r>
          </w:p>
        </w:tc>
        <w:tc>
          <w:tcPr>
            <w:tcW w:w="51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rPr>
              <w:t>Executive Vice President and Chief Financial Officer</w:t>
            </w:r>
          </w:p>
        </w:tc>
        <w:tc>
          <w:tcPr>
            <w:tcW w:w="40" w:type="dxa"/>
            <w:vAlign w:val="bottom"/>
          </w:tcPr>
          <w:p>
            <w:pPr>
              <w:spacing w:after="0"/>
              <w:rPr>
                <w:sz w:val="13"/>
                <w:szCs w:val="13"/>
                <w:color w:val="auto"/>
              </w:rPr>
            </w:pPr>
          </w:p>
        </w:tc>
      </w:tr>
      <w:tr>
        <w:trPr>
          <w:trHeight w:val="321"/>
        </w:trPr>
        <w:tc>
          <w:tcPr>
            <w:tcW w:w="6300" w:type="dxa"/>
            <w:vAlign w:val="bottom"/>
          </w:tcPr>
          <w:p>
            <w:pPr>
              <w:jc w:val="right"/>
              <w:ind w:right="431"/>
              <w:spacing w:after="0"/>
              <w:rPr>
                <w:sz w:val="20"/>
                <w:szCs w:val="20"/>
                <w:color w:val="auto"/>
              </w:rPr>
            </w:pPr>
            <w:r>
              <w:rPr>
                <w:rFonts w:ascii="Arial" w:cs="Arial" w:eastAsia="Arial" w:hAnsi="Arial"/>
                <w:sz w:val="14"/>
                <w:szCs w:val="14"/>
                <w:color w:val="auto"/>
              </w:rPr>
              <w:t>73</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6300" w:type="dxa"/>
            <w:vAlign w:val="bottom"/>
            <w:tcBorders>
              <w:bottom w:val="single" w:sz="8" w:color="808080"/>
            </w:tcBorders>
          </w:tcPr>
          <w:p>
            <w:pPr>
              <w:spacing w:after="0"/>
              <w:rPr>
                <w:sz w:val="8"/>
                <w:szCs w:val="8"/>
                <w:color w:val="auto"/>
              </w:rPr>
            </w:pPr>
          </w:p>
        </w:tc>
        <w:tc>
          <w:tcPr>
            <w:tcW w:w="5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252" w:name="page253"/>
    <w:bookmarkEnd w:id="252"/>
    <w:p>
      <w:pPr>
        <w:jc w:val="right"/>
        <w:spacing w:after="0"/>
        <w:rPr>
          <w:sz w:val="20"/>
          <w:szCs w:val="20"/>
          <w:color w:val="auto"/>
        </w:rPr>
      </w:pPr>
      <w:r>
        <w:rPr>
          <w:rFonts w:ascii="Arial" w:cs="Arial" w:eastAsia="Arial" w:hAnsi="Arial"/>
          <w:sz w:val="14"/>
          <w:szCs w:val="14"/>
          <w:b w:val="1"/>
          <w:bCs w:val="1"/>
          <w:color w:val="auto"/>
        </w:rPr>
        <w:t>Exhibit T3E-6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FIRST AMENDMENT TO BACKSTOP COMMITMENT AGREEMENT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This FIRST AMENDMENT (this “</w:t>
      </w:r>
      <w:r>
        <w:rPr>
          <w:rFonts w:ascii="Arial" w:cs="Arial" w:eastAsia="Arial" w:hAnsi="Arial"/>
          <w:sz w:val="13"/>
          <w:szCs w:val="13"/>
          <w:u w:val="single" w:color="auto"/>
          <w:color w:val="auto"/>
        </w:rPr>
        <w:t>First Amendment</w:t>
      </w:r>
      <w:r>
        <w:rPr>
          <w:rFonts w:ascii="Arial" w:cs="Arial" w:eastAsia="Arial" w:hAnsi="Arial"/>
          <w:sz w:val="13"/>
          <w:szCs w:val="13"/>
          <w:color w:val="auto"/>
        </w:rPr>
        <w:t>”) to the Backstop Commitment Agreement, dated as of July 1, 2019 (together with the schedules, annexes and exhibits (including the term</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sheets) attached thereto, the “</w:t>
      </w:r>
      <w:r>
        <w:rPr>
          <w:rFonts w:ascii="Arial" w:cs="Arial" w:eastAsia="Arial" w:hAnsi="Arial"/>
          <w:sz w:val="13"/>
          <w:szCs w:val="13"/>
          <w:u w:val="single" w:color="auto"/>
          <w:color w:val="auto"/>
        </w:rPr>
        <w:t>Backstop Agreement</w:t>
      </w:r>
      <w:r>
        <w:rPr>
          <w:rFonts w:ascii="Arial" w:cs="Arial" w:eastAsia="Arial" w:hAnsi="Arial"/>
          <w:sz w:val="13"/>
          <w:szCs w:val="13"/>
          <w:color w:val="auto"/>
        </w:rPr>
        <w:t>”), by and among: (i) Weatherford International Plc (the “</w:t>
      </w:r>
      <w:r>
        <w:rPr>
          <w:rFonts w:ascii="Arial" w:cs="Arial" w:eastAsia="Arial" w:hAnsi="Arial"/>
          <w:sz w:val="13"/>
          <w:szCs w:val="13"/>
          <w:u w:val="single" w:color="auto"/>
          <w:color w:val="auto"/>
        </w:rPr>
        <w:t>Company</w:t>
      </w:r>
      <w:r>
        <w:rPr>
          <w:rFonts w:ascii="Arial" w:cs="Arial" w:eastAsia="Arial" w:hAnsi="Arial"/>
          <w:sz w:val="13"/>
          <w:szCs w:val="13"/>
          <w:color w:val="auto"/>
        </w:rPr>
        <w:t>”), (ii) each of the other Debtors (defined therein) (together with the Company, the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Parties</w:t>
      </w:r>
      <w:r>
        <w:rPr>
          <w:rFonts w:ascii="Arial" w:cs="Arial" w:eastAsia="Arial" w:hAnsi="Arial"/>
          <w:sz w:val="12"/>
          <w:szCs w:val="12"/>
          <w:color w:val="auto"/>
        </w:rPr>
        <w:t>” and each individually, a “</w:t>
      </w:r>
      <w:r>
        <w:rPr>
          <w:rFonts w:ascii="Arial" w:cs="Arial" w:eastAsia="Arial" w:hAnsi="Arial"/>
          <w:sz w:val="12"/>
          <w:szCs w:val="12"/>
          <w:u w:val="single" w:color="auto"/>
          <w:color w:val="auto"/>
        </w:rPr>
        <w:t>Company Party</w:t>
      </w:r>
      <w:r>
        <w:rPr>
          <w:rFonts w:ascii="Arial" w:cs="Arial" w:eastAsia="Arial" w:hAnsi="Arial"/>
          <w:sz w:val="12"/>
          <w:szCs w:val="12"/>
          <w:color w:val="auto"/>
        </w:rPr>
        <w:t>”), and (iii) each of the entities signatory to the Backstop Agreement (collectively, the “</w:t>
      </w:r>
      <w:r>
        <w:rPr>
          <w:rFonts w:ascii="Arial" w:cs="Arial" w:eastAsia="Arial" w:hAnsi="Arial"/>
          <w:sz w:val="12"/>
          <w:szCs w:val="12"/>
          <w:u w:val="single" w:color="auto"/>
          <w:color w:val="auto"/>
        </w:rPr>
        <w:t>Initial Commitment Parties</w:t>
      </w:r>
      <w:r>
        <w:rPr>
          <w:rFonts w:ascii="Arial" w:cs="Arial" w:eastAsia="Arial" w:hAnsi="Arial"/>
          <w:sz w:val="12"/>
          <w:szCs w:val="12"/>
          <w:color w:val="auto"/>
        </w:rPr>
        <w:t>”), is being entered into as of</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September 9, 2019, by and among (i) the Company Parties, (ii) the Backstop Parties and (iii) each of the additional entities that are signatories hereto (the “</w:t>
      </w:r>
      <w:r>
        <w:rPr>
          <w:rFonts w:ascii="Arial" w:cs="Arial" w:eastAsia="Arial" w:hAnsi="Arial"/>
          <w:sz w:val="12"/>
          <w:szCs w:val="12"/>
          <w:u w:val="single" w:color="auto"/>
          <w:color w:val="auto"/>
        </w:rPr>
        <w:t>Additional Commitment Parties</w:t>
      </w:r>
      <w:r>
        <w:rPr>
          <w:rFonts w:ascii="Arial" w:cs="Arial" w:eastAsia="Arial" w:hAnsi="Arial"/>
          <w:sz w:val="12"/>
          <w:szCs w:val="12"/>
          <w:color w:val="auto"/>
        </w:rPr>
        <w:t>” and, together with</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Initial Commitment Parties, the “</w:t>
      </w:r>
      <w:r>
        <w:rPr>
          <w:rFonts w:ascii="Arial" w:cs="Arial" w:eastAsia="Arial" w:hAnsi="Arial"/>
          <w:sz w:val="13"/>
          <w:szCs w:val="13"/>
          <w:u w:val="single" w:color="auto"/>
          <w:color w:val="auto"/>
        </w:rPr>
        <w:t>Commitment Parties</w:t>
      </w:r>
      <w:r>
        <w:rPr>
          <w:rFonts w:ascii="Arial" w:cs="Arial" w:eastAsia="Arial" w:hAnsi="Arial"/>
          <w:sz w:val="13"/>
          <w:szCs w:val="13"/>
          <w:color w:val="auto"/>
        </w:rPr>
        <w:t>”). This First Amendment collectively refers to the Company Parties and the Commitment Parties as the “</w:t>
      </w:r>
      <w:r>
        <w:rPr>
          <w:rFonts w:ascii="Arial" w:cs="Arial" w:eastAsia="Arial" w:hAnsi="Arial"/>
          <w:sz w:val="13"/>
          <w:szCs w:val="13"/>
          <w:u w:val="single" w:color="auto"/>
          <w:color w:val="auto"/>
        </w:rPr>
        <w:t>Parties</w:t>
      </w:r>
      <w:r>
        <w:rPr>
          <w:rFonts w:ascii="Arial" w:cs="Arial" w:eastAsia="Arial" w:hAnsi="Arial"/>
          <w:sz w:val="13"/>
          <w:szCs w:val="13"/>
          <w:color w:val="auto"/>
        </w:rPr>
        <w:t>” and each individually as 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Party</w:t>
      </w:r>
      <w:r>
        <w:rPr>
          <w:rFonts w:ascii="Arial" w:cs="Arial" w:eastAsia="Arial" w:hAnsi="Arial"/>
          <w:sz w:val="14"/>
          <w:szCs w:val="14"/>
          <w:color w:val="auto"/>
        </w:rPr>
        <w:t>.” Capitalized terms used but not defined herein shall have the meanings ascribed to them in the Backstop Agreement.</w:t>
      </w:r>
    </w:p>
    <w:p>
      <w:pPr>
        <w:spacing w:after="0" w:line="158" w:lineRule="exact"/>
        <w:rPr>
          <w:sz w:val="20"/>
          <w:szCs w:val="20"/>
          <w:color w:val="auto"/>
        </w:rPr>
      </w:pPr>
    </w:p>
    <w:p>
      <w:pPr>
        <w:ind w:right="200" w:firstLine="498"/>
        <w:spacing w:after="0" w:line="27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Parties desire to amend certain terms of the Backstop Agreement as set forth in this First Amendment to facilitate the consummation of the Plan as contemplated in the Backstop</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(collectively, the “</w:t>
      </w:r>
      <w:r>
        <w:rPr>
          <w:rFonts w:ascii="Arial" w:cs="Arial" w:eastAsia="Arial" w:hAnsi="Arial"/>
          <w:sz w:val="14"/>
          <w:szCs w:val="14"/>
          <w:u w:val="single" w:color="auto"/>
          <w:color w:val="auto"/>
        </w:rPr>
        <w:t>Proposed Amendment</w:t>
      </w:r>
      <w:r>
        <w:rPr>
          <w:rFonts w:ascii="Arial" w:cs="Arial" w:eastAsia="Arial" w:hAnsi="Arial"/>
          <w:sz w:val="14"/>
          <w:szCs w:val="14"/>
          <w:color w:val="auto"/>
        </w:rPr>
        <w:t>”);</w:t>
      </w:r>
    </w:p>
    <w:p>
      <w:pPr>
        <w:spacing w:after="0" w:line="130" w:lineRule="exact"/>
        <w:rPr>
          <w:sz w:val="20"/>
          <w:szCs w:val="20"/>
          <w:color w:val="auto"/>
        </w:rPr>
      </w:pPr>
    </w:p>
    <w:p>
      <w:pPr>
        <w:ind w:right="180" w:firstLine="498"/>
        <w:spacing w:after="0" w:line="27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pursuant to Section 10.8 of the Backstop Agreement, the Proposed Amendment requires the prior written consent of the Debtors and the Requisite Commitment Parties (other than a</w:t>
      </w:r>
      <w:r>
        <w:rPr>
          <w:rFonts w:ascii="Arial" w:cs="Arial" w:eastAsia="Arial" w:hAnsi="Arial"/>
          <w:sz w:val="14"/>
          <w:szCs w:val="14"/>
          <w:b w:val="1"/>
          <w:bCs w:val="1"/>
          <w:color w:val="auto"/>
        </w:rPr>
        <w:t xml:space="preserve"> </w:t>
      </w:r>
      <w:r>
        <w:rPr>
          <w:rFonts w:ascii="Arial" w:cs="Arial" w:eastAsia="Arial" w:hAnsi="Arial"/>
          <w:sz w:val="14"/>
          <w:szCs w:val="14"/>
          <w:color w:val="auto"/>
        </w:rPr>
        <w:t>Defaulting Commitment Party);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undersigned Company Parties, taken as a whole, constitute the Debtors as defined in the Backstop Agreement as it applies to the Proposed Amendment; and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undersigned Backstop Parties, taken as a whole, constitute the Required Commitment Parties as defined in the Backstop Agreement as it applies to the Proposed Amendment.</w:t>
      </w:r>
    </w:p>
    <w:p>
      <w:pPr>
        <w:spacing w:after="0" w:line="194" w:lineRule="exact"/>
        <w:rPr>
          <w:sz w:val="20"/>
          <w:szCs w:val="20"/>
          <w:color w:val="auto"/>
        </w:rPr>
      </w:pPr>
    </w:p>
    <w:p>
      <w:pPr>
        <w:ind w:right="140" w:firstLine="498"/>
        <w:spacing w:after="0" w:line="274"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promises, mutual covenants, and agreements set forth herein, and for other good and valuable consideration, the receipt and sufficiency of which are</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acknowledged, each of the Parties, intending to be legally bound, hereby agrees as follows:</w:t>
      </w:r>
    </w:p>
    <w:p>
      <w:pPr>
        <w:spacing w:after="0" w:line="134" w:lineRule="exact"/>
        <w:rPr>
          <w:sz w:val="20"/>
          <w:szCs w:val="20"/>
          <w:color w:val="auto"/>
        </w:rPr>
      </w:pPr>
    </w:p>
    <w:p>
      <w:pPr>
        <w:ind w:right="160" w:firstLine="501"/>
        <w:spacing w:after="0" w:line="268" w:lineRule="auto"/>
        <w:tabs>
          <w:tab w:leader="none" w:pos="996"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t>Additional Commitment Parties</w:t>
      </w:r>
      <w:r>
        <w:rPr>
          <w:rFonts w:ascii="Arial" w:cs="Arial" w:eastAsia="Arial" w:hAnsi="Arial"/>
          <w:sz w:val="14"/>
          <w:szCs w:val="14"/>
          <w:color w:val="auto"/>
        </w:rPr>
        <w:t>. Each Additional Commitment Party hereby agrees to be bound by the terms of the Backstop Agreement as a Commitment Party as provided in this First Amendment. Each Additional Commitment Party shall hereafter be deemed to be a Commitment Party for all purposes under the Backstop Agreement.</w:t>
      </w:r>
    </w:p>
    <w:p>
      <w:pPr>
        <w:spacing w:after="0" w:line="138" w:lineRule="exact"/>
        <w:rPr>
          <w:rFonts w:ascii="Arial" w:cs="Arial" w:eastAsia="Arial" w:hAnsi="Arial"/>
          <w:sz w:val="14"/>
          <w:szCs w:val="14"/>
          <w:color w:val="auto"/>
        </w:rPr>
      </w:pPr>
    </w:p>
    <w:p>
      <w:pPr>
        <w:ind w:right="200" w:firstLine="501"/>
        <w:spacing w:after="0" w:line="268" w:lineRule="auto"/>
        <w:tabs>
          <w:tab w:leader="none" w:pos="996"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t>Amendment to List of Schedules</w:t>
      </w:r>
      <w:r>
        <w:rPr>
          <w:rFonts w:ascii="Arial" w:cs="Arial" w:eastAsia="Arial" w:hAnsi="Arial"/>
          <w:sz w:val="14"/>
          <w:szCs w:val="14"/>
          <w:color w:val="auto"/>
        </w:rPr>
        <w:t>. The list of Schedules and Exhibits set forth immediately following the Table of Contents of the Backstop Agreement be, and it hereby is, amended and restated in its entirety to read as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9742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53" w:name="page254"/>
    <w:bookmarkEnd w:id="253"/>
    <w:p>
      <w:pPr>
        <w:ind w:left="1000"/>
        <w:spacing w:after="0"/>
        <w:rPr>
          <w:sz w:val="20"/>
          <w:szCs w:val="20"/>
          <w:color w:val="auto"/>
        </w:rPr>
      </w:pPr>
      <w:r>
        <w:rPr>
          <w:rFonts w:ascii="Arial" w:cs="Arial" w:eastAsia="Arial" w:hAnsi="Arial"/>
          <w:sz w:val="14"/>
          <w:szCs w:val="14"/>
          <w:color w:val="auto"/>
        </w:rPr>
        <w:t>Exhibit A Rights Offering Procedures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Exhibit B Exit Senior Unsecured Notes Term Sheet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Exhibit C Steering Committee Members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Schedule 1 Commitment Schedule</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Schedule 2 Additional Commitment Schedule</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Schedule 3 Initial Commitment Schedule”</w:t>
      </w:r>
    </w:p>
    <w:p>
      <w:pPr>
        <w:spacing w:after="0" w:line="171" w:lineRule="exact"/>
        <w:rPr>
          <w:sz w:val="20"/>
          <w:szCs w:val="20"/>
          <w:color w:val="auto"/>
        </w:rPr>
      </w:pPr>
    </w:p>
    <w:p>
      <w:pPr>
        <w:ind w:left="500" w:hanging="499"/>
        <w:spacing w:after="0"/>
        <w:tabs>
          <w:tab w:leader="none" w:pos="500" w:val="left"/>
        </w:tabs>
        <w:numPr>
          <w:ilvl w:val="0"/>
          <w:numId w:val="247"/>
        </w:numPr>
        <w:rPr>
          <w:rFonts w:ascii="Arial" w:cs="Arial" w:eastAsia="Arial" w:hAnsi="Arial"/>
          <w:sz w:val="13"/>
          <w:szCs w:val="13"/>
          <w:color w:val="auto"/>
        </w:rPr>
      </w:pPr>
      <w:r>
        <w:rPr>
          <w:rFonts w:ascii="Arial" w:cs="Arial" w:eastAsia="Arial" w:hAnsi="Arial"/>
          <w:sz w:val="13"/>
          <w:szCs w:val="13"/>
          <w:u w:val="single" w:color="auto"/>
          <w:color w:val="auto"/>
        </w:rPr>
        <w:t>Amendment to WHEREAS clause</w:t>
      </w:r>
      <w:r>
        <w:rPr>
          <w:rFonts w:ascii="Arial" w:cs="Arial" w:eastAsia="Arial" w:hAnsi="Arial"/>
          <w:sz w:val="13"/>
          <w:szCs w:val="13"/>
          <w:color w:val="auto"/>
        </w:rPr>
        <w:t>. The second WHEREAS clause of the Backstop Agreement be, and it hereby is, amended and restated in its entirety to read as follows:</w:t>
      </w:r>
    </w:p>
    <w:p>
      <w:pPr>
        <w:spacing w:after="0" w:line="182" w:lineRule="exact"/>
        <w:rPr>
          <w:sz w:val="20"/>
          <w:szCs w:val="20"/>
          <w:color w:val="auto"/>
        </w:rPr>
      </w:pPr>
    </w:p>
    <w:p>
      <w:pPr>
        <w:ind w:right="100" w:firstLine="996"/>
        <w:spacing w:after="0" w:line="268" w:lineRule="auto"/>
        <w:rPr>
          <w:sz w:val="20"/>
          <w:szCs w:val="20"/>
          <w:color w:val="auto"/>
        </w:rPr>
      </w:pPr>
      <w:r>
        <w:rPr>
          <w:rFonts w:ascii="Arial" w:cs="Arial" w:eastAsia="Arial" w:hAnsi="Arial"/>
          <w:sz w:val="14"/>
          <w:szCs w:val="14"/>
          <w:color w:val="auto"/>
        </w:rPr>
        <w:t>“WHEREAS, pursuant to the Plan and this Agreement, the Company will conduct a rights offering for an aggregate principal amount of up to $1,600,000,000 of Rights Offering Notes (as defined below); and”</w:t>
      </w:r>
    </w:p>
    <w:p>
      <w:pPr>
        <w:spacing w:after="0" w:line="138" w:lineRule="exact"/>
        <w:rPr>
          <w:sz w:val="20"/>
          <w:szCs w:val="20"/>
          <w:color w:val="auto"/>
        </w:rPr>
      </w:pPr>
    </w:p>
    <w:p>
      <w:pPr>
        <w:ind w:left="500" w:hanging="499"/>
        <w:spacing w:after="0"/>
        <w:tabs>
          <w:tab w:leader="none" w:pos="500"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Amendment to Rights Offering Procedures</w:t>
      </w:r>
      <w:r>
        <w:rPr>
          <w:rFonts w:ascii="Arial" w:cs="Arial" w:eastAsia="Arial" w:hAnsi="Arial"/>
          <w:sz w:val="14"/>
          <w:szCs w:val="14"/>
          <w:color w:val="auto"/>
        </w:rPr>
        <w:t>. Exhibit A to the Backstop Agreement be, and it hereby is, amended and restated the following manner:</w:t>
      </w:r>
    </w:p>
    <w:p>
      <w:pPr>
        <w:spacing w:after="0" w:line="170" w:lineRule="exact"/>
        <w:rPr>
          <w:rFonts w:ascii="Arial" w:cs="Arial" w:eastAsia="Arial" w:hAnsi="Arial"/>
          <w:sz w:val="14"/>
          <w:szCs w:val="14"/>
          <w:color w:val="auto"/>
        </w:rPr>
      </w:pPr>
    </w:p>
    <w:p>
      <w:pPr>
        <w:ind w:left="780" w:hanging="240"/>
        <w:spacing w:after="0"/>
        <w:tabs>
          <w:tab w:leader="none" w:pos="78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Each use of the term “New Tranche A Senior Unsecured Notes” set forth in Exhibit A be and hereby is replaced with the term “Exit Senior Unsecured Notes”.</w:t>
      </w:r>
    </w:p>
    <w:p>
      <w:pPr>
        <w:spacing w:after="0" w:line="170" w:lineRule="exact"/>
        <w:rPr>
          <w:rFonts w:ascii="Arial" w:cs="Arial" w:eastAsia="Arial" w:hAnsi="Arial"/>
          <w:sz w:val="14"/>
          <w:szCs w:val="14"/>
          <w:color w:val="auto"/>
        </w:rPr>
      </w:pPr>
    </w:p>
    <w:p>
      <w:pPr>
        <w:ind w:left="780" w:hanging="240"/>
        <w:spacing w:after="0"/>
        <w:tabs>
          <w:tab w:leader="none" w:pos="78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Each use of the term “Tranche A Notes Trustee” be and hereby is replaced with the term “Exit Notes Trustee”.</w:t>
      </w:r>
    </w:p>
    <w:p>
      <w:pPr>
        <w:spacing w:after="0" w:line="170" w:lineRule="exact"/>
        <w:rPr>
          <w:rFonts w:ascii="Arial" w:cs="Arial" w:eastAsia="Arial" w:hAnsi="Arial"/>
          <w:sz w:val="14"/>
          <w:szCs w:val="14"/>
          <w:color w:val="auto"/>
        </w:rPr>
      </w:pPr>
    </w:p>
    <w:p>
      <w:pPr>
        <w:ind w:left="780" w:hanging="240"/>
        <w:spacing w:after="0" w:line="268" w:lineRule="auto"/>
        <w:tabs>
          <w:tab w:leader="none" w:pos="782" w:val="left"/>
        </w:tabs>
        <w:numPr>
          <w:ilvl w:val="1"/>
          <w:numId w:val="248"/>
        </w:numPr>
        <w:rPr>
          <w:rFonts w:ascii="Arial" w:cs="Arial" w:eastAsia="Arial" w:hAnsi="Arial"/>
          <w:sz w:val="14"/>
          <w:szCs w:val="14"/>
          <w:color w:val="auto"/>
        </w:rPr>
      </w:pPr>
      <w:r>
        <w:rPr>
          <w:rFonts w:ascii="Arial" w:cs="Arial" w:eastAsia="Arial" w:hAnsi="Arial"/>
          <w:sz w:val="14"/>
          <w:szCs w:val="14"/>
          <w:color w:val="auto"/>
        </w:rPr>
        <w:t>The Rights Offering Procedures shall be modified to be consistent with the changes set forth in this First Amendment and the Restructuring Support Agreement and shall be otherwise reasonable satisfactory or acceptable to the Requisite Commitment Parties.</w:t>
      </w:r>
    </w:p>
    <w:p>
      <w:pPr>
        <w:spacing w:after="0" w:line="138" w:lineRule="exact"/>
        <w:rPr>
          <w:rFonts w:ascii="Arial" w:cs="Arial" w:eastAsia="Arial" w:hAnsi="Arial"/>
          <w:sz w:val="14"/>
          <w:szCs w:val="14"/>
          <w:color w:val="auto"/>
        </w:rPr>
      </w:pPr>
    </w:p>
    <w:p>
      <w:pPr>
        <w:ind w:left="500" w:hanging="499"/>
        <w:spacing w:after="0"/>
        <w:tabs>
          <w:tab w:leader="none" w:pos="500"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Amendment to Term Sheet</w:t>
      </w:r>
      <w:r>
        <w:rPr>
          <w:rFonts w:ascii="Arial" w:cs="Arial" w:eastAsia="Arial" w:hAnsi="Arial"/>
          <w:sz w:val="13"/>
          <w:szCs w:val="13"/>
          <w:color w:val="auto"/>
        </w:rPr>
        <w:t xml:space="preserve">. Exhibit B to the Backstop Agreement be, and it hereby is, amended and restated in its entirety to read as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to this First Amendment.</w:t>
      </w:r>
    </w:p>
    <w:p>
      <w:pPr>
        <w:spacing w:after="0" w:line="182" w:lineRule="exact"/>
        <w:rPr>
          <w:rFonts w:ascii="Arial" w:cs="Arial" w:eastAsia="Arial" w:hAnsi="Arial"/>
          <w:sz w:val="13"/>
          <w:szCs w:val="13"/>
          <w:color w:val="auto"/>
        </w:rPr>
      </w:pPr>
    </w:p>
    <w:p>
      <w:pPr>
        <w:ind w:left="-500" w:right="200" w:firstLine="501"/>
        <w:spacing w:after="0" w:line="268" w:lineRule="auto"/>
        <w:tabs>
          <w:tab w:leader="none" w:pos="496"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Amendment to Initial Commitment Schedule</w:t>
      </w:r>
      <w:r>
        <w:rPr>
          <w:rFonts w:ascii="Arial" w:cs="Arial" w:eastAsia="Arial" w:hAnsi="Arial"/>
          <w:sz w:val="14"/>
          <w:szCs w:val="14"/>
          <w:color w:val="auto"/>
        </w:rPr>
        <w:t xml:space="preserve">. Schedule 1 to the Backstop Agreement be, and it hereby is modified to be Schedule 3 to the Backstop Agreement and the heading to such Schedule is amended and restated in its entirety to read set forth in </w:t>
      </w:r>
      <w:r>
        <w:rPr>
          <w:rFonts w:ascii="Arial" w:cs="Arial" w:eastAsia="Arial" w:hAnsi="Arial"/>
          <w:sz w:val="14"/>
          <w:szCs w:val="14"/>
          <w:u w:val="single" w:color="auto"/>
          <w:color w:val="auto"/>
        </w:rPr>
        <w:t>Schedule 3</w:t>
      </w:r>
      <w:r>
        <w:rPr>
          <w:rFonts w:ascii="Arial" w:cs="Arial" w:eastAsia="Arial" w:hAnsi="Arial"/>
          <w:sz w:val="14"/>
          <w:szCs w:val="14"/>
          <w:color w:val="auto"/>
        </w:rPr>
        <w:t xml:space="preserve"> to this First Amendment.</w:t>
      </w:r>
    </w:p>
    <w:p>
      <w:pPr>
        <w:spacing w:after="0" w:line="138" w:lineRule="exact"/>
        <w:rPr>
          <w:rFonts w:ascii="Arial" w:cs="Arial" w:eastAsia="Arial" w:hAnsi="Arial"/>
          <w:sz w:val="14"/>
          <w:szCs w:val="14"/>
          <w:color w:val="auto"/>
        </w:rPr>
      </w:pPr>
    </w:p>
    <w:p>
      <w:pPr>
        <w:ind w:left="500" w:hanging="499"/>
        <w:spacing w:after="0"/>
        <w:tabs>
          <w:tab w:leader="none" w:pos="500"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Addition of Commitment Schedule</w:t>
      </w:r>
      <w:r>
        <w:rPr>
          <w:rFonts w:ascii="Arial" w:cs="Arial" w:eastAsia="Arial" w:hAnsi="Arial"/>
          <w:sz w:val="13"/>
          <w:szCs w:val="13"/>
          <w:color w:val="auto"/>
        </w:rPr>
        <w:t xml:space="preserve">. A new Schedule 1 to the Backstop Agreement be, and it hereby is, added to read as attached as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to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172085</wp:posOffset>
            </wp:positionV>
            <wp:extent cx="729742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00"/>
          </w:cols>
          <w:pgMar w:left="720" w:top="295" w:right="279" w:bottom="1440" w:gutter="0" w:footer="0" w:header="0"/>
        </w:sectPr>
      </w:pPr>
    </w:p>
    <w:bookmarkStart w:id="254" w:name="page255"/>
    <w:bookmarkEnd w:id="254"/>
    <w:p>
      <w:pPr>
        <w:ind w:left="1000" w:hanging="499"/>
        <w:spacing w:after="0"/>
        <w:tabs>
          <w:tab w:leader="none" w:pos="1000" w:val="left"/>
        </w:tabs>
        <w:numPr>
          <w:ilvl w:val="0"/>
          <w:numId w:val="249"/>
        </w:numPr>
        <w:rPr>
          <w:rFonts w:ascii="Arial" w:cs="Arial" w:eastAsia="Arial" w:hAnsi="Arial"/>
          <w:sz w:val="13"/>
          <w:szCs w:val="13"/>
          <w:color w:val="auto"/>
        </w:rPr>
      </w:pPr>
      <w:r>
        <w:rPr>
          <w:rFonts w:ascii="Arial" w:cs="Arial" w:eastAsia="Arial" w:hAnsi="Arial"/>
          <w:sz w:val="13"/>
          <w:szCs w:val="13"/>
          <w:u w:val="single" w:color="auto"/>
          <w:color w:val="auto"/>
        </w:rPr>
        <w:t>Addition of Additional Commitment Schedule</w:t>
      </w:r>
      <w:r>
        <w:rPr>
          <w:rFonts w:ascii="Arial" w:cs="Arial" w:eastAsia="Arial" w:hAnsi="Arial"/>
          <w:sz w:val="13"/>
          <w:szCs w:val="13"/>
          <w:color w:val="auto"/>
        </w:rPr>
        <w:t xml:space="preserve">. A new Schedule 2 to the Backstop Agreement be, and it hereby is, added to read as attached as </w:t>
      </w:r>
      <w:r>
        <w:rPr>
          <w:rFonts w:ascii="Arial" w:cs="Arial" w:eastAsia="Arial" w:hAnsi="Arial"/>
          <w:sz w:val="13"/>
          <w:szCs w:val="13"/>
          <w:u w:val="single" w:color="auto"/>
          <w:color w:val="auto"/>
        </w:rPr>
        <w:t>Schedule 2</w:t>
      </w:r>
      <w:r>
        <w:rPr>
          <w:rFonts w:ascii="Arial" w:cs="Arial" w:eastAsia="Arial" w:hAnsi="Arial"/>
          <w:sz w:val="13"/>
          <w:szCs w:val="13"/>
          <w:color w:val="auto"/>
        </w:rPr>
        <w:t xml:space="preserve"> to this First Amendment.</w:t>
      </w:r>
    </w:p>
    <w:p>
      <w:pPr>
        <w:spacing w:after="0" w:line="182" w:lineRule="exact"/>
        <w:rPr>
          <w:rFonts w:ascii="Arial" w:cs="Arial" w:eastAsia="Arial" w:hAnsi="Arial"/>
          <w:sz w:val="13"/>
          <w:szCs w:val="13"/>
          <w:color w:val="auto"/>
        </w:rPr>
      </w:pPr>
    </w:p>
    <w:p>
      <w:pPr>
        <w:ind w:left="1000" w:hanging="499"/>
        <w:spacing w:after="0"/>
        <w:tabs>
          <w:tab w:leader="none" w:pos="1000" w:val="left"/>
        </w:tabs>
        <w:numPr>
          <w:ilvl w:val="0"/>
          <w:numId w:val="249"/>
        </w:numPr>
        <w:rPr>
          <w:rFonts w:ascii="Arial" w:cs="Arial" w:eastAsia="Arial" w:hAnsi="Arial"/>
          <w:sz w:val="12"/>
          <w:szCs w:val="12"/>
          <w:color w:val="auto"/>
        </w:rPr>
      </w:pPr>
      <w:r>
        <w:rPr>
          <w:rFonts w:ascii="Arial" w:cs="Arial" w:eastAsia="Arial" w:hAnsi="Arial"/>
          <w:sz w:val="12"/>
          <w:szCs w:val="12"/>
          <w:u w:val="single" w:color="auto"/>
          <w:color w:val="auto"/>
        </w:rPr>
        <w:t>Rights Offering Amount</w:t>
      </w:r>
      <w:r>
        <w:rPr>
          <w:rFonts w:ascii="Arial" w:cs="Arial" w:eastAsia="Arial" w:hAnsi="Arial"/>
          <w:sz w:val="12"/>
          <w:szCs w:val="12"/>
          <w:color w:val="auto"/>
        </w:rPr>
        <w:t>. The defined term “Rights Offering Amount” set forth in Section 1.1 of the Backstop Agreement be, and it hereby is, amended and restated in its entirety to read as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Rights Offering Amount</w:t>
      </w:r>
      <w:r>
        <w:rPr>
          <w:rFonts w:ascii="Arial" w:cs="Arial" w:eastAsia="Arial" w:hAnsi="Arial"/>
          <w:sz w:val="14"/>
          <w:szCs w:val="14"/>
          <w:color w:val="auto"/>
        </w:rPr>
        <w:t>” means an aggregate principal amount up to $1,600,000,000.”</w:t>
      </w:r>
    </w:p>
    <w:p>
      <w:pPr>
        <w:spacing w:after="0" w:line="171" w:lineRule="exact"/>
        <w:rPr>
          <w:sz w:val="20"/>
          <w:szCs w:val="20"/>
          <w:color w:val="auto"/>
        </w:rPr>
      </w:pPr>
    </w:p>
    <w:p>
      <w:pPr>
        <w:ind w:right="60" w:firstLine="501"/>
        <w:spacing w:after="0" w:line="268" w:lineRule="auto"/>
        <w:tabs>
          <w:tab w:leader="none" w:pos="992"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Additional Commitment Percentage</w:t>
      </w:r>
      <w:r>
        <w:rPr>
          <w:rFonts w:ascii="Arial" w:cs="Arial" w:eastAsia="Arial" w:hAnsi="Arial"/>
          <w:sz w:val="14"/>
          <w:szCs w:val="14"/>
          <w:color w:val="auto"/>
        </w:rPr>
        <w:t>. A new defined term “Additional Commitment Percentage” shall be added immediately prior to the defined term “Advisors” set forth in Section 1.1 of the Backstop Agreement, and shall read as follows:</w:t>
      </w:r>
    </w:p>
    <w:p>
      <w:pPr>
        <w:spacing w:after="0" w:line="134" w:lineRule="exact"/>
        <w:rPr>
          <w:sz w:val="20"/>
          <w:szCs w:val="20"/>
          <w:color w:val="auto"/>
        </w:rPr>
      </w:pPr>
    </w:p>
    <w:p>
      <w:pPr>
        <w:ind w:left="500" w:right="360"/>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Additional Commitment Percentage</w:t>
      </w:r>
      <w:r>
        <w:rPr>
          <w:rFonts w:ascii="Arial" w:cs="Arial" w:eastAsia="Arial" w:hAnsi="Arial"/>
          <w:sz w:val="14"/>
          <w:szCs w:val="14"/>
          <w:color w:val="auto"/>
        </w:rPr>
        <w:t>” means, with respect to any Commitment Party, such Commitment Party’s pro rata portion of an aggregate principal amount equal to $350,000,000 of Rights Offering Notes in the Rights Offering that such Commitment Party is willing to backstop as set forth opposite such Commitment Party’s name under the column titled “Commitment Percentage” on the Schedule 2.”</w:t>
      </w:r>
    </w:p>
    <w:p>
      <w:pPr>
        <w:spacing w:after="0" w:line="145" w:lineRule="exact"/>
        <w:rPr>
          <w:sz w:val="20"/>
          <w:szCs w:val="20"/>
          <w:color w:val="auto"/>
        </w:rPr>
      </w:pPr>
    </w:p>
    <w:p>
      <w:pPr>
        <w:ind w:right="540" w:firstLine="501"/>
        <w:spacing w:after="0" w:line="268" w:lineRule="auto"/>
        <w:tabs>
          <w:tab w:leader="none" w:pos="987"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Initial Commitment Percentage</w:t>
      </w:r>
      <w:r>
        <w:rPr>
          <w:rFonts w:ascii="Arial" w:cs="Arial" w:eastAsia="Arial" w:hAnsi="Arial"/>
          <w:sz w:val="14"/>
          <w:szCs w:val="14"/>
          <w:color w:val="auto"/>
        </w:rPr>
        <w:t>. A new defined term “Initial Commitment Percentage” shall be added immediately following to the defined term “Indemnifying Party” set forth in Section 1.1 of the Backstop Agreement, and shall read as follows:</w:t>
      </w:r>
    </w:p>
    <w:p>
      <w:pPr>
        <w:spacing w:after="0" w:line="134" w:lineRule="exact"/>
        <w:rPr>
          <w:sz w:val="20"/>
          <w:szCs w:val="20"/>
          <w:color w:val="auto"/>
        </w:rPr>
      </w:pPr>
    </w:p>
    <w:p>
      <w:pPr>
        <w:ind w:left="500" w:right="40"/>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Initial Commitment Percentage</w:t>
      </w:r>
      <w:r>
        <w:rPr>
          <w:rFonts w:ascii="Arial" w:cs="Arial" w:eastAsia="Arial" w:hAnsi="Arial"/>
          <w:sz w:val="14"/>
          <w:szCs w:val="14"/>
          <w:color w:val="auto"/>
        </w:rPr>
        <w:t>” means, with respect to any Commitment Party, such Commitment Party’s pro rata portion of an aggregate principal amount equal to $1,250,000,000 of Rights Offering Notes in the Rights Offering that such Commitment Party is willing to backstop as set forth opposite such Commitment Party’s name under the column titled “Commitment Percentage” on the Schedule 3.”</w:t>
      </w:r>
    </w:p>
    <w:p>
      <w:pPr>
        <w:spacing w:after="0" w:line="145" w:lineRule="exact"/>
        <w:rPr>
          <w:sz w:val="20"/>
          <w:szCs w:val="20"/>
          <w:color w:val="auto"/>
        </w:rPr>
      </w:pPr>
    </w:p>
    <w:p>
      <w:pPr>
        <w:ind w:left="1000" w:hanging="499"/>
        <w:spacing w:after="0"/>
        <w:tabs>
          <w:tab w:leader="none" w:pos="1000" w:val="left"/>
        </w:tabs>
        <w:numPr>
          <w:ilvl w:val="0"/>
          <w:numId w:val="252"/>
        </w:numPr>
        <w:rPr>
          <w:rFonts w:ascii="Arial" w:cs="Arial" w:eastAsia="Arial" w:hAnsi="Arial"/>
          <w:sz w:val="12"/>
          <w:szCs w:val="12"/>
          <w:color w:val="auto"/>
        </w:rPr>
      </w:pPr>
      <w:r>
        <w:rPr>
          <w:rFonts w:ascii="Arial" w:cs="Arial" w:eastAsia="Arial" w:hAnsi="Arial"/>
          <w:sz w:val="12"/>
          <w:szCs w:val="12"/>
          <w:u w:val="single" w:color="auto"/>
          <w:color w:val="auto"/>
        </w:rPr>
        <w:t>Rights Offering Notes</w:t>
      </w:r>
      <w:r>
        <w:rPr>
          <w:rFonts w:ascii="Arial" w:cs="Arial" w:eastAsia="Arial" w:hAnsi="Arial"/>
          <w:sz w:val="12"/>
          <w:szCs w:val="12"/>
          <w:color w:val="auto"/>
        </w:rPr>
        <w:t>. The defined term “Rights Offering Notes” set forth in Section 1.1 of the Backstop Agreement be, and it hereby is, amended and restated in its entirety to read as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58" w:lineRule="exact"/>
        <w:rPr>
          <w:sz w:val="20"/>
          <w:szCs w:val="20"/>
          <w:color w:val="auto"/>
        </w:rPr>
      </w:pPr>
    </w:p>
    <w:p>
      <w:pPr>
        <w:ind w:left="500" w:right="100"/>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Rights Offering Notes</w:t>
      </w:r>
      <w:r>
        <w:rPr>
          <w:rFonts w:ascii="Arial" w:cs="Arial" w:eastAsia="Arial" w:hAnsi="Arial"/>
          <w:sz w:val="14"/>
          <w:szCs w:val="14"/>
          <w:color w:val="auto"/>
        </w:rPr>
        <w:t xml:space="preserve">” means the $1,600,000,000 aggregate principal amount of Exit Senior Unsecured Notes (as defined in the Plan), issued to holders of Subscription Rights and as described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hereto.”</w:t>
      </w:r>
    </w:p>
    <w:p>
      <w:pPr>
        <w:spacing w:after="0" w:line="134" w:lineRule="exact"/>
        <w:rPr>
          <w:sz w:val="20"/>
          <w:szCs w:val="20"/>
          <w:color w:val="auto"/>
        </w:rPr>
      </w:pPr>
    </w:p>
    <w:p>
      <w:pPr>
        <w:ind w:left="780" w:hanging="238"/>
        <w:spacing w:after="0"/>
        <w:tabs>
          <w:tab w:leader="none" w:pos="78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Amendment to Section 2.5(b)</w:t>
      </w:r>
      <w:r>
        <w:rPr>
          <w:rFonts w:ascii="Arial" w:cs="Arial" w:eastAsia="Arial" w:hAnsi="Arial"/>
          <w:sz w:val="14"/>
          <w:szCs w:val="14"/>
          <w:color w:val="auto"/>
        </w:rPr>
        <w:t>. Section 2.5(b) of the Backstop Agreement be, and it hereby is, amended and restated in its entirety to read as follows:</w:t>
      </w:r>
    </w:p>
    <w:p>
      <w:pPr>
        <w:spacing w:after="0" w:line="166" w:lineRule="exact"/>
        <w:rPr>
          <w:rFonts w:ascii="Arial" w:cs="Arial" w:eastAsia="Arial" w:hAnsi="Arial"/>
          <w:sz w:val="14"/>
          <w:szCs w:val="14"/>
          <w:color w:val="auto"/>
        </w:rPr>
      </w:pPr>
    </w:p>
    <w:p>
      <w:pPr>
        <w:ind w:left="800" w:right="40"/>
        <w:spacing w:after="0" w:line="260" w:lineRule="auto"/>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Escrow Account Funding</w:t>
      </w:r>
      <w:r>
        <w:rPr>
          <w:rFonts w:ascii="Arial" w:cs="Arial" w:eastAsia="Arial" w:hAnsi="Arial"/>
          <w:sz w:val="14"/>
          <w:szCs w:val="14"/>
          <w:color w:val="auto"/>
        </w:rPr>
        <w:t>. No later than the third (3rd) Business Day prior to the Closing Date (the “</w:t>
      </w:r>
      <w:r>
        <w:rPr>
          <w:rFonts w:ascii="Arial" w:cs="Arial" w:eastAsia="Arial" w:hAnsi="Arial"/>
          <w:sz w:val="14"/>
          <w:szCs w:val="14"/>
          <w:b w:val="1"/>
          <w:bCs w:val="1"/>
          <w:u w:val="single" w:color="auto"/>
          <w:color w:val="auto"/>
        </w:rPr>
        <w:t>Escrow Account Funding Date</w:t>
      </w:r>
      <w:r>
        <w:rPr>
          <w:rFonts w:ascii="Arial" w:cs="Arial" w:eastAsia="Arial" w:hAnsi="Arial"/>
          <w:sz w:val="14"/>
          <w:szCs w:val="14"/>
          <w:color w:val="auto"/>
        </w:rPr>
        <w:t>”), each Commitment Party shall deliver and pay an amount equal to the sum of (i) the aggregate Note Purchase Price for such Commitment Party’s Commitment Percentage of the Unsubscribed Notes, plus (ii) the aggregate Note Purchase Price for the Rights Offering Notes issuable pursuant to such Commitment Party’s exercise of the Subscription Rights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729742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255" w:name="page256"/>
    <w:bookmarkEnd w:id="255"/>
    <w:p>
      <w:pPr>
        <w:ind w:left="258" w:right="140"/>
        <w:spacing w:after="0" w:line="290" w:lineRule="auto"/>
        <w:rPr>
          <w:sz w:val="20"/>
          <w:szCs w:val="20"/>
          <w:color w:val="auto"/>
        </w:rPr>
      </w:pPr>
      <w:r>
        <w:rPr>
          <w:rFonts w:ascii="Arial" w:cs="Arial" w:eastAsia="Arial" w:hAnsi="Arial"/>
          <w:sz w:val="13"/>
          <w:szCs w:val="13"/>
          <w:color w:val="auto"/>
        </w:rPr>
        <w:t>Commitment Party exercised in the Rights Offering (the “</w:t>
      </w:r>
      <w:r>
        <w:rPr>
          <w:rFonts w:ascii="Arial" w:cs="Arial" w:eastAsia="Arial" w:hAnsi="Arial"/>
          <w:sz w:val="13"/>
          <w:szCs w:val="13"/>
          <w:b w:val="1"/>
          <w:bCs w:val="1"/>
          <w:u w:val="single" w:color="auto"/>
          <w:color w:val="auto"/>
        </w:rPr>
        <w:t>Funding Amount</w:t>
      </w:r>
      <w:r>
        <w:rPr>
          <w:rFonts w:ascii="Arial" w:cs="Arial" w:eastAsia="Arial" w:hAnsi="Arial"/>
          <w:sz w:val="13"/>
          <w:szCs w:val="13"/>
          <w:color w:val="auto"/>
        </w:rPr>
        <w:t>”), by wire transfer of immediately available funds in U.S. dollars into the Escrow Account in satisfaction of such Commitment Party’s Rights Offering Backstop Commitment and the Subscription Rights that such Commitment Party exercised. If the Closing does not occur, all amounts deposited by the Commitment Parties in the Escrow Account shall be returned promptly to the Commitment Parties in accordance with the terms of the escrow agreement.”</w:t>
      </w:r>
    </w:p>
    <w:p>
      <w:pPr>
        <w:spacing w:after="0" w:line="126" w:lineRule="exact"/>
        <w:rPr>
          <w:sz w:val="20"/>
          <w:szCs w:val="20"/>
          <w:color w:val="auto"/>
        </w:rPr>
      </w:pPr>
    </w:p>
    <w:p>
      <w:pPr>
        <w:ind w:left="238" w:hanging="238"/>
        <w:spacing w:after="0"/>
        <w:tabs>
          <w:tab w:leader="none" w:pos="238"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Amendment to Section 3.1</w:t>
      </w:r>
      <w:r>
        <w:rPr>
          <w:rFonts w:ascii="Arial" w:cs="Arial" w:eastAsia="Arial" w:hAnsi="Arial"/>
          <w:sz w:val="14"/>
          <w:szCs w:val="14"/>
          <w:color w:val="auto"/>
        </w:rPr>
        <w:t>. Section 3.1 of the Backstop Agreement be, and it hereby is, amended and restated in its entirety to read as follows:</w:t>
      </w:r>
    </w:p>
    <w:p>
      <w:pPr>
        <w:spacing w:after="0" w:line="170" w:lineRule="exact"/>
        <w:rPr>
          <w:rFonts w:ascii="Arial" w:cs="Arial" w:eastAsia="Arial" w:hAnsi="Arial"/>
          <w:sz w:val="14"/>
          <w:szCs w:val="14"/>
          <w:color w:val="auto"/>
        </w:rPr>
      </w:pPr>
    </w:p>
    <w:p>
      <w:pPr>
        <w:ind w:left="258" w:right="20"/>
        <w:spacing w:after="0" w:line="273" w:lineRule="auto"/>
        <w:rPr>
          <w:rFonts w:ascii="Arial" w:cs="Arial" w:eastAsia="Arial" w:hAnsi="Arial"/>
          <w:sz w:val="14"/>
          <w:szCs w:val="14"/>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Amount Payable by the Debtors</w:t>
      </w:r>
      <w:r>
        <w:rPr>
          <w:rFonts w:ascii="Arial" w:cs="Arial" w:eastAsia="Arial" w:hAnsi="Arial"/>
          <w:sz w:val="13"/>
          <w:szCs w:val="13"/>
          <w:color w:val="auto"/>
        </w:rPr>
        <w:t>. In consideration for the Rights Offering Backstop Commitments and the other agreements of the Commitment Parties in this Agreement, the Debtors have paid or caused to be paid on or prior to the execution of this Agreement, an aggregate payment in an amount equal to $62,500,000.00, which payment has been paid in cash to the Commitment Parties or their designees based upon their respective Initial Commitment Percentages (the “</w:t>
      </w:r>
      <w:r>
        <w:rPr>
          <w:rFonts w:ascii="Arial" w:cs="Arial" w:eastAsia="Arial" w:hAnsi="Arial"/>
          <w:sz w:val="13"/>
          <w:szCs w:val="13"/>
          <w:b w:val="1"/>
          <w:bCs w:val="1"/>
          <w:u w:val="single" w:color="auto"/>
          <w:color w:val="auto"/>
        </w:rPr>
        <w:t>Commitment Payment</w:t>
      </w:r>
      <w:r>
        <w:rPr>
          <w:rFonts w:ascii="Arial" w:cs="Arial" w:eastAsia="Arial" w:hAnsi="Arial"/>
          <w:sz w:val="13"/>
          <w:szCs w:val="13"/>
          <w:color w:val="auto"/>
        </w:rPr>
        <w:t xml:space="preserve">”). The Commitment Payment is and has been fully earned, nonrefundable (except as otherwise provided in </w:t>
      </w:r>
      <w:r>
        <w:rPr>
          <w:rFonts w:ascii="Arial" w:cs="Arial" w:eastAsia="Arial" w:hAnsi="Arial"/>
          <w:sz w:val="13"/>
          <w:szCs w:val="13"/>
          <w:u w:val="single" w:color="auto"/>
          <w:color w:val="auto"/>
        </w:rPr>
        <w:t>Section 2.3(b)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9.4(b)</w:t>
      </w:r>
      <w:r>
        <w:rPr>
          <w:rFonts w:ascii="Arial" w:cs="Arial" w:eastAsia="Arial" w:hAnsi="Arial"/>
          <w:sz w:val="13"/>
          <w:szCs w:val="13"/>
          <w:color w:val="auto"/>
        </w:rPr>
        <w:t xml:space="preserve"> of this Agreement) and non-avoidable and has been paid by the Debtors, free and clear of any withholding or deduction for any applicable Taxes or any other claim, setoff, or reserve. The Commitment Payment has been paid regardless of the principal amount of Unsubscribed Notes (if any) actually existing or purchased. The provisions for the payment of the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137" w:lineRule="exact"/>
        <w:rPr>
          <w:rFonts w:ascii="Arial" w:cs="Arial" w:eastAsia="Arial" w:hAnsi="Arial"/>
          <w:sz w:val="14"/>
          <w:szCs w:val="14"/>
          <w:color w:val="auto"/>
        </w:rPr>
      </w:pPr>
    </w:p>
    <w:p>
      <w:pPr>
        <w:ind w:left="258"/>
        <w:spacing w:after="0" w:line="272" w:lineRule="auto"/>
        <w:rPr>
          <w:rFonts w:ascii="Arial" w:cs="Arial" w:eastAsia="Arial" w:hAnsi="Arial"/>
          <w:sz w:val="14"/>
          <w:szCs w:val="14"/>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Additional Amount Payable by the Debtors</w:t>
      </w:r>
      <w:r>
        <w:rPr>
          <w:rFonts w:ascii="Arial" w:cs="Arial" w:eastAsia="Arial" w:hAnsi="Arial"/>
          <w:sz w:val="13"/>
          <w:szCs w:val="13"/>
          <w:color w:val="auto"/>
        </w:rPr>
        <w:t>. In consideration for the Rights Offering Backstop Commitments and the other agreements of the Commitment Parties as revised by the First Amendment to this Agreement, the Debtors shall pay or cause to be paid, on the Effective Date, an aggregate payment in an amount equal to $17,500,000, which payment shall be paid in cash to the Commitment Parties or their designees based upon their respective Additional Commitment Percentages (the “</w:t>
      </w:r>
      <w:r>
        <w:rPr>
          <w:rFonts w:ascii="Arial" w:cs="Arial" w:eastAsia="Arial" w:hAnsi="Arial"/>
          <w:sz w:val="13"/>
          <w:szCs w:val="13"/>
          <w:b w:val="1"/>
          <w:bCs w:val="1"/>
          <w:u w:val="single" w:color="auto"/>
          <w:color w:val="auto"/>
        </w:rPr>
        <w:t>Additional Commitment Payment</w:t>
      </w:r>
      <w:r>
        <w:rPr>
          <w:rFonts w:ascii="Arial" w:cs="Arial" w:eastAsia="Arial" w:hAnsi="Arial"/>
          <w:sz w:val="13"/>
          <w:szCs w:val="13"/>
          <w:color w:val="auto"/>
        </w:rPr>
        <w:t xml:space="preserve">”). The Additional Commitment Payment shall be fully earned, nonrefundable (except as otherwise provided in </w:t>
      </w:r>
      <w:r>
        <w:rPr>
          <w:rFonts w:ascii="Arial" w:cs="Arial" w:eastAsia="Arial" w:hAnsi="Arial"/>
          <w:sz w:val="13"/>
          <w:szCs w:val="13"/>
          <w:u w:val="single" w:color="auto"/>
          <w:color w:val="auto"/>
        </w:rPr>
        <w:t>Section 2.3(b)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9.4(b)</w:t>
      </w:r>
      <w:r>
        <w:rPr>
          <w:rFonts w:ascii="Arial" w:cs="Arial" w:eastAsia="Arial" w:hAnsi="Arial"/>
          <w:sz w:val="13"/>
          <w:szCs w:val="13"/>
          <w:color w:val="auto"/>
        </w:rPr>
        <w:t xml:space="preserve"> of this Agreement) and non-avoidable upon entry of the Rights Offering Approval Order and shall be paid by the Debtors, free and clear of any withholding or deduction for any applicable Taxes or any other claim, setoff, or reserve. The Additional Commitment Payment shall be paid regardless of the principal amount of Unsubscribed Notes (if any) actually existing or purchased. The provisions for the payment of the Additional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144145</wp:posOffset>
            </wp:positionV>
            <wp:extent cx="729742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898"/>
          </w:cols>
          <w:pgMar w:left="762" w:top="291" w:right="239" w:bottom="1440" w:gutter="0" w:footer="0" w:header="0"/>
        </w:sectPr>
      </w:pPr>
    </w:p>
    <w:bookmarkStart w:id="256" w:name="page257"/>
    <w:bookmarkEnd w:id="256"/>
    <w:p>
      <w:pPr>
        <w:ind w:left="259" w:hanging="9"/>
        <w:spacing w:after="0" w:line="269" w:lineRule="auto"/>
        <w:tabs>
          <w:tab w:leader="none" w:pos="481" w:val="left"/>
        </w:tabs>
        <w:numPr>
          <w:ilvl w:val="1"/>
          <w:numId w:val="255"/>
        </w:numPr>
        <w:rPr>
          <w:rFonts w:ascii="Arial" w:cs="Arial" w:eastAsia="Arial" w:hAnsi="Arial"/>
          <w:sz w:val="13"/>
          <w:szCs w:val="13"/>
          <w:color w:val="auto"/>
        </w:rPr>
      </w:pPr>
      <w:r>
        <w:rPr>
          <w:rFonts w:ascii="Arial" w:cs="Arial" w:eastAsia="Arial" w:hAnsi="Arial"/>
          <w:sz w:val="13"/>
          <w:szCs w:val="13"/>
          <w:u w:val="single" w:color="auto"/>
          <w:color w:val="auto"/>
        </w:rPr>
        <w:t>Reallocation of Commitments by the Commitment Parties</w:t>
      </w:r>
      <w:r>
        <w:rPr>
          <w:rFonts w:ascii="Arial" w:cs="Arial" w:eastAsia="Arial" w:hAnsi="Arial"/>
          <w:sz w:val="13"/>
          <w:szCs w:val="13"/>
          <w:color w:val="auto"/>
        </w:rPr>
        <w:t>. To the extent a Commitment Party has determined not to continue its Rights Offering Backstop Commitment (each, a “</w:t>
      </w:r>
      <w:r>
        <w:rPr>
          <w:rFonts w:ascii="Arial" w:cs="Arial" w:eastAsia="Arial" w:hAnsi="Arial"/>
          <w:sz w:val="13"/>
          <w:szCs w:val="13"/>
          <w:b w:val="1"/>
          <w:bCs w:val="1"/>
          <w:u w:val="single" w:color="auto"/>
          <w:color w:val="auto"/>
        </w:rPr>
        <w:t>Discontinued Commitment Party</w:t>
      </w:r>
      <w:r>
        <w:rPr>
          <w:rFonts w:ascii="Arial" w:cs="Arial" w:eastAsia="Arial" w:hAnsi="Arial"/>
          <w:sz w:val="13"/>
          <w:szCs w:val="13"/>
          <w:color w:val="auto"/>
        </w:rPr>
        <w:t xml:space="preserve">”) by determining not to execute the First Amendment to this Agreement, each Commitment Party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(each, a “</w:t>
      </w:r>
      <w:r>
        <w:rPr>
          <w:rFonts w:ascii="Arial" w:cs="Arial" w:eastAsia="Arial" w:hAnsi="Arial"/>
          <w:sz w:val="13"/>
          <w:szCs w:val="13"/>
          <w:b w:val="1"/>
          <w:bCs w:val="1"/>
          <w:u w:val="single" w:color="auto"/>
          <w:color w:val="auto"/>
        </w:rPr>
        <w:t>Continuing</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Commitment Party</w:t>
      </w:r>
      <w:r>
        <w:rPr>
          <w:rFonts w:ascii="Arial" w:cs="Arial" w:eastAsia="Arial" w:hAnsi="Arial"/>
          <w:sz w:val="13"/>
          <w:szCs w:val="13"/>
          <w:color w:val="auto"/>
        </w:rPr>
        <w:t>”) agrees, severally and not jointly, to purchase, and the Company agrees to sell to such Continuing Commitment Party (or Related Purchaser), on the Closing Date, an</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 amount (collectively, with respect to all Continuing Commitment Parties, the “</w:t>
      </w:r>
      <w:r>
        <w:rPr>
          <w:rFonts w:ascii="Arial" w:cs="Arial" w:eastAsia="Arial" w:hAnsi="Arial"/>
          <w:sz w:val="13"/>
          <w:szCs w:val="13"/>
          <w:b w:val="1"/>
          <w:bCs w:val="1"/>
          <w:u w:val="single" w:color="auto"/>
          <w:color w:val="auto"/>
        </w:rPr>
        <w:t>Aggregate Continuing Commitment Party Additional Amount</w:t>
      </w:r>
      <w:r>
        <w:rPr>
          <w:rFonts w:ascii="Arial" w:cs="Arial" w:eastAsia="Arial" w:hAnsi="Arial"/>
          <w:sz w:val="13"/>
          <w:szCs w:val="13"/>
          <w:color w:val="auto"/>
        </w:rPr>
        <w:t xml:space="preserve">”) equal to the product of (i) the Rights Offering Backstop Commitment owed by each Discontinued Commitment Party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multiplied by (ii) the Additional Commitment Percentage of such Continuing Commitment Party adjusted upwards to account for the removal of the Discontinuing Commitment Parties and any Commitment Party that is not a Continuing Commitment Party such that the total of all such remaining Additional Commitment Percentages is equal to 100% (the “</w:t>
      </w:r>
      <w:r>
        <w:rPr>
          <w:rFonts w:ascii="Arial" w:cs="Arial" w:eastAsia="Arial" w:hAnsi="Arial"/>
          <w:sz w:val="13"/>
          <w:szCs w:val="13"/>
          <w:b w:val="1"/>
          <w:bCs w:val="1"/>
          <w:u w:val="single" w:color="auto"/>
          <w:color w:val="auto"/>
        </w:rPr>
        <w:t>Adjusted Additional Commitment Percentage</w:t>
      </w:r>
      <w:r>
        <w:rPr>
          <w:rFonts w:ascii="Arial" w:cs="Arial" w:eastAsia="Arial" w:hAnsi="Arial"/>
          <w:sz w:val="13"/>
          <w:szCs w:val="13"/>
          <w:color w:val="auto"/>
        </w:rPr>
        <w:t>”). In consideration for the reallocation contemplated by the previous sentence and the other agreements of the Commitment Parties as revised by the First Amendment to this Agreement, the Debtors shall pay or cause to be paid, on the Effective Date, an aggregate payment in an amount equal to the product of five percent (5%) multiplied by the Aggregate Continuing Commitment Party Additional Amount, which payment shall be paid in cash to the Commitment Parties or their designees based upon their respective Adjusted Additional Commitment Percentages (the “</w:t>
      </w:r>
      <w:r>
        <w:rPr>
          <w:rFonts w:ascii="Arial" w:cs="Arial" w:eastAsia="Arial" w:hAnsi="Arial"/>
          <w:sz w:val="13"/>
          <w:szCs w:val="13"/>
          <w:b w:val="1"/>
          <w:bCs w:val="1"/>
          <w:u w:val="single" w:color="auto"/>
          <w:color w:val="auto"/>
        </w:rPr>
        <w:t>Reallocation Payment</w:t>
      </w:r>
      <w:r>
        <w:rPr>
          <w:rFonts w:ascii="Arial" w:cs="Arial" w:eastAsia="Arial" w:hAnsi="Arial"/>
          <w:sz w:val="13"/>
          <w:szCs w:val="13"/>
          <w:color w:val="auto"/>
        </w:rPr>
        <w:t xml:space="preserve">”). The Reallocation Payment shall be fully earned, nonrefundable (except as otherwise provided in </w:t>
      </w:r>
      <w:r>
        <w:rPr>
          <w:rFonts w:ascii="Arial" w:cs="Arial" w:eastAsia="Arial" w:hAnsi="Arial"/>
          <w:sz w:val="13"/>
          <w:szCs w:val="13"/>
          <w:u w:val="single" w:color="auto"/>
          <w:color w:val="auto"/>
        </w:rPr>
        <w:t>Section 2.3(b)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9.4(b)</w:t>
      </w:r>
      <w:r>
        <w:rPr>
          <w:rFonts w:ascii="Arial" w:cs="Arial" w:eastAsia="Arial" w:hAnsi="Arial"/>
          <w:sz w:val="13"/>
          <w:szCs w:val="13"/>
          <w:color w:val="auto"/>
        </w:rPr>
        <w:t xml:space="preserve"> of this Agreement) and non-avoidable upon entry of the Rights Offering Approval Order and shall be paid by the Debtors, free and clear of any withholding or deduction for any applicable Taxes or any other claim, setoff, or reserve. The Reallocation Payment shall be paid regardless of the principal amount of Unsubscribed Notes (if any) actually existing or purchased. The provisions for the payment of the Reallocation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142" w:lineRule="exact"/>
        <w:rPr>
          <w:rFonts w:ascii="Arial" w:cs="Arial" w:eastAsia="Arial" w:hAnsi="Arial"/>
          <w:sz w:val="13"/>
          <w:szCs w:val="13"/>
          <w:color w:val="auto"/>
        </w:rPr>
      </w:pPr>
    </w:p>
    <w:p>
      <w:pPr>
        <w:ind w:left="239" w:hanging="239"/>
        <w:spacing w:after="0"/>
        <w:tabs>
          <w:tab w:leader="none" w:pos="239" w:val="left"/>
        </w:tabs>
        <w:numPr>
          <w:ilvl w:val="0"/>
          <w:numId w:val="256"/>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70" w:lineRule="exact"/>
        <w:rPr>
          <w:rFonts w:ascii="Arial" w:cs="Arial" w:eastAsia="Arial" w:hAnsi="Arial"/>
          <w:sz w:val="14"/>
          <w:szCs w:val="14"/>
          <w:color w:val="auto"/>
        </w:rPr>
      </w:pPr>
    </w:p>
    <w:p>
      <w:pPr>
        <w:ind w:left="-41" w:right="160" w:firstLine="1495"/>
        <w:spacing w:after="0" w:line="258" w:lineRule="auto"/>
        <w:tabs>
          <w:tab w:leader="none" w:pos="1943" w:val="left"/>
        </w:tabs>
        <w:numPr>
          <w:ilvl w:val="2"/>
          <w:numId w:val="256"/>
        </w:numPr>
        <w:rPr>
          <w:rFonts w:ascii="Arial" w:cs="Arial" w:eastAsia="Arial" w:hAnsi="Arial"/>
          <w:sz w:val="14"/>
          <w:szCs w:val="14"/>
          <w:color w:val="auto"/>
        </w:rPr>
      </w:pPr>
      <w:r>
        <w:rPr>
          <w:rFonts w:ascii="Arial" w:cs="Arial" w:eastAsia="Arial" w:hAnsi="Arial"/>
          <w:sz w:val="14"/>
          <w:szCs w:val="14"/>
          <w:color w:val="auto"/>
        </w:rPr>
        <w:t xml:space="preserve">10.1 (Notices), 10.2 (Assignment; Third-Party Beneficiaries), 10.4 (Governing Law and Consent to Jurisdiction and Venue), 10.6 (Waiver of Jury Trial), 10.7 (Counterparts), 10.8 (Waivers and Amendments; Rights Cumulative; Consent), 10.9 (Headings), 10.10 (Specific Performance), and 10.14 (Settlement Discussions) be, and each of them hereby is, incorporated by reference, </w:t>
      </w:r>
      <w:r>
        <w:rPr>
          <w:rFonts w:ascii="Arial" w:cs="Arial" w:eastAsia="Arial" w:hAnsi="Arial"/>
          <w:sz w:val="14"/>
          <w:szCs w:val="14"/>
          <w:i w:val="1"/>
          <w:iCs w:val="1"/>
          <w:color w:val="auto"/>
        </w:rPr>
        <w:t>mutatis mutandis</w:t>
      </w:r>
      <w:r>
        <w:rPr>
          <w:rFonts w:ascii="Arial" w:cs="Arial" w:eastAsia="Arial" w:hAnsi="Arial"/>
          <w:sz w:val="14"/>
          <w:szCs w:val="14"/>
          <w:color w:val="auto"/>
        </w:rPr>
        <w:t>, as if such provisions were set forth fully herein.</w:t>
      </w:r>
    </w:p>
    <w:p>
      <w:pPr>
        <w:spacing w:after="0" w:line="144" w:lineRule="exact"/>
        <w:rPr>
          <w:rFonts w:ascii="Arial" w:cs="Arial" w:eastAsia="Arial" w:hAnsi="Arial"/>
          <w:sz w:val="14"/>
          <w:szCs w:val="14"/>
          <w:color w:val="auto"/>
        </w:rPr>
      </w:pPr>
    </w:p>
    <w:p>
      <w:pPr>
        <w:ind w:left="-41" w:right="300" w:firstLine="1495"/>
        <w:spacing w:after="0" w:line="307" w:lineRule="auto"/>
        <w:tabs>
          <w:tab w:leader="none" w:pos="1951" w:val="left"/>
        </w:tabs>
        <w:numPr>
          <w:ilvl w:val="2"/>
          <w:numId w:val="256"/>
        </w:numPr>
        <w:rPr>
          <w:rFonts w:ascii="Arial" w:cs="Arial" w:eastAsia="Arial" w:hAnsi="Arial"/>
          <w:sz w:val="13"/>
          <w:szCs w:val="13"/>
          <w:color w:val="auto"/>
        </w:rPr>
      </w:pPr>
      <w:r>
        <w:rPr>
          <w:rFonts w:ascii="Arial" w:cs="Arial" w:eastAsia="Arial" w:hAnsi="Arial"/>
          <w:sz w:val="13"/>
          <w:szCs w:val="13"/>
          <w:color w:val="auto"/>
        </w:rPr>
        <w:t>This First Amendment, together with the Backstop Agreement, as amended hereby, constitute the complete and exclusive statement of agreement among the Parties with respect to the subject matter hereof and thereof, and supersede all prior written and oral statements by and among the Parties or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129540</wp:posOffset>
            </wp:positionV>
            <wp:extent cx="729742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899"/>
          </w:cols>
          <w:pgMar w:left="761" w:top="295" w:right="239" w:bottom="1440" w:gutter="0" w:footer="0" w:header="0"/>
        </w:sectPr>
      </w:pPr>
    </w:p>
    <w:bookmarkStart w:id="257" w:name="page258"/>
    <w:bookmarkEnd w:id="257"/>
    <w:p>
      <w:pPr>
        <w:ind w:left="1280" w:hanging="505"/>
        <w:spacing w:after="0"/>
        <w:tabs>
          <w:tab w:leader="none" w:pos="128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Except as specifically amended hereby, the Backstop Agreement shall remain in full force and effect</w:t>
      </w:r>
    </w:p>
    <w:p>
      <w:pPr>
        <w:sectPr>
          <w:pgSz w:w="11900" w:h="16838" w:orient="portrait"/>
          <w:cols w:equalWidth="0" w:num="1">
            <w:col w:w="9019"/>
          </w:cols>
          <w:pgMar w:left="1440" w:top="295" w:right="1440" w:bottom="1440" w:gutter="0" w:footer="0" w:header="0"/>
        </w:sectPr>
      </w:pP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179705</wp:posOffset>
            </wp:positionV>
            <wp:extent cx="729742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executed this Amendment as of the date set forth above.</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WEATHERFORD INTERNATIONAL PLC</w:t>
      </w:r>
    </w:p>
    <w:p>
      <w:pPr>
        <w:spacing w:after="0" w:line="175" w:lineRule="exact"/>
        <w:rPr>
          <w:sz w:val="20"/>
          <w:szCs w:val="20"/>
          <w:color w:val="auto"/>
        </w:rPr>
      </w:pPr>
    </w:p>
    <w:tbl>
      <w:tblPr>
        <w:tblLayout w:type="fixed"/>
        <w:tblInd w:w="5240" w:type="dxa"/>
        <w:tblCellMar>
          <w:top w:w="0" w:type="dxa"/>
          <w:left w:w="0" w:type="dxa"/>
          <w:bottom w:w="0" w:type="dxa"/>
          <w:right w:w="0" w:type="dxa"/>
        </w:tblCellMar>
      </w:tblPr>
      <w:tr>
        <w:trPr>
          <w:trHeight w:val="176"/>
        </w:trPr>
        <w:tc>
          <w:tcPr>
            <w:tcW w:w="70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Valentin Muller</w:t>
            </w:r>
          </w:p>
        </w:tc>
      </w:tr>
      <w:tr>
        <w:trPr>
          <w:trHeight w:val="146"/>
        </w:trPr>
        <w:tc>
          <w:tcPr>
            <w:tcW w:w="700" w:type="dxa"/>
            <w:vAlign w:val="bottom"/>
          </w:tcPr>
          <w:p>
            <w:pPr>
              <w:spacing w:after="0"/>
              <w:rPr>
                <w:sz w:val="12"/>
                <w:szCs w:val="12"/>
                <w:color w:val="auto"/>
              </w:rPr>
            </w:pPr>
          </w:p>
        </w:tc>
        <w:tc>
          <w:tcPr>
            <w:tcW w:w="5020" w:type="dxa"/>
            <w:vAlign w:val="bottom"/>
          </w:tcPr>
          <w:p>
            <w:pPr>
              <w:spacing w:after="0" w:line="147" w:lineRule="exact"/>
              <w:rPr>
                <w:sz w:val="20"/>
                <w:szCs w:val="20"/>
                <w:color w:val="auto"/>
              </w:rPr>
            </w:pPr>
            <w:r>
              <w:rPr>
                <w:rFonts w:ascii="Arial" w:cs="Arial" w:eastAsia="Arial" w:hAnsi="Arial"/>
                <w:sz w:val="14"/>
                <w:szCs w:val="14"/>
                <w:color w:val="auto"/>
              </w:rPr>
              <w:t>Name: Valentin Muller</w:t>
            </w:r>
          </w:p>
        </w:tc>
      </w:tr>
      <w:tr>
        <w:trPr>
          <w:trHeight w:val="175"/>
        </w:trPr>
        <w:tc>
          <w:tcPr>
            <w:tcW w:w="7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Title: Vice President</w:t>
            </w:r>
          </w:p>
        </w:tc>
      </w:tr>
    </w:tbl>
    <w:p>
      <w:pPr>
        <w:spacing w:after="0" w:line="31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WEATHERFORD INTERNATIONAL LTD.</w:t>
      </w:r>
    </w:p>
    <w:p>
      <w:pPr>
        <w:spacing w:after="0" w:line="341" w:lineRule="exact"/>
        <w:rPr>
          <w:sz w:val="20"/>
          <w:szCs w:val="20"/>
          <w:color w:val="auto"/>
        </w:rPr>
      </w:pPr>
    </w:p>
    <w:tbl>
      <w:tblPr>
        <w:tblLayout w:type="fixed"/>
        <w:tblInd w:w="5240" w:type="dxa"/>
        <w:tblCellMar>
          <w:top w:w="0" w:type="dxa"/>
          <w:left w:w="0" w:type="dxa"/>
          <w:bottom w:w="0" w:type="dxa"/>
          <w:right w:w="0" w:type="dxa"/>
        </w:tblCellMar>
      </w:tblPr>
      <w:tr>
        <w:trPr>
          <w:trHeight w:val="176"/>
        </w:trPr>
        <w:tc>
          <w:tcPr>
            <w:tcW w:w="70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700" w:type="dxa"/>
            <w:vAlign w:val="bottom"/>
          </w:tcPr>
          <w:p>
            <w:pPr>
              <w:spacing w:after="0"/>
              <w:rPr>
                <w:sz w:val="12"/>
                <w:szCs w:val="12"/>
                <w:color w:val="auto"/>
              </w:rPr>
            </w:pPr>
          </w:p>
        </w:tc>
        <w:tc>
          <w:tcPr>
            <w:tcW w:w="5020" w:type="dxa"/>
            <w:vAlign w:val="bottom"/>
          </w:tcPr>
          <w:p>
            <w:pPr>
              <w:spacing w:after="0" w:line="147" w:lineRule="exact"/>
              <w:rPr>
                <w:sz w:val="20"/>
                <w:szCs w:val="20"/>
                <w:color w:val="auto"/>
              </w:rPr>
            </w:pPr>
            <w:r>
              <w:rPr>
                <w:rFonts w:ascii="Arial" w:cs="Arial" w:eastAsia="Arial" w:hAnsi="Arial"/>
                <w:sz w:val="14"/>
                <w:szCs w:val="14"/>
                <w:color w:val="auto"/>
              </w:rPr>
              <w:t>Name: Mohammed Dadhiwala</w:t>
            </w:r>
          </w:p>
        </w:tc>
      </w:tr>
      <w:tr>
        <w:trPr>
          <w:trHeight w:val="175"/>
        </w:trPr>
        <w:tc>
          <w:tcPr>
            <w:tcW w:w="7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Title: Vice President</w:t>
            </w:r>
          </w:p>
        </w:tc>
      </w:tr>
    </w:tbl>
    <w:p>
      <w:pPr>
        <w:spacing w:after="0" w:line="153" w:lineRule="exact"/>
        <w:rPr>
          <w:sz w:val="20"/>
          <w:szCs w:val="20"/>
          <w:color w:val="auto"/>
        </w:rPr>
      </w:pPr>
    </w:p>
    <w:p>
      <w:pPr>
        <w:jc w:val="right"/>
        <w:ind w:right="3060"/>
        <w:spacing w:after="0"/>
        <w:rPr>
          <w:sz w:val="20"/>
          <w:szCs w:val="20"/>
          <w:color w:val="auto"/>
        </w:rPr>
      </w:pPr>
      <w:r>
        <w:rPr>
          <w:rFonts w:ascii="Arial" w:cs="Arial" w:eastAsia="Arial" w:hAnsi="Arial"/>
          <w:sz w:val="14"/>
          <w:szCs w:val="14"/>
          <w:b w:val="1"/>
          <w:bCs w:val="1"/>
          <w:color w:val="auto"/>
        </w:rPr>
        <w:t>WEATHERFORD INTERNATIONAL, LLC</w:t>
      </w:r>
    </w:p>
    <w:p>
      <w:pPr>
        <w:spacing w:after="0" w:line="341" w:lineRule="exact"/>
        <w:rPr>
          <w:sz w:val="20"/>
          <w:szCs w:val="20"/>
          <w:color w:val="auto"/>
        </w:rPr>
      </w:pPr>
    </w:p>
    <w:tbl>
      <w:tblPr>
        <w:tblLayout w:type="fixed"/>
        <w:tblInd w:w="5240" w:type="dxa"/>
        <w:tblCellMar>
          <w:top w:w="0" w:type="dxa"/>
          <w:left w:w="0" w:type="dxa"/>
          <w:bottom w:w="0" w:type="dxa"/>
          <w:right w:w="0" w:type="dxa"/>
        </w:tblCellMar>
      </w:tblPr>
      <w:tr>
        <w:trPr>
          <w:trHeight w:val="176"/>
        </w:trPr>
        <w:tc>
          <w:tcPr>
            <w:tcW w:w="70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Morrison</w:t>
            </w:r>
          </w:p>
        </w:tc>
      </w:tr>
      <w:tr>
        <w:trPr>
          <w:trHeight w:val="146"/>
        </w:trPr>
        <w:tc>
          <w:tcPr>
            <w:tcW w:w="700" w:type="dxa"/>
            <w:vAlign w:val="bottom"/>
          </w:tcPr>
          <w:p>
            <w:pPr>
              <w:spacing w:after="0"/>
              <w:rPr>
                <w:sz w:val="12"/>
                <w:szCs w:val="12"/>
                <w:color w:val="auto"/>
              </w:rPr>
            </w:pPr>
          </w:p>
        </w:tc>
        <w:tc>
          <w:tcPr>
            <w:tcW w:w="5020" w:type="dxa"/>
            <w:vAlign w:val="bottom"/>
          </w:tcPr>
          <w:p>
            <w:pPr>
              <w:spacing w:after="0" w:line="147" w:lineRule="exact"/>
              <w:rPr>
                <w:sz w:val="20"/>
                <w:szCs w:val="20"/>
                <w:color w:val="auto"/>
              </w:rPr>
            </w:pPr>
            <w:r>
              <w:rPr>
                <w:rFonts w:ascii="Arial" w:cs="Arial" w:eastAsia="Arial" w:hAnsi="Arial"/>
                <w:sz w:val="14"/>
                <w:szCs w:val="14"/>
                <w:color w:val="auto"/>
              </w:rPr>
              <w:t>Name: Christine Morrison</w:t>
            </w:r>
          </w:p>
        </w:tc>
      </w:tr>
      <w:tr>
        <w:trPr>
          <w:trHeight w:val="175"/>
        </w:trPr>
        <w:tc>
          <w:tcPr>
            <w:tcW w:w="7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Title: Vice President</w:t>
            </w:r>
          </w:p>
        </w:tc>
      </w:tr>
    </w:tbl>
    <w:p>
      <w:pPr>
        <w:spacing w:after="0" w:line="157"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[Signature Page to First Amendment to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165100</wp:posOffset>
            </wp:positionV>
            <wp:extent cx="729742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60"/>
          </w:cols>
          <w:pgMar w:left="720" w:top="290" w:right="219" w:bottom="1440" w:gutter="0" w:footer="0" w:header="0"/>
        </w:sectPr>
      </w:pPr>
    </w:p>
    <w:bookmarkStart w:id="259" w:name="page260"/>
    <w:bookmarkEnd w:id="259"/>
    <w:p>
      <w:pPr>
        <w:ind w:left="1280"/>
        <w:spacing w:after="0"/>
        <w:rPr>
          <w:sz w:val="20"/>
          <w:szCs w:val="20"/>
          <w:color w:val="auto"/>
        </w:rPr>
      </w:pPr>
      <w:r>
        <w:rPr>
          <w:rFonts w:ascii="Arial" w:cs="Arial" w:eastAsia="Arial" w:hAnsi="Arial"/>
          <w:sz w:val="14"/>
          <w:szCs w:val="14"/>
          <w:b w:val="1"/>
          <w:bCs w:val="1"/>
          <w:color w:val="auto"/>
        </w:rPr>
        <w:t>[COMMITMENT PARTY 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First Amendment to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179705</wp:posOffset>
            </wp:positionV>
            <wp:extent cx="7297420"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0" w:name="page261"/>
    <w:bookmarkEnd w:id="260"/>
    <w:p>
      <w:pPr>
        <w:jc w:val="center"/>
        <w:spacing w:after="0"/>
        <w:rPr>
          <w:sz w:val="20"/>
          <w:szCs w:val="20"/>
          <w:color w:val="auto"/>
        </w:rPr>
      </w:pPr>
      <w:r>
        <w:rPr>
          <w:rFonts w:ascii="Arial" w:cs="Arial" w:eastAsia="Arial" w:hAnsi="Arial"/>
          <w:sz w:val="12"/>
          <w:szCs w:val="12"/>
          <w:b w:val="1"/>
          <w:bCs w:val="1"/>
          <w:u w:val="single" w:color="auto"/>
          <w:color w:val="auto"/>
        </w:rPr>
        <w:t>Exhibit A to the Backstop Commitment Agreement</w:t>
      </w:r>
    </w:p>
    <w:p>
      <w:pPr>
        <w:sectPr>
          <w:pgSz w:w="11900" w:h="16838" w:orient="portrait"/>
          <w:cols w:equalWidth="0" w:num="1">
            <w:col w:w="9019"/>
          </w:cols>
          <w:pgMar w:left="1440" w:top="291"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Offering Procedures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165100</wp:posOffset>
            </wp:positionV>
            <wp:extent cx="729742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261" w:name="page262"/>
    <w:bookmarkEnd w:id="261"/>
    <w:p>
      <w:pPr>
        <w:jc w:val="center"/>
        <w:spacing w:after="0"/>
        <w:rPr>
          <w:sz w:val="20"/>
          <w:szCs w:val="20"/>
          <w:color w:val="auto"/>
        </w:rPr>
      </w:pPr>
      <w:r>
        <w:rPr>
          <w:rFonts w:ascii="Arial" w:cs="Arial" w:eastAsia="Arial" w:hAnsi="Arial"/>
          <w:sz w:val="12"/>
          <w:szCs w:val="12"/>
          <w:b w:val="1"/>
          <w:bCs w:val="1"/>
          <w:u w:val="single" w:color="auto"/>
          <w:color w:val="auto"/>
        </w:rPr>
        <w:t>Exhibit B to the Backstop Commitment Agreement</w:t>
      </w:r>
    </w:p>
    <w:p>
      <w:pPr>
        <w:sectPr>
          <w:pgSz w:w="11900" w:h="16838" w:orient="portrait"/>
          <w:cols w:equalWidth="0" w:num="1">
            <w:col w:w="9019"/>
          </w:cols>
          <w:pgMar w:left="1440" w:top="291"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 Sheet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179705</wp:posOffset>
            </wp:positionV>
            <wp:extent cx="7297420"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262" w:name="page263"/>
    <w:bookmarkEnd w:id="262"/>
    <w:p>
      <w:pPr>
        <w:jc w:val="center"/>
        <w:ind w:right="40"/>
        <w:spacing w:after="0"/>
        <w:rPr>
          <w:sz w:val="20"/>
          <w:szCs w:val="20"/>
          <w:color w:val="auto"/>
        </w:rPr>
      </w:pPr>
      <w:r>
        <w:rPr>
          <w:rFonts w:ascii="Arial" w:cs="Arial" w:eastAsia="Arial" w:hAnsi="Arial"/>
          <w:sz w:val="14"/>
          <w:szCs w:val="14"/>
          <w:b w:val="1"/>
          <w:bCs w:val="1"/>
          <w:color w:val="auto"/>
        </w:rPr>
        <w:t>WEATHERFORD INTERNATIONAL, LLC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TERMS AND CONDITIONS OF THE EXIT SENIOR UNSECURED NOTES</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Capitalized terms used but not defined herein shall have the meanings assigned to them in the Amended Plan of Reorganization to be filed with the Bankruptcy Court (the “</w:t>
      </w:r>
      <w:r>
        <w:rPr>
          <w:rFonts w:ascii="Arial" w:cs="Arial" w:eastAsia="Arial" w:hAnsi="Arial"/>
          <w:sz w:val="14"/>
          <w:szCs w:val="14"/>
          <w:u w:val="single" w:color="auto"/>
          <w:color w:val="auto"/>
        </w:rPr>
        <w:t>Plan</w:t>
      </w:r>
      <w:r>
        <w:rPr>
          <w:rFonts w:ascii="Arial" w:cs="Arial" w:eastAsia="Arial" w:hAnsi="Arial"/>
          <w:sz w:val="14"/>
          <w:szCs w:val="14"/>
          <w:color w:val="auto"/>
        </w:rPr>
        <w:t>”) concurrently with execution of the Third Amendment to the Restructuring Support Agreement to which this term sheet is an exhibit.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rPr>
              <w:t>Issuer:</w:t>
            </w:r>
          </w:p>
        </w:tc>
        <w:tc>
          <w:tcPr>
            <w:tcW w:w="8040" w:type="dxa"/>
            <w:vAlign w:val="bottom"/>
            <w:gridSpan w:val="20"/>
          </w:tcPr>
          <w:p>
            <w:pPr>
              <w:spacing w:after="0"/>
              <w:rPr>
                <w:sz w:val="20"/>
                <w:szCs w:val="20"/>
                <w:color w:val="auto"/>
              </w:rPr>
            </w:pPr>
            <w:r>
              <w:rPr>
                <w:rFonts w:ascii="Arial" w:cs="Arial" w:eastAsia="Arial" w:hAnsi="Arial"/>
                <w:sz w:val="14"/>
                <w:szCs w:val="14"/>
                <w:color w:val="auto"/>
                <w:w w:val="95"/>
              </w:rPr>
              <w:t>Weatherford International, LLC (“WIL-Delaware”) and/or Weatherford International Ltd. (“WIL-Bermuda”), as determined by the Required</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900" w:type="dxa"/>
            <w:vAlign w:val="bottom"/>
            <w:gridSpan w:val="5"/>
          </w:tcPr>
          <w:p>
            <w:pPr>
              <w:spacing w:after="0"/>
              <w:rPr>
                <w:sz w:val="20"/>
                <w:szCs w:val="20"/>
                <w:color w:val="auto"/>
              </w:rPr>
            </w:pPr>
            <w:r>
              <w:rPr>
                <w:rFonts w:ascii="Arial" w:cs="Arial" w:eastAsia="Arial" w:hAnsi="Arial"/>
                <w:sz w:val="14"/>
                <w:szCs w:val="14"/>
                <w:color w:val="auto"/>
              </w:rPr>
              <w:t>Consenting Noteholders.</w:t>
            </w:r>
          </w:p>
        </w:tc>
        <w:tc>
          <w:tcPr>
            <w:tcW w:w="840" w:type="dxa"/>
            <w:vAlign w:val="bottom"/>
            <w:tcBorders>
              <w:top w:val="single" w:sz="8" w:color="auto"/>
            </w:tcBorders>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1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0"/>
                <w:szCs w:val="20"/>
                <w:color w:val="auto"/>
              </w:rPr>
            </w:pPr>
            <w:r>
              <w:rPr>
                <w:rFonts w:ascii="Arial" w:cs="Arial" w:eastAsia="Arial" w:hAnsi="Arial"/>
                <w:sz w:val="14"/>
                <w:szCs w:val="14"/>
                <w:b w:val="1"/>
                <w:bCs w:val="1"/>
                <w:color w:val="auto"/>
              </w:rPr>
              <w:t>Guarantors:</w:t>
            </w:r>
          </w:p>
        </w:tc>
        <w:tc>
          <w:tcPr>
            <w:tcW w:w="8040" w:type="dxa"/>
            <w:vAlign w:val="bottom"/>
            <w:gridSpan w:val="20"/>
          </w:tcPr>
          <w:p>
            <w:pPr>
              <w:spacing w:after="0"/>
              <w:rPr>
                <w:sz w:val="20"/>
                <w:szCs w:val="20"/>
                <w:color w:val="auto"/>
              </w:rPr>
            </w:pPr>
            <w:r>
              <w:rPr>
                <w:rFonts w:ascii="Arial" w:cs="Arial" w:eastAsia="Arial" w:hAnsi="Arial"/>
                <w:sz w:val="14"/>
                <w:szCs w:val="14"/>
                <w:color w:val="auto"/>
                <w:w w:val="93"/>
              </w:rPr>
              <w:t>Weatherford International PLC, WIL-Bermuda (for the Exit Senior Unsecured Notes issued soley by WIL-Delaware), WIL-Delaware (for the</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8040" w:type="dxa"/>
            <w:vAlign w:val="bottom"/>
            <w:gridSpan w:val="20"/>
          </w:tcPr>
          <w:p>
            <w:pPr>
              <w:spacing w:after="0" w:line="146" w:lineRule="exact"/>
              <w:rPr>
                <w:sz w:val="20"/>
                <w:szCs w:val="20"/>
                <w:color w:val="auto"/>
              </w:rPr>
            </w:pPr>
            <w:r>
              <w:rPr>
                <w:rFonts w:ascii="Arial" w:cs="Arial" w:eastAsia="Arial" w:hAnsi="Arial"/>
                <w:sz w:val="14"/>
                <w:szCs w:val="14"/>
                <w:color w:val="auto"/>
              </w:rPr>
              <w:t>Exit Senior Unsecured Notes issued solely by WIL-Bermuda) and all of the guarantors of the Exit Facility (the “Guarantors”).</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Issue:</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460" w:type="dxa"/>
            <w:vAlign w:val="bottom"/>
            <w:vMerge w:val="continue"/>
          </w:tcPr>
          <w:p>
            <w:pPr>
              <w:spacing w:after="0"/>
              <w:rPr>
                <w:sz w:val="24"/>
                <w:szCs w:val="24"/>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w w:val="95"/>
              </w:rPr>
              <w:t>Up to $2.10 billion aggregate principal amount of senior unsecured notes (the “Exit Senior Unsecured Notes”). Up to $1.60 billion of Exit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tcPr>
          <w:p>
            <w:pPr>
              <w:spacing w:after="0"/>
              <w:rPr>
                <w:sz w:val="14"/>
                <w:szCs w:val="14"/>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w w:val="92"/>
              </w:rPr>
              <w:t>Senior Unsecured Notes will be issued for cash to holders of subscription rights issued in the Rights Offering in accordance with the terms of</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8040" w:type="dxa"/>
            <w:vAlign w:val="bottom"/>
            <w:gridSpan w:val="20"/>
          </w:tcPr>
          <w:p>
            <w:pPr>
              <w:spacing w:after="0" w:line="146" w:lineRule="exact"/>
              <w:rPr>
                <w:sz w:val="20"/>
                <w:szCs w:val="20"/>
                <w:color w:val="auto"/>
              </w:rPr>
            </w:pPr>
            <w:r>
              <w:rPr>
                <w:rFonts w:ascii="Arial" w:cs="Arial" w:eastAsia="Arial" w:hAnsi="Arial"/>
                <w:sz w:val="14"/>
                <w:szCs w:val="14"/>
                <w:color w:val="auto"/>
                <w:w w:val="92"/>
              </w:rPr>
              <w:t>the Backstop Commitment Agreement, as amended on the date hereof (the “Amended Backstop Commitment Agreement”) (such notes, the</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00" w:type="dxa"/>
            <w:vAlign w:val="bottom"/>
            <w:gridSpan w:val="5"/>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60" w:type="dxa"/>
            <w:vAlign w:val="bottom"/>
          </w:tcPr>
          <w:p>
            <w:pPr>
              <w:spacing w:after="0"/>
              <w:rPr>
                <w:sz w:val="12"/>
                <w:szCs w:val="12"/>
                <w:color w:val="auto"/>
              </w:rPr>
            </w:pPr>
          </w:p>
        </w:tc>
        <w:tc>
          <w:tcPr>
            <w:tcW w:w="8040" w:type="dxa"/>
            <w:vAlign w:val="bottom"/>
            <w:gridSpan w:val="20"/>
          </w:tcPr>
          <w:p>
            <w:pPr>
              <w:spacing w:after="0" w:line="146" w:lineRule="exact"/>
              <w:rPr>
                <w:sz w:val="20"/>
                <w:szCs w:val="20"/>
                <w:color w:val="auto"/>
              </w:rPr>
            </w:pPr>
            <w:r>
              <w:rPr>
                <w:rFonts w:ascii="Arial" w:cs="Arial" w:eastAsia="Arial" w:hAnsi="Arial"/>
                <w:sz w:val="14"/>
                <w:szCs w:val="14"/>
                <w:color w:val="auto"/>
                <w:w w:val="91"/>
              </w:rPr>
              <w:t>“Rights Offering Notes”); provided that, the principal amount of the Rights Offering Notes will be reduced dollar for dollar based on the amount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tcPr>
          <w:p>
            <w:pPr>
              <w:spacing w:after="0"/>
              <w:rPr>
                <w:sz w:val="14"/>
                <w:szCs w:val="14"/>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w w:val="93"/>
              </w:rPr>
              <w:t>of Exit Facility commitments in excess of $650 million as of the Effective Date, but, in any case, to no less than $1.50 billion. $500 million of</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8040" w:type="dxa"/>
            <w:vAlign w:val="bottom"/>
            <w:gridSpan w:val="20"/>
          </w:tcPr>
          <w:p>
            <w:pPr>
              <w:spacing w:after="0" w:line="146" w:lineRule="exact"/>
              <w:rPr>
                <w:sz w:val="20"/>
                <w:szCs w:val="20"/>
                <w:color w:val="auto"/>
              </w:rPr>
            </w:pPr>
            <w:r>
              <w:rPr>
                <w:rFonts w:ascii="Arial" w:cs="Arial" w:eastAsia="Arial" w:hAnsi="Arial"/>
                <w:sz w:val="14"/>
                <w:szCs w:val="14"/>
                <w:color w:val="auto"/>
                <w:w w:val="93"/>
              </w:rPr>
              <w:t>Exit Senior Unsecured Notes will be issued to holders of Allowed Prepetition Notes Claims pursuant to the Plan (such notes, the “Takeback</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7200" w:type="dxa"/>
            <w:vAlign w:val="bottom"/>
            <w:gridSpan w:val="17"/>
          </w:tcPr>
          <w:p>
            <w:pPr>
              <w:spacing w:after="0" w:line="146" w:lineRule="exact"/>
              <w:rPr>
                <w:sz w:val="20"/>
                <w:szCs w:val="20"/>
                <w:color w:val="auto"/>
              </w:rPr>
            </w:pPr>
            <w:r>
              <w:rPr>
                <w:rFonts w:ascii="Arial" w:cs="Arial" w:eastAsia="Arial" w:hAnsi="Arial"/>
                <w:sz w:val="14"/>
                <w:szCs w:val="14"/>
                <w:color w:val="auto"/>
              </w:rPr>
              <w:t>Notes”).</w:t>
            </w:r>
          </w:p>
        </w:tc>
        <w:tc>
          <w:tcPr>
            <w:tcW w:w="520" w:type="dxa"/>
            <w:vAlign w:val="bottom"/>
            <w:tcBorders>
              <w:top w:val="single" w:sz="8" w:color="auto"/>
            </w:tcBorders>
            <w:gridSpan w:val="2"/>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Security:</w:t>
            </w:r>
          </w:p>
        </w:tc>
        <w:tc>
          <w:tcPr>
            <w:tcW w:w="320" w:type="dxa"/>
            <w:vAlign w:val="bottom"/>
            <w:gridSpan w:val="2"/>
            <w:shd w:val="clear" w:color="auto" w:fill="000000"/>
          </w:tcPr>
          <w:p>
            <w:pPr>
              <w:spacing w:after="0" w:line="20" w:lineRule="exact"/>
              <w:rPr>
                <w:sz w:val="1"/>
                <w:szCs w:val="1"/>
                <w:color w:val="auto"/>
              </w:rPr>
            </w:pPr>
          </w:p>
        </w:tc>
        <w:tc>
          <w:tcPr>
            <w:tcW w:w="5700" w:type="dxa"/>
            <w:vAlign w:val="bottom"/>
            <w:gridSpan w:val="11"/>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460" w:type="dxa"/>
            <w:vAlign w:val="bottom"/>
            <w:vMerge w:val="continue"/>
          </w:tcPr>
          <w:p>
            <w:pPr>
              <w:spacing w:after="0"/>
              <w:rPr>
                <w:sz w:val="24"/>
                <w:szCs w:val="24"/>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0"/>
                <w:szCs w:val="20"/>
                <w:color w:val="auto"/>
              </w:rPr>
            </w:pPr>
            <w:r>
              <w:rPr>
                <w:rFonts w:ascii="Arial" w:cs="Arial" w:eastAsia="Arial" w:hAnsi="Arial"/>
                <w:sz w:val="14"/>
                <w:szCs w:val="14"/>
                <w:b w:val="1"/>
                <w:bCs w:val="1"/>
                <w:color w:val="auto"/>
              </w:rPr>
              <w:t>Distribution:</w:t>
            </w:r>
          </w:p>
        </w:tc>
        <w:tc>
          <w:tcPr>
            <w:tcW w:w="8040" w:type="dxa"/>
            <w:vAlign w:val="bottom"/>
            <w:gridSpan w:val="20"/>
          </w:tcPr>
          <w:p>
            <w:pPr>
              <w:spacing w:after="0"/>
              <w:rPr>
                <w:sz w:val="20"/>
                <w:szCs w:val="20"/>
                <w:color w:val="auto"/>
              </w:rPr>
            </w:pPr>
            <w:r>
              <w:rPr>
                <w:rFonts w:ascii="Arial" w:cs="Arial" w:eastAsia="Arial" w:hAnsi="Arial"/>
                <w:sz w:val="14"/>
                <w:szCs w:val="14"/>
                <w:color w:val="auto"/>
                <w:w w:val="93"/>
              </w:rPr>
              <w:t>Exit Senior Unsecured Notes will be distributed pursuant to the Plan under Section 1145 of the Bankruptcy Code and resales shall occur as</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rPr>
              <w:t>144A-for-life.</w:t>
            </w: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0"/>
                <w:szCs w:val="20"/>
                <w:color w:val="auto"/>
              </w:rPr>
            </w:pPr>
            <w:r>
              <w:rPr>
                <w:rFonts w:ascii="Arial" w:cs="Arial" w:eastAsia="Arial" w:hAnsi="Arial"/>
                <w:sz w:val="14"/>
                <w:szCs w:val="14"/>
                <w:b w:val="1"/>
                <w:bCs w:val="1"/>
                <w:color w:val="auto"/>
              </w:rPr>
              <w:t>Use of Proceeds:</w:t>
            </w:r>
          </w:p>
        </w:tc>
        <w:tc>
          <w:tcPr>
            <w:tcW w:w="8040" w:type="dxa"/>
            <w:vAlign w:val="bottom"/>
            <w:gridSpan w:val="20"/>
          </w:tcPr>
          <w:p>
            <w:pPr>
              <w:spacing w:after="0"/>
              <w:rPr>
                <w:sz w:val="20"/>
                <w:szCs w:val="20"/>
                <w:color w:val="auto"/>
              </w:rPr>
            </w:pPr>
            <w:r>
              <w:rPr>
                <w:rFonts w:ascii="Arial" w:cs="Arial" w:eastAsia="Arial" w:hAnsi="Arial"/>
                <w:sz w:val="14"/>
                <w:szCs w:val="14"/>
                <w:color w:val="auto"/>
                <w:w w:val="94"/>
              </w:rPr>
              <w:t>With respect to the Rights Offering Notes, for working capital, general corporate purposes, payment of transaction fees and expenses and</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w w:val="92"/>
              </w:rPr>
              <w:t>repayment of outstanding amounts under DIP Facility. The Takeback Notes will be issued to holders of Allowed Prepetition Notes Claims as</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40" w:type="dxa"/>
            <w:vAlign w:val="bottom"/>
            <w:gridSpan w:val="20"/>
          </w:tcPr>
          <w:p>
            <w:pPr>
              <w:spacing w:after="0"/>
              <w:rPr>
                <w:sz w:val="20"/>
                <w:szCs w:val="20"/>
                <w:color w:val="auto"/>
              </w:rPr>
            </w:pPr>
            <w:r>
              <w:rPr>
                <w:rFonts w:ascii="Arial" w:cs="Arial" w:eastAsia="Arial" w:hAnsi="Arial"/>
                <w:sz w:val="14"/>
                <w:szCs w:val="14"/>
                <w:color w:val="auto"/>
              </w:rPr>
              <w:t>partial satisfaction of such claims pursuant to the Plan.</w:t>
            </w:r>
          </w:p>
        </w:tc>
        <w:tc>
          <w:tcPr>
            <w:tcW w:w="0" w:type="dxa"/>
            <w:vAlign w:val="bottom"/>
          </w:tcPr>
          <w:p>
            <w:pPr>
              <w:spacing w:after="0"/>
              <w:rPr>
                <w:sz w:val="1"/>
                <w:szCs w:val="1"/>
                <w:color w:val="auto"/>
              </w:rPr>
            </w:pPr>
          </w:p>
        </w:tc>
      </w:tr>
      <w:tr>
        <w:trPr>
          <w:trHeight w:val="302"/>
        </w:trPr>
        <w:tc>
          <w:tcPr>
            <w:tcW w:w="3460" w:type="dxa"/>
            <w:vAlign w:val="bottom"/>
          </w:tcPr>
          <w:p>
            <w:pPr>
              <w:spacing w:after="0"/>
              <w:rPr>
                <w:sz w:val="20"/>
                <w:szCs w:val="20"/>
                <w:color w:val="auto"/>
              </w:rPr>
            </w:pPr>
            <w:r>
              <w:rPr>
                <w:rFonts w:ascii="Arial" w:cs="Arial" w:eastAsia="Arial" w:hAnsi="Arial"/>
                <w:sz w:val="14"/>
                <w:szCs w:val="14"/>
                <w:b w:val="1"/>
                <w:bCs w:val="1"/>
                <w:color w:val="auto"/>
              </w:rPr>
              <w:t>Holders/Backstop Commitments:</w:t>
            </w:r>
          </w:p>
        </w:tc>
        <w:tc>
          <w:tcPr>
            <w:tcW w:w="8040" w:type="dxa"/>
            <w:vAlign w:val="bottom"/>
            <w:gridSpan w:val="20"/>
          </w:tcPr>
          <w:p>
            <w:pPr>
              <w:spacing w:after="0"/>
              <w:rPr>
                <w:sz w:val="20"/>
                <w:szCs w:val="20"/>
                <w:color w:val="auto"/>
              </w:rPr>
            </w:pPr>
            <w:r>
              <w:rPr>
                <w:rFonts w:ascii="Arial" w:cs="Arial" w:eastAsia="Arial" w:hAnsi="Arial"/>
                <w:sz w:val="14"/>
                <w:szCs w:val="14"/>
                <w:color w:val="auto"/>
                <w:w w:val="92"/>
              </w:rPr>
              <w:t>Certain holders of the Allowed Prepetition Notes Claims will fully backstop the Rights Offering Notes (the “Exit Backstop Parties”) pursuant to</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6020" w:type="dxa"/>
            <w:vAlign w:val="bottom"/>
            <w:gridSpan w:val="13"/>
          </w:tcPr>
          <w:p>
            <w:pPr>
              <w:spacing w:after="0"/>
              <w:rPr>
                <w:sz w:val="20"/>
                <w:szCs w:val="20"/>
                <w:color w:val="auto"/>
              </w:rPr>
            </w:pPr>
            <w:r>
              <w:rPr>
                <w:rFonts w:ascii="Arial" w:cs="Arial" w:eastAsia="Arial" w:hAnsi="Arial"/>
                <w:sz w:val="14"/>
                <w:szCs w:val="14"/>
                <w:color w:val="auto"/>
              </w:rPr>
              <w:t>the Amended Backstop Commitment Agreement.</w:t>
            </w:r>
          </w:p>
        </w:tc>
        <w:tc>
          <w:tcPr>
            <w:tcW w:w="1200" w:type="dxa"/>
            <w:vAlign w:val="bottom"/>
            <w:tcBorders>
              <w:top w:val="single" w:sz="8" w:color="auto"/>
            </w:tcBorders>
            <w:gridSpan w:val="5"/>
          </w:tcPr>
          <w:p>
            <w:pPr>
              <w:spacing w:after="0"/>
              <w:rPr>
                <w:sz w:val="15"/>
                <w:szCs w:val="15"/>
                <w:color w:val="auto"/>
              </w:rPr>
            </w:pPr>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Arial" w:cs="Arial" w:eastAsia="Arial" w:hAnsi="Arial"/>
                <w:sz w:val="14"/>
                <w:szCs w:val="14"/>
                <w:b w:val="1"/>
                <w:bCs w:val="1"/>
                <w:color w:val="auto"/>
              </w:rPr>
              <w:t>Backstop Fees:</w:t>
            </w:r>
          </w:p>
        </w:tc>
        <w:tc>
          <w:tcPr>
            <w:tcW w:w="8040" w:type="dxa"/>
            <w:vAlign w:val="bottom"/>
            <w:gridSpan w:val="20"/>
          </w:tcPr>
          <w:p>
            <w:pPr>
              <w:spacing w:after="0"/>
              <w:rPr>
                <w:sz w:val="20"/>
                <w:szCs w:val="20"/>
                <w:color w:val="auto"/>
              </w:rPr>
            </w:pPr>
            <w:r>
              <w:rPr>
                <w:rFonts w:ascii="Arial" w:cs="Arial" w:eastAsia="Arial" w:hAnsi="Arial"/>
                <w:sz w:val="14"/>
                <w:szCs w:val="14"/>
                <w:color w:val="auto"/>
              </w:rPr>
              <w:t>As set forth in the Amended Backstop Commitment Agreement.</w:t>
            </w: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Arial" w:cs="Arial" w:eastAsia="Arial" w:hAnsi="Arial"/>
                <w:sz w:val="14"/>
                <w:szCs w:val="14"/>
                <w:b w:val="1"/>
                <w:bCs w:val="1"/>
                <w:color w:val="auto"/>
              </w:rPr>
              <w:t>Maturity Date:</w:t>
            </w:r>
          </w:p>
        </w:tc>
        <w:tc>
          <w:tcPr>
            <w:tcW w:w="8040" w:type="dxa"/>
            <w:vAlign w:val="bottom"/>
            <w:gridSpan w:val="20"/>
          </w:tcPr>
          <w:p>
            <w:pPr>
              <w:spacing w:after="0"/>
              <w:rPr>
                <w:sz w:val="20"/>
                <w:szCs w:val="20"/>
                <w:color w:val="auto"/>
              </w:rPr>
            </w:pPr>
            <w:r>
              <w:rPr>
                <w:rFonts w:ascii="Arial" w:cs="Arial" w:eastAsia="Arial" w:hAnsi="Arial"/>
                <w:sz w:val="14"/>
                <w:szCs w:val="14"/>
                <w:color w:val="auto"/>
              </w:rPr>
              <w:t>5 years from the Effective Date of the Plan.</w:t>
            </w:r>
          </w:p>
        </w:tc>
        <w:tc>
          <w:tcPr>
            <w:tcW w:w="0" w:type="dxa"/>
            <w:vAlign w:val="bottom"/>
          </w:tcPr>
          <w:p>
            <w:pPr>
              <w:spacing w:after="0"/>
              <w:rPr>
                <w:sz w:val="1"/>
                <w:szCs w:val="1"/>
                <w:color w:val="auto"/>
              </w:rPr>
            </w:pPr>
          </w:p>
        </w:tc>
      </w:tr>
      <w:tr>
        <w:trPr>
          <w:trHeight w:val="266"/>
        </w:trPr>
        <w:tc>
          <w:tcPr>
            <w:tcW w:w="3460" w:type="dxa"/>
            <w:vAlign w:val="bottom"/>
            <w:tcBorders>
              <w:bottom w:val="single" w:sz="8" w:color="808080"/>
            </w:tcBorders>
          </w:tcPr>
          <w:p>
            <w:pPr>
              <w:spacing w:after="0"/>
              <w:rPr>
                <w:sz w:val="23"/>
                <w:szCs w:val="23"/>
                <w:color w:val="auto"/>
              </w:rPr>
            </w:pPr>
          </w:p>
        </w:tc>
        <w:tc>
          <w:tcPr>
            <w:tcW w:w="6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96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6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1480" w:type="dxa"/>
            <w:vAlign w:val="bottom"/>
            <w:tcBorders>
              <w:bottom w:val="single" w:sz="8" w:color="808080"/>
            </w:tcBorders>
          </w:tcPr>
          <w:p>
            <w:pPr>
              <w:spacing w:after="0"/>
              <w:rPr>
                <w:sz w:val="23"/>
                <w:szCs w:val="23"/>
                <w:color w:val="auto"/>
              </w:rPr>
            </w:pPr>
          </w:p>
        </w:tc>
        <w:tc>
          <w:tcPr>
            <w:tcW w:w="160" w:type="dxa"/>
            <w:vAlign w:val="bottom"/>
            <w:tcBorders>
              <w:bottom w:val="single" w:sz="8" w:color="808080"/>
            </w:tcBorders>
          </w:tcPr>
          <w:p>
            <w:pPr>
              <w:spacing w:after="0"/>
              <w:rPr>
                <w:sz w:val="23"/>
                <w:szCs w:val="23"/>
                <w:color w:val="auto"/>
              </w:rPr>
            </w:pPr>
          </w:p>
        </w:tc>
        <w:tc>
          <w:tcPr>
            <w:tcW w:w="7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36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179"/>
        </w:trPr>
        <w:tc>
          <w:tcPr>
            <w:tcW w:w="3460" w:type="dxa"/>
            <w:vAlign w:val="bottom"/>
          </w:tcPr>
          <w:p>
            <w:pPr>
              <w:spacing w:after="0"/>
              <w:rPr>
                <w:sz w:val="20"/>
                <w:szCs w:val="20"/>
                <w:color w:val="auto"/>
              </w:rPr>
            </w:pPr>
            <w:r>
              <w:rPr>
                <w:rFonts w:ascii="Arial" w:cs="Arial" w:eastAsia="Arial" w:hAnsi="Arial"/>
                <w:sz w:val="14"/>
                <w:szCs w:val="14"/>
                <w:b w:val="1"/>
                <w:bCs w:val="1"/>
                <w:color w:val="auto"/>
              </w:rPr>
              <w:t>Interest Rate:</w:t>
            </w:r>
          </w:p>
        </w:tc>
        <w:tc>
          <w:tcPr>
            <w:tcW w:w="8040" w:type="dxa"/>
            <w:vAlign w:val="bottom"/>
            <w:gridSpan w:val="12"/>
          </w:tcPr>
          <w:p>
            <w:pPr>
              <w:spacing w:after="0"/>
              <w:rPr>
                <w:sz w:val="20"/>
                <w:szCs w:val="20"/>
                <w:color w:val="auto"/>
              </w:rPr>
            </w:pPr>
            <w:r>
              <w:rPr>
                <w:rFonts w:ascii="Arial" w:cs="Arial" w:eastAsia="Arial" w:hAnsi="Arial"/>
                <w:sz w:val="14"/>
                <w:szCs w:val="14"/>
                <w:color w:val="auto"/>
              </w:rPr>
              <w:t>11.0% per annum.</w:t>
            </w: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Arial" w:cs="Arial" w:eastAsia="Arial" w:hAnsi="Arial"/>
                <w:sz w:val="14"/>
                <w:szCs w:val="14"/>
                <w:b w:val="1"/>
                <w:bCs w:val="1"/>
                <w:color w:val="auto"/>
              </w:rPr>
              <w:t>Default Rate:</w:t>
            </w:r>
          </w:p>
        </w:tc>
        <w:tc>
          <w:tcPr>
            <w:tcW w:w="8040" w:type="dxa"/>
            <w:vAlign w:val="bottom"/>
            <w:gridSpan w:val="12"/>
          </w:tcPr>
          <w:p>
            <w:pPr>
              <w:spacing w:after="0"/>
              <w:rPr>
                <w:sz w:val="20"/>
                <w:szCs w:val="20"/>
                <w:color w:val="auto"/>
              </w:rPr>
            </w:pPr>
            <w:r>
              <w:rPr>
                <w:rFonts w:ascii="Arial" w:cs="Arial" w:eastAsia="Arial" w:hAnsi="Arial"/>
                <w:sz w:val="14"/>
                <w:szCs w:val="14"/>
                <w:color w:val="auto"/>
              </w:rPr>
              <w:t>Additional 2.00%.</w:t>
            </w:r>
          </w:p>
        </w:tc>
        <w:tc>
          <w:tcPr>
            <w:tcW w:w="0" w:type="dxa"/>
            <w:vAlign w:val="bottom"/>
          </w:tcPr>
          <w:p>
            <w:pPr>
              <w:spacing w:after="0"/>
              <w:rPr>
                <w:sz w:val="1"/>
                <w:szCs w:val="1"/>
                <w:color w:val="auto"/>
              </w:rPr>
            </w:pPr>
          </w:p>
        </w:tc>
      </w:tr>
      <w:tr>
        <w:trPr>
          <w:trHeight w:val="302"/>
        </w:trPr>
        <w:tc>
          <w:tcPr>
            <w:tcW w:w="3460" w:type="dxa"/>
            <w:vAlign w:val="bottom"/>
          </w:tcPr>
          <w:p>
            <w:pPr>
              <w:spacing w:after="0"/>
              <w:rPr>
                <w:sz w:val="20"/>
                <w:szCs w:val="20"/>
                <w:color w:val="auto"/>
              </w:rPr>
            </w:pPr>
            <w:r>
              <w:rPr>
                <w:rFonts w:ascii="Arial" w:cs="Arial" w:eastAsia="Arial" w:hAnsi="Arial"/>
                <w:sz w:val="14"/>
                <w:szCs w:val="14"/>
                <w:b w:val="1"/>
                <w:bCs w:val="1"/>
                <w:color w:val="auto"/>
              </w:rPr>
              <w:t>Call Protection:</w:t>
            </w:r>
          </w:p>
        </w:tc>
        <w:tc>
          <w:tcPr>
            <w:tcW w:w="220" w:type="dxa"/>
            <w:vAlign w:val="bottom"/>
          </w:tcPr>
          <w:p>
            <w:pPr>
              <w:spacing w:after="0"/>
              <w:rPr>
                <w:sz w:val="24"/>
                <w:szCs w:val="24"/>
                <w:color w:val="auto"/>
              </w:rPr>
            </w:pPr>
          </w:p>
        </w:tc>
        <w:tc>
          <w:tcPr>
            <w:tcW w:w="7820" w:type="dxa"/>
            <w:vAlign w:val="bottom"/>
            <w:gridSpan w:val="11"/>
          </w:tcPr>
          <w:p>
            <w:pPr>
              <w:ind w:left="20"/>
              <w:spacing w:after="0"/>
              <w:rPr>
                <w:sz w:val="20"/>
                <w:szCs w:val="20"/>
                <w:color w:val="auto"/>
              </w:rPr>
            </w:pPr>
            <w:r>
              <w:rPr>
                <w:rFonts w:ascii="Arial" w:cs="Arial" w:eastAsia="Arial" w:hAnsi="Arial"/>
                <w:sz w:val="14"/>
                <w:szCs w:val="14"/>
                <w:color w:val="auto"/>
                <w:w w:val="90"/>
              </w:rPr>
              <w:t>·   Prior to the second anniversary of the issuance date, par, plus accrued interest plus a customary make whole premium using a discount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540" w:type="dxa"/>
            <w:vAlign w:val="bottom"/>
            <w:gridSpan w:val="10"/>
          </w:tcPr>
          <w:p>
            <w:pPr>
              <w:spacing w:after="0" w:line="146" w:lineRule="exact"/>
              <w:rPr>
                <w:sz w:val="20"/>
                <w:szCs w:val="20"/>
                <w:color w:val="auto"/>
              </w:rPr>
            </w:pPr>
            <w:r>
              <w:rPr>
                <w:rFonts w:ascii="Arial" w:cs="Arial" w:eastAsia="Arial" w:hAnsi="Arial"/>
                <w:sz w:val="14"/>
                <w:szCs w:val="14"/>
                <w:color w:val="auto"/>
              </w:rPr>
              <w:t>rate equal to the treasury rate on a comparable treasury note plus 50 basis points;</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20" w:type="dxa"/>
            <w:vAlign w:val="bottom"/>
            <w:gridSpan w:val="11"/>
          </w:tcPr>
          <w:p>
            <w:pPr>
              <w:ind w:left="20"/>
              <w:spacing w:after="0"/>
              <w:rPr>
                <w:sz w:val="20"/>
                <w:szCs w:val="20"/>
                <w:color w:val="auto"/>
              </w:rPr>
            </w:pPr>
            <w:r>
              <w:rPr>
                <w:rFonts w:ascii="Arial" w:cs="Arial" w:eastAsia="Arial" w:hAnsi="Arial"/>
                <w:sz w:val="14"/>
                <w:szCs w:val="14"/>
                <w:color w:val="auto"/>
                <w:w w:val="92"/>
              </w:rPr>
              <w:t>·   On or after the second anniversary but prior to the third anniversary of the issuance date, the prepayment amount shall be at 100% of</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540" w:type="dxa"/>
            <w:vAlign w:val="bottom"/>
            <w:gridSpan w:val="10"/>
          </w:tcPr>
          <w:p>
            <w:pPr>
              <w:spacing w:after="0" w:line="146" w:lineRule="exact"/>
              <w:rPr>
                <w:sz w:val="20"/>
                <w:szCs w:val="20"/>
                <w:color w:val="auto"/>
              </w:rPr>
            </w:pPr>
            <w:r>
              <w:rPr>
                <w:rFonts w:ascii="Arial" w:cs="Arial" w:eastAsia="Arial" w:hAnsi="Arial"/>
                <w:sz w:val="14"/>
                <w:szCs w:val="14"/>
                <w:color w:val="auto"/>
              </w:rPr>
              <w:t>par plus one-half of the interest rate, plus accrued interest;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20" w:type="dxa"/>
            <w:vAlign w:val="bottom"/>
            <w:gridSpan w:val="11"/>
          </w:tcPr>
          <w:p>
            <w:pPr>
              <w:ind w:left="20"/>
              <w:spacing w:after="0"/>
              <w:rPr>
                <w:sz w:val="20"/>
                <w:szCs w:val="20"/>
                <w:color w:val="auto"/>
              </w:rPr>
            </w:pPr>
            <w:r>
              <w:rPr>
                <w:rFonts w:ascii="Arial" w:cs="Arial" w:eastAsia="Arial" w:hAnsi="Arial"/>
                <w:sz w:val="14"/>
                <w:szCs w:val="14"/>
                <w:color w:val="auto"/>
                <w:w w:val="90"/>
              </w:rPr>
              <w:t>·   On or after the third anniversary but prior to the fourth anniversary of the issuance date, the prepayment amount shall be at 100% of par</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540" w:type="dxa"/>
            <w:vAlign w:val="bottom"/>
            <w:gridSpan w:val="10"/>
          </w:tcPr>
          <w:p>
            <w:pPr>
              <w:spacing w:after="0" w:line="146" w:lineRule="exact"/>
              <w:rPr>
                <w:sz w:val="20"/>
                <w:szCs w:val="20"/>
                <w:color w:val="auto"/>
              </w:rPr>
            </w:pPr>
            <w:r>
              <w:rPr>
                <w:rFonts w:ascii="Arial" w:cs="Arial" w:eastAsia="Arial" w:hAnsi="Arial"/>
                <w:sz w:val="14"/>
                <w:szCs w:val="14"/>
                <w:color w:val="auto"/>
              </w:rPr>
              <w:t>plus one-quarter of the interest rate, plus accrued interest; and</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4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20" w:type="dxa"/>
            <w:vAlign w:val="bottom"/>
            <w:gridSpan w:val="11"/>
          </w:tcPr>
          <w:p>
            <w:pPr>
              <w:ind w:left="20"/>
              <w:spacing w:after="0"/>
              <w:rPr>
                <w:sz w:val="20"/>
                <w:szCs w:val="20"/>
                <w:color w:val="auto"/>
              </w:rPr>
            </w:pPr>
            <w:r>
              <w:rPr>
                <w:rFonts w:ascii="Arial" w:cs="Arial" w:eastAsia="Arial" w:hAnsi="Arial"/>
                <w:sz w:val="14"/>
                <w:szCs w:val="14"/>
                <w:color w:val="auto"/>
              </w:rPr>
              <w:t>·   On or after the fourth anniversary of issuance, the prepayment amount shall be at par plus accrued interest.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60" w:type="dxa"/>
            <w:vAlign w:val="bottom"/>
          </w:tcPr>
          <w:p>
            <w:pPr>
              <w:spacing w:after="0"/>
              <w:rPr>
                <w:sz w:val="24"/>
                <w:szCs w:val="24"/>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w w:val="92"/>
              </w:rPr>
              <w:t>Notwithstanding the foregoing, the Issuer shall be permitted to redeem up to $500 million of the Exit Senior Unsecured Notes at 103% of par</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8040" w:type="dxa"/>
            <w:vAlign w:val="bottom"/>
            <w:gridSpan w:val="12"/>
          </w:tcPr>
          <w:p>
            <w:pPr>
              <w:spacing w:after="0" w:line="146" w:lineRule="exact"/>
              <w:rPr>
                <w:sz w:val="20"/>
                <w:szCs w:val="20"/>
                <w:color w:val="auto"/>
              </w:rPr>
            </w:pPr>
            <w:r>
              <w:rPr>
                <w:rFonts w:ascii="Arial" w:cs="Arial" w:eastAsia="Arial" w:hAnsi="Arial"/>
                <w:sz w:val="14"/>
                <w:szCs w:val="14"/>
                <w:color w:val="auto"/>
              </w:rPr>
              <w:t>plus accrued interest.</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Representations and Warranties:</w:t>
            </w:r>
          </w:p>
        </w:tc>
        <w:tc>
          <w:tcPr>
            <w:tcW w:w="220" w:type="dxa"/>
            <w:vAlign w:val="bottom"/>
            <w:shd w:val="clear" w:color="auto" w:fill="000000"/>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60" w:type="dxa"/>
            <w:vAlign w:val="bottom"/>
            <w:vMerge w:val="continue"/>
          </w:tcPr>
          <w:p>
            <w:pPr>
              <w:spacing w:after="0"/>
              <w:rPr>
                <w:sz w:val="24"/>
                <w:szCs w:val="24"/>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w w:val="92"/>
              </w:rPr>
              <w:t>Customary for exit financings of this type to be included in a customary securities purchase agreement to be executed among the Issuer, the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rPr>
              <w:t>Guarantors, the Exit Backstop Parties and any other purchasers of Exit Senior Unsecured Notes at the time of initial issuance.</w:t>
            </w: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0"/>
                <w:szCs w:val="20"/>
                <w:color w:val="auto"/>
              </w:rPr>
            </w:pPr>
            <w:r>
              <w:rPr>
                <w:rFonts w:ascii="Arial" w:cs="Arial" w:eastAsia="Arial" w:hAnsi="Arial"/>
                <w:sz w:val="14"/>
                <w:szCs w:val="14"/>
                <w:b w:val="1"/>
                <w:bCs w:val="1"/>
                <w:color w:val="auto"/>
              </w:rPr>
              <w:t>Affirmative and Negative Covenants:</w:t>
            </w:r>
          </w:p>
        </w:tc>
        <w:tc>
          <w:tcPr>
            <w:tcW w:w="8040" w:type="dxa"/>
            <w:vAlign w:val="bottom"/>
            <w:gridSpan w:val="12"/>
          </w:tcPr>
          <w:p>
            <w:pPr>
              <w:spacing w:after="0"/>
              <w:rPr>
                <w:sz w:val="20"/>
                <w:szCs w:val="20"/>
                <w:color w:val="auto"/>
              </w:rPr>
            </w:pPr>
            <w:r>
              <w:rPr>
                <w:rFonts w:ascii="Arial" w:cs="Arial" w:eastAsia="Arial" w:hAnsi="Arial"/>
                <w:sz w:val="14"/>
                <w:szCs w:val="14"/>
                <w:color w:val="auto"/>
                <w:w w:val="92"/>
              </w:rPr>
              <w:t>Affirmative and negative covenants shall be substantially the same as those set forth in the form of New Tranche A Senior Unsecured Notes</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rPr>
              <w:t>Indenture filed with the Bankruptcy Court on September 4, 2019, with appropriate modifications to reflect the modifications to the</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w w:val="93"/>
              </w:rPr>
              <w:t>Restructuring Support Agreement contemplated by this Third Amendment, to remove the 125% of Consolidated Cash Flow prong in clause</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w w:val="90"/>
              </w:rPr>
              <w:t>(1) of Section 1008 and to add a covenant requiring the Issuer to use commercially reasonable efforts to obtain and maintain a rating for the Exit</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rPr>
              <w:t>Senior Unsecured Notes from both S&amp;P and Moody’s.</w:t>
            </w: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Arial" w:cs="Arial" w:eastAsia="Arial" w:hAnsi="Arial"/>
                <w:sz w:val="14"/>
                <w:szCs w:val="14"/>
                <w:b w:val="1"/>
                <w:bCs w:val="1"/>
                <w:color w:val="auto"/>
              </w:rPr>
              <w:t>Financial Covenants:</w:t>
            </w:r>
          </w:p>
        </w:tc>
        <w:tc>
          <w:tcPr>
            <w:tcW w:w="8040" w:type="dxa"/>
            <w:vAlign w:val="bottom"/>
            <w:gridSpan w:val="12"/>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Arial" w:cs="Arial" w:eastAsia="Arial" w:hAnsi="Arial"/>
                <w:sz w:val="14"/>
                <w:szCs w:val="14"/>
                <w:b w:val="1"/>
                <w:bCs w:val="1"/>
                <w:color w:val="auto"/>
              </w:rPr>
              <w:t>Amendments:</w:t>
            </w:r>
          </w:p>
        </w:tc>
        <w:tc>
          <w:tcPr>
            <w:tcW w:w="8040" w:type="dxa"/>
            <w:vAlign w:val="bottom"/>
            <w:gridSpan w:val="12"/>
          </w:tcPr>
          <w:p>
            <w:pPr>
              <w:spacing w:after="0"/>
              <w:rPr>
                <w:sz w:val="20"/>
                <w:szCs w:val="20"/>
                <w:color w:val="auto"/>
              </w:rPr>
            </w:pPr>
            <w:r>
              <w:rPr>
                <w:rFonts w:ascii="Arial" w:cs="Arial" w:eastAsia="Arial" w:hAnsi="Arial"/>
                <w:sz w:val="14"/>
                <w:szCs w:val="14"/>
                <w:color w:val="auto"/>
                <w:w w:val="95"/>
              </w:rPr>
              <w:t>100% approval for pricing changes, maturity extensions, voting rights and other customary “sacred rights” for exit financings of this type.</w:t>
            </w: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4"/>
                <w:szCs w:val="24"/>
                <w:color w:val="auto"/>
              </w:rPr>
            </w:pPr>
          </w:p>
        </w:tc>
        <w:tc>
          <w:tcPr>
            <w:tcW w:w="8040" w:type="dxa"/>
            <w:vAlign w:val="bottom"/>
            <w:gridSpan w:val="12"/>
          </w:tcPr>
          <w:p>
            <w:pPr>
              <w:spacing w:after="0"/>
              <w:rPr>
                <w:sz w:val="20"/>
                <w:szCs w:val="20"/>
                <w:color w:val="auto"/>
              </w:rPr>
            </w:pPr>
            <w:r>
              <w:rPr>
                <w:rFonts w:ascii="Arial" w:cs="Arial" w:eastAsia="Arial" w:hAnsi="Arial"/>
                <w:sz w:val="14"/>
                <w:szCs w:val="14"/>
                <w:color w:val="auto"/>
              </w:rPr>
              <w:t>Greater than 50.0% approval for other amendments and waivers.</w:t>
            </w:r>
          </w:p>
        </w:tc>
        <w:tc>
          <w:tcPr>
            <w:tcW w:w="0" w:type="dxa"/>
            <w:vAlign w:val="bottom"/>
          </w:tcPr>
          <w:p>
            <w:pPr>
              <w:spacing w:after="0"/>
              <w:rPr>
                <w:sz w:val="1"/>
                <w:szCs w:val="1"/>
                <w:color w:val="auto"/>
              </w:rPr>
            </w:pPr>
          </w:p>
        </w:tc>
      </w:tr>
      <w:tr>
        <w:trPr>
          <w:trHeight w:val="266"/>
        </w:trPr>
        <w:tc>
          <w:tcPr>
            <w:tcW w:w="346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26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72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26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280" w:type="dxa"/>
            <w:vAlign w:val="bottom"/>
          </w:tcPr>
          <w:p>
            <w:pPr>
              <w:ind w:left="1240"/>
              <w:spacing w:after="0"/>
              <w:rPr>
                <w:sz w:val="20"/>
                <w:szCs w:val="20"/>
                <w:color w:val="auto"/>
              </w:rPr>
            </w:pPr>
            <w:r>
              <w:rPr>
                <w:rFonts w:ascii="Arial" w:cs="Arial" w:eastAsia="Arial" w:hAnsi="Arial"/>
                <w:sz w:val="14"/>
                <w:szCs w:val="14"/>
                <w:color w:val="auto"/>
                <w:w w:val="90"/>
              </w:rPr>
              <w:t>All reasonable and documented out-of-pocket expenses (including, without limitation, reasonable fees, disbursements and other charges of one</w:t>
            </w:r>
          </w:p>
        </w:tc>
      </w:tr>
      <w:tr>
        <w:trPr>
          <w:trHeight w:val="166"/>
        </w:trPr>
        <w:tc>
          <w:tcPr>
            <w:tcW w:w="2220" w:type="dxa"/>
            <w:vAlign w:val="bottom"/>
          </w:tcPr>
          <w:p>
            <w:pPr>
              <w:spacing w:after="0"/>
              <w:rPr>
                <w:sz w:val="14"/>
                <w:szCs w:val="14"/>
                <w:color w:val="auto"/>
              </w:rPr>
            </w:pPr>
          </w:p>
        </w:tc>
        <w:tc>
          <w:tcPr>
            <w:tcW w:w="9280" w:type="dxa"/>
            <w:vAlign w:val="bottom"/>
          </w:tcPr>
          <w:p>
            <w:pPr>
              <w:ind w:left="1240"/>
              <w:spacing w:after="0"/>
              <w:rPr>
                <w:sz w:val="20"/>
                <w:szCs w:val="20"/>
                <w:color w:val="auto"/>
              </w:rPr>
            </w:pPr>
            <w:r>
              <w:rPr>
                <w:rFonts w:ascii="Arial" w:cs="Arial" w:eastAsia="Arial" w:hAnsi="Arial"/>
                <w:sz w:val="14"/>
                <w:szCs w:val="14"/>
                <w:color w:val="auto"/>
                <w:w w:val="89"/>
              </w:rPr>
              <w:t>outside counsel for the trustee, one outside counsel for the Exit Backstop Parties taken as a whole and one local counsel as reasonably required</w:t>
            </w:r>
          </w:p>
        </w:tc>
      </w:tr>
      <w:tr>
        <w:trPr>
          <w:trHeight w:val="166"/>
        </w:trPr>
        <w:tc>
          <w:tcPr>
            <w:tcW w:w="2220" w:type="dxa"/>
            <w:vAlign w:val="bottom"/>
          </w:tcPr>
          <w:p>
            <w:pPr>
              <w:spacing w:after="0"/>
              <w:rPr>
                <w:sz w:val="14"/>
                <w:szCs w:val="14"/>
                <w:color w:val="auto"/>
              </w:rPr>
            </w:pPr>
          </w:p>
        </w:tc>
        <w:tc>
          <w:tcPr>
            <w:tcW w:w="9280" w:type="dxa"/>
            <w:vAlign w:val="bottom"/>
          </w:tcPr>
          <w:p>
            <w:pPr>
              <w:ind w:left="1240"/>
              <w:spacing w:after="0"/>
              <w:rPr>
                <w:sz w:val="20"/>
                <w:szCs w:val="20"/>
                <w:color w:val="auto"/>
              </w:rPr>
            </w:pPr>
            <w:r>
              <w:rPr>
                <w:rFonts w:ascii="Arial" w:cs="Arial" w:eastAsia="Arial" w:hAnsi="Arial"/>
                <w:sz w:val="14"/>
                <w:szCs w:val="14"/>
                <w:color w:val="auto"/>
                <w:w w:val="95"/>
              </w:rPr>
              <w:t>in each applicable jurisdiction) of the trustee and Exit Backstop Parties in connection with the negotiation and issuance of the Exit Senior</w:t>
            </w:r>
          </w:p>
        </w:tc>
      </w:tr>
      <w:tr>
        <w:trPr>
          <w:trHeight w:val="175"/>
        </w:trPr>
        <w:tc>
          <w:tcPr>
            <w:tcW w:w="2220" w:type="dxa"/>
            <w:vAlign w:val="bottom"/>
          </w:tcPr>
          <w:p>
            <w:pPr>
              <w:spacing w:after="0"/>
              <w:rPr>
                <w:sz w:val="15"/>
                <w:szCs w:val="15"/>
                <w:color w:val="auto"/>
              </w:rPr>
            </w:pPr>
          </w:p>
        </w:tc>
        <w:tc>
          <w:tcPr>
            <w:tcW w:w="9280" w:type="dxa"/>
            <w:vAlign w:val="bottom"/>
          </w:tcPr>
          <w:p>
            <w:pPr>
              <w:ind w:left="1240"/>
              <w:spacing w:after="0"/>
              <w:rPr>
                <w:sz w:val="20"/>
                <w:szCs w:val="20"/>
                <w:color w:val="auto"/>
              </w:rPr>
            </w:pPr>
            <w:r>
              <w:rPr>
                <w:rFonts w:ascii="Arial" w:cs="Arial" w:eastAsia="Arial" w:hAnsi="Arial"/>
                <w:sz w:val="14"/>
                <w:szCs w:val="14"/>
                <w:color w:val="auto"/>
              </w:rPr>
              <w:t>Unsecured Notes and the transactions contemplated thereby shall be paid by the Issuer from time to time.</w:t>
            </w:r>
          </w:p>
        </w:tc>
      </w:tr>
      <w:tr>
        <w:trPr>
          <w:trHeight w:val="332"/>
        </w:trPr>
        <w:tc>
          <w:tcPr>
            <w:tcW w:w="2220" w:type="dxa"/>
            <w:vAlign w:val="bottom"/>
          </w:tcPr>
          <w:p>
            <w:pPr>
              <w:spacing w:after="0"/>
              <w:rPr>
                <w:sz w:val="20"/>
                <w:szCs w:val="20"/>
                <w:color w:val="auto"/>
              </w:rPr>
            </w:pPr>
            <w:r>
              <w:rPr>
                <w:rFonts w:ascii="Arial" w:cs="Arial" w:eastAsia="Arial" w:hAnsi="Arial"/>
                <w:sz w:val="14"/>
                <w:szCs w:val="14"/>
                <w:b w:val="1"/>
                <w:bCs w:val="1"/>
                <w:color w:val="auto"/>
              </w:rPr>
              <w:t>Governing Law:</w:t>
            </w:r>
          </w:p>
        </w:tc>
        <w:tc>
          <w:tcPr>
            <w:tcW w:w="9280" w:type="dxa"/>
            <w:vAlign w:val="bottom"/>
          </w:tcPr>
          <w:p>
            <w:pPr>
              <w:ind w:left="1240"/>
              <w:spacing w:after="0"/>
              <w:rPr>
                <w:sz w:val="20"/>
                <w:szCs w:val="20"/>
                <w:color w:val="auto"/>
              </w:rPr>
            </w:pPr>
            <w:r>
              <w:rPr>
                <w:rFonts w:ascii="Arial" w:cs="Arial" w:eastAsia="Arial" w:hAnsi="Arial"/>
                <w:sz w:val="14"/>
                <w:szCs w:val="14"/>
                <w:color w:val="auto"/>
              </w:rPr>
              <w:t>New York.</w:t>
            </w:r>
          </w:p>
        </w:tc>
      </w:tr>
      <w:tr>
        <w:trPr>
          <w:trHeight w:val="266"/>
        </w:trPr>
        <w:tc>
          <w:tcPr>
            <w:tcW w:w="2220" w:type="dxa"/>
            <w:vAlign w:val="bottom"/>
            <w:tcBorders>
              <w:bottom w:val="single" w:sz="8" w:color="808080"/>
            </w:tcBorders>
          </w:tcPr>
          <w:p>
            <w:pPr>
              <w:spacing w:after="0"/>
              <w:rPr>
                <w:sz w:val="23"/>
                <w:szCs w:val="23"/>
                <w:color w:val="auto"/>
              </w:rPr>
            </w:pPr>
          </w:p>
        </w:tc>
        <w:tc>
          <w:tcPr>
            <w:tcW w:w="928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2"/>
          <w:szCs w:val="12"/>
          <w:b w:val="1"/>
          <w:bCs w:val="1"/>
          <w:u w:val="single" w:color="auto"/>
          <w:color w:val="auto"/>
        </w:rPr>
        <w:t>Exhibit B to the Backstop Commitment Agreement</w:t>
      </w:r>
    </w:p>
    <w:p>
      <w:pPr>
        <w:sectPr>
          <w:pgSz w:w="11900" w:h="16838" w:orient="portrait"/>
          <w:cols w:equalWidth="0" w:num="1">
            <w:col w:w="9019"/>
          </w:cols>
          <w:pgMar w:left="1440" w:top="29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Steering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182245</wp:posOffset>
            </wp:positionV>
            <wp:extent cx="729742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type w:val="continuous"/>
        </w:sectPr>
      </w:pPr>
    </w:p>
    <w:bookmarkStart w:id="266" w:name="page267"/>
    <w:bookmarkEnd w:id="266"/>
    <w:p>
      <w:pPr>
        <w:jc w:val="center"/>
        <w:ind w:right="-20"/>
        <w:spacing w:after="0"/>
        <w:rPr>
          <w:sz w:val="20"/>
          <w:szCs w:val="20"/>
          <w:color w:val="auto"/>
        </w:rPr>
      </w:pPr>
      <w:r>
        <w:rPr>
          <w:rFonts w:ascii="Arial" w:cs="Arial" w:eastAsia="Arial" w:hAnsi="Arial"/>
          <w:sz w:val="12"/>
          <w:szCs w:val="12"/>
          <w:b w:val="1"/>
          <w:bCs w:val="1"/>
          <w:u w:val="single" w:color="auto"/>
          <w:color w:val="auto"/>
        </w:rPr>
        <w:t>Schedule 1 to the Backstop Commitment Agreement</w:t>
      </w:r>
    </w:p>
    <w:p>
      <w:pPr>
        <w:sectPr>
          <w:pgSz w:w="11900" w:h="16838" w:orient="portrait"/>
          <w:cols w:equalWidth="0" w:num="1">
            <w:col w:w="9019"/>
          </w:cols>
          <w:pgMar w:left="1440" w:top="291"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Commitment Schedule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165100</wp:posOffset>
            </wp:positionV>
            <wp:extent cx="7297420"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267" w:name="page268"/>
    <w:bookmarkEnd w:id="267"/>
    <w:p>
      <w:pPr>
        <w:jc w:val="center"/>
        <w:ind w:right="-20"/>
        <w:spacing w:after="0"/>
        <w:rPr>
          <w:sz w:val="20"/>
          <w:szCs w:val="20"/>
          <w:color w:val="auto"/>
        </w:rPr>
      </w:pPr>
      <w:r>
        <w:rPr>
          <w:rFonts w:ascii="Arial" w:cs="Arial" w:eastAsia="Arial" w:hAnsi="Arial"/>
          <w:sz w:val="12"/>
          <w:szCs w:val="12"/>
          <w:b w:val="1"/>
          <w:bCs w:val="1"/>
          <w:u w:val="single" w:color="auto"/>
          <w:color w:val="auto"/>
        </w:rPr>
        <w:t>Schedule 2 to the Backstop Commitment Agreement</w:t>
      </w:r>
    </w:p>
    <w:p>
      <w:pPr>
        <w:sectPr>
          <w:pgSz w:w="11900" w:h="16838" w:orient="portrait"/>
          <w:cols w:equalWidth="0" w:num="1">
            <w:col w:w="9019"/>
          </w:cols>
          <w:pgMar w:left="1440" w:top="291"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Additional Commitment Schedule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165100</wp:posOffset>
            </wp:positionV>
            <wp:extent cx="729742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268" w:name="page269"/>
    <w:bookmarkEnd w:id="268"/>
    <w:p>
      <w:pPr>
        <w:jc w:val="center"/>
        <w:ind w:right="-20"/>
        <w:spacing w:after="0"/>
        <w:rPr>
          <w:sz w:val="20"/>
          <w:szCs w:val="20"/>
          <w:color w:val="auto"/>
        </w:rPr>
      </w:pPr>
      <w:r>
        <w:rPr>
          <w:rFonts w:ascii="Arial" w:cs="Arial" w:eastAsia="Arial" w:hAnsi="Arial"/>
          <w:sz w:val="12"/>
          <w:szCs w:val="12"/>
          <w:b w:val="1"/>
          <w:bCs w:val="1"/>
          <w:u w:val="single" w:color="auto"/>
          <w:color w:val="auto"/>
        </w:rPr>
        <w:t>Schedule 3 to the Backstop Commitment Agreement</w:t>
      </w:r>
    </w:p>
    <w:p>
      <w:pPr>
        <w:sectPr>
          <w:pgSz w:w="11900" w:h="16838" w:orient="portrait"/>
          <w:cols w:equalWidth="0" w:num="1">
            <w:col w:w="9019"/>
          </w:cols>
          <w:pgMar w:left="1440" w:top="291"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Initial Commitment Schedule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165100</wp:posOffset>
            </wp:positionV>
            <wp:extent cx="729742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269" w:name="page270"/>
    <w:bookmarkEnd w:id="269"/>
    <w:p>
      <w:pPr>
        <w:jc w:val="right"/>
        <w:ind w:right="40"/>
        <w:spacing w:after="0"/>
        <w:rPr>
          <w:sz w:val="20"/>
          <w:szCs w:val="20"/>
          <w:color w:val="auto"/>
        </w:rPr>
      </w:pPr>
      <w:r>
        <w:rPr>
          <w:rFonts w:ascii="Arial" w:cs="Arial" w:eastAsia="Arial" w:hAnsi="Arial"/>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27837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7837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UNITED STATES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160655</wp:posOffset>
            </wp:positionV>
            <wp:extent cx="183769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Amendment No. 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to</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FORM T-1</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STATEMENT OF ELIGIBILITY UNDER THE TRUST INDENTURE ACT OF 1939 OF A CORPORATION DESIGNATED TO ACT AS TRUSTEE</w:t>
      </w:r>
    </w:p>
    <w:p>
      <w:pPr>
        <w:spacing w:after="0" w:line="175" w:lineRule="exact"/>
        <w:rPr>
          <w:sz w:val="20"/>
          <w:szCs w:val="20"/>
          <w:color w:val="auto"/>
        </w:rPr>
      </w:pPr>
    </w:p>
    <w:p>
      <w:pPr>
        <w:ind w:left="740"/>
        <w:spacing w:after="0"/>
        <w:tabs>
          <w:tab w:leader="none" w:pos="920" w:val="left"/>
        </w:tabs>
        <w:rPr>
          <w:sz w:val="20"/>
          <w:szCs w:val="20"/>
          <w:color w:val="auto"/>
        </w:rPr>
      </w:pPr>
      <w:r>
        <w:rPr>
          <w:rFonts w:ascii="Arial" w:cs="Arial" w:eastAsia="Arial" w:hAnsi="Arial"/>
          <w:sz w:val="14"/>
          <w:szCs w:val="14"/>
          <w:b w:val="1"/>
          <w:bCs w:val="1"/>
          <w:color w:val="auto"/>
        </w:rPr>
        <w:t>o</w:t>
      </w:r>
      <w:r>
        <w:rPr>
          <w:sz w:val="20"/>
          <w:szCs w:val="20"/>
          <w:color w:val="auto"/>
        </w:rPr>
        <w:tab/>
      </w:r>
      <w:r>
        <w:rPr>
          <w:rFonts w:ascii="Arial" w:cs="Arial" w:eastAsia="Arial" w:hAnsi="Arial"/>
          <w:sz w:val="13"/>
          <w:szCs w:val="13"/>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170815</wp:posOffset>
            </wp:positionV>
            <wp:extent cx="183769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DEUTSCHE BANK TRUST COMPANY AMERICAS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(formerly BANKERS TRUST COMPANY)</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(Exact name of trustee as specified in its charter)</w:t>
      </w:r>
    </w:p>
    <w:p>
      <w:pPr>
        <w:spacing w:after="0" w:line="15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6360" w:type="dxa"/>
            <w:vAlign w:val="bottom"/>
          </w:tcPr>
          <w:p>
            <w:pPr>
              <w:jc w:val="center"/>
              <w:ind w:right="3471"/>
              <w:spacing w:after="0"/>
              <w:rPr>
                <w:sz w:val="20"/>
                <w:szCs w:val="20"/>
                <w:color w:val="auto"/>
              </w:rPr>
            </w:pPr>
            <w:r>
              <w:rPr>
                <w:rFonts w:ascii="Arial" w:cs="Arial" w:eastAsia="Arial" w:hAnsi="Arial"/>
                <w:sz w:val="14"/>
                <w:szCs w:val="14"/>
                <w:b w:val="1"/>
                <w:bCs w:val="1"/>
                <w:color w:val="auto"/>
              </w:rPr>
              <w:t>NEW YORK</w:t>
            </w:r>
          </w:p>
        </w:tc>
        <w:tc>
          <w:tcPr>
            <w:tcW w:w="1400" w:type="dxa"/>
            <w:vAlign w:val="bottom"/>
          </w:tcPr>
          <w:p>
            <w:pPr>
              <w:jc w:val="right"/>
              <w:ind w:right="91"/>
              <w:spacing w:after="0"/>
              <w:rPr>
                <w:sz w:val="20"/>
                <w:szCs w:val="20"/>
                <w:color w:val="auto"/>
              </w:rPr>
            </w:pPr>
            <w:r>
              <w:rPr>
                <w:rFonts w:ascii="Arial" w:cs="Arial" w:eastAsia="Arial" w:hAnsi="Arial"/>
                <w:sz w:val="14"/>
                <w:szCs w:val="14"/>
                <w:b w:val="1"/>
                <w:bCs w:val="1"/>
                <w:color w:val="auto"/>
              </w:rPr>
              <w:t>13-4941247</w:t>
            </w:r>
          </w:p>
        </w:tc>
      </w:tr>
      <w:tr>
        <w:trPr>
          <w:trHeight w:val="166"/>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2"/>
              </w:rPr>
              <w:t>(Jurisdiction of Incorporation or</w:t>
            </w:r>
          </w:p>
        </w:tc>
        <w:tc>
          <w:tcPr>
            <w:tcW w:w="1400" w:type="dxa"/>
            <w:vAlign w:val="bottom"/>
          </w:tcPr>
          <w:p>
            <w:pPr>
              <w:jc w:val="center"/>
              <w:ind w:left="331"/>
              <w:spacing w:after="0"/>
              <w:rPr>
                <w:sz w:val="20"/>
                <w:szCs w:val="20"/>
                <w:color w:val="auto"/>
              </w:rPr>
            </w:pPr>
            <w:r>
              <w:rPr>
                <w:rFonts w:ascii="Arial" w:cs="Arial" w:eastAsia="Arial" w:hAnsi="Arial"/>
                <w:sz w:val="14"/>
                <w:szCs w:val="14"/>
                <w:color w:val="auto"/>
                <w:w w:val="93"/>
              </w:rPr>
              <w:t>(I.R.S. Employer</w:t>
            </w:r>
          </w:p>
        </w:tc>
      </w:tr>
      <w:tr>
        <w:trPr>
          <w:trHeight w:val="175"/>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0"/>
              </w:rPr>
              <w:t>organization if not a U.S. national bank)</w:t>
            </w:r>
          </w:p>
        </w:tc>
        <w:tc>
          <w:tcPr>
            <w:tcW w:w="1400" w:type="dxa"/>
            <w:vAlign w:val="bottom"/>
          </w:tcPr>
          <w:p>
            <w:pPr>
              <w:jc w:val="center"/>
              <w:ind w:left="331"/>
              <w:spacing w:after="0"/>
              <w:rPr>
                <w:sz w:val="20"/>
                <w:szCs w:val="20"/>
                <w:color w:val="auto"/>
              </w:rPr>
            </w:pPr>
            <w:r>
              <w:rPr>
                <w:rFonts w:ascii="Arial" w:cs="Arial" w:eastAsia="Arial" w:hAnsi="Arial"/>
                <w:sz w:val="14"/>
                <w:szCs w:val="14"/>
                <w:color w:val="auto"/>
                <w:w w:val="93"/>
              </w:rPr>
              <w:t>Identification no.)</w:t>
            </w:r>
          </w:p>
        </w:tc>
      </w:tr>
      <w:tr>
        <w:trPr>
          <w:trHeight w:val="323"/>
        </w:trPr>
        <w:tc>
          <w:tcPr>
            <w:tcW w:w="6360" w:type="dxa"/>
            <w:vAlign w:val="bottom"/>
          </w:tcPr>
          <w:p>
            <w:pPr>
              <w:jc w:val="center"/>
              <w:ind w:right="3451"/>
              <w:spacing w:after="0"/>
              <w:rPr>
                <w:sz w:val="20"/>
                <w:szCs w:val="20"/>
                <w:color w:val="auto"/>
              </w:rPr>
            </w:pPr>
            <w:r>
              <w:rPr>
                <w:rFonts w:ascii="Arial" w:cs="Arial" w:eastAsia="Arial" w:hAnsi="Arial"/>
                <w:sz w:val="14"/>
                <w:szCs w:val="14"/>
                <w:b w:val="1"/>
                <w:bCs w:val="1"/>
                <w:color w:val="auto"/>
                <w:w w:val="98"/>
              </w:rPr>
              <w:t>60 WALL STREET, NEW YORK, NEW YORK</w:t>
            </w:r>
          </w:p>
        </w:tc>
        <w:tc>
          <w:tcPr>
            <w:tcW w:w="1400" w:type="dxa"/>
            <w:vAlign w:val="bottom"/>
          </w:tcPr>
          <w:p>
            <w:pPr>
              <w:jc w:val="right"/>
              <w:ind w:right="251"/>
              <w:spacing w:after="0"/>
              <w:rPr>
                <w:sz w:val="20"/>
                <w:szCs w:val="20"/>
                <w:color w:val="auto"/>
              </w:rPr>
            </w:pPr>
            <w:r>
              <w:rPr>
                <w:rFonts w:ascii="Arial" w:cs="Arial" w:eastAsia="Arial" w:hAnsi="Arial"/>
                <w:sz w:val="14"/>
                <w:szCs w:val="14"/>
                <w:b w:val="1"/>
                <w:bCs w:val="1"/>
                <w:color w:val="auto"/>
              </w:rPr>
              <w:t>10005</w:t>
            </w:r>
          </w:p>
        </w:tc>
      </w:tr>
      <w:tr>
        <w:trPr>
          <w:trHeight w:val="166"/>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2"/>
              </w:rPr>
              <w:t>(Address of principal</w:t>
            </w:r>
          </w:p>
        </w:tc>
        <w:tc>
          <w:tcPr>
            <w:tcW w:w="1400" w:type="dxa"/>
            <w:vAlign w:val="bottom"/>
          </w:tcPr>
          <w:p>
            <w:pPr>
              <w:jc w:val="center"/>
              <w:ind w:left="331"/>
              <w:spacing w:after="0"/>
              <w:rPr>
                <w:sz w:val="20"/>
                <w:szCs w:val="20"/>
                <w:color w:val="auto"/>
              </w:rPr>
            </w:pPr>
            <w:r>
              <w:rPr>
                <w:rFonts w:ascii="Arial" w:cs="Arial" w:eastAsia="Arial" w:hAnsi="Arial"/>
                <w:sz w:val="14"/>
                <w:szCs w:val="14"/>
                <w:color w:val="auto"/>
                <w:w w:val="90"/>
              </w:rPr>
              <w:t>(Zip Code)</w:t>
            </w:r>
          </w:p>
        </w:tc>
      </w:tr>
      <w:tr>
        <w:trPr>
          <w:trHeight w:val="175"/>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0"/>
              </w:rPr>
              <w:t>executive offices)</w:t>
            </w:r>
          </w:p>
        </w:tc>
        <w:tc>
          <w:tcPr>
            <w:tcW w:w="1400" w:type="dxa"/>
            <w:vAlign w:val="bottom"/>
          </w:tcPr>
          <w:p>
            <w:pPr>
              <w:spacing w:after="0"/>
              <w:rPr>
                <w:sz w:val="15"/>
                <w:szCs w:val="15"/>
                <w:color w:val="auto"/>
              </w:rPr>
            </w:pPr>
          </w:p>
        </w:tc>
      </w:tr>
      <w:tr>
        <w:trPr>
          <w:trHeight w:val="319"/>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88"/>
              </w:rPr>
              <w:t>Deutsche Bank Trust Company Americas</w:t>
            </w:r>
          </w:p>
        </w:tc>
        <w:tc>
          <w:tcPr>
            <w:tcW w:w="1400" w:type="dxa"/>
            <w:vAlign w:val="bottom"/>
          </w:tcPr>
          <w:p>
            <w:pPr>
              <w:spacing w:after="0"/>
              <w:rPr>
                <w:sz w:val="24"/>
                <w:szCs w:val="24"/>
                <w:color w:val="auto"/>
              </w:rPr>
            </w:pPr>
          </w:p>
        </w:tc>
      </w:tr>
      <w:tr>
        <w:trPr>
          <w:trHeight w:val="166"/>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94"/>
              </w:rPr>
              <w:t>Attention: Mirko Mieth</w:t>
            </w:r>
          </w:p>
        </w:tc>
        <w:tc>
          <w:tcPr>
            <w:tcW w:w="1400" w:type="dxa"/>
            <w:vAlign w:val="bottom"/>
          </w:tcPr>
          <w:p>
            <w:pPr>
              <w:spacing w:after="0"/>
              <w:rPr>
                <w:sz w:val="14"/>
                <w:szCs w:val="14"/>
                <w:color w:val="auto"/>
              </w:rPr>
            </w:pPr>
          </w:p>
        </w:tc>
      </w:tr>
      <w:tr>
        <w:trPr>
          <w:trHeight w:val="166"/>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91"/>
              </w:rPr>
              <w:t>Legal Department</w:t>
            </w:r>
          </w:p>
        </w:tc>
        <w:tc>
          <w:tcPr>
            <w:tcW w:w="1400" w:type="dxa"/>
            <w:vAlign w:val="bottom"/>
          </w:tcPr>
          <w:p>
            <w:pPr>
              <w:spacing w:after="0"/>
              <w:rPr>
                <w:sz w:val="14"/>
                <w:szCs w:val="14"/>
                <w:color w:val="auto"/>
              </w:rPr>
            </w:pPr>
          </w:p>
        </w:tc>
      </w:tr>
      <w:tr>
        <w:trPr>
          <w:trHeight w:val="166"/>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90"/>
              </w:rPr>
              <w:t>60 Wall Street, 36th Floor</w:t>
            </w:r>
          </w:p>
        </w:tc>
        <w:tc>
          <w:tcPr>
            <w:tcW w:w="1400" w:type="dxa"/>
            <w:vAlign w:val="bottom"/>
          </w:tcPr>
          <w:p>
            <w:pPr>
              <w:spacing w:after="0"/>
              <w:rPr>
                <w:sz w:val="14"/>
                <w:szCs w:val="14"/>
                <w:color w:val="auto"/>
              </w:rPr>
            </w:pPr>
          </w:p>
        </w:tc>
      </w:tr>
      <w:tr>
        <w:trPr>
          <w:trHeight w:val="166"/>
        </w:trPr>
        <w:tc>
          <w:tcPr>
            <w:tcW w:w="6360" w:type="dxa"/>
            <w:vAlign w:val="bottom"/>
          </w:tcPr>
          <w:p>
            <w:pPr>
              <w:jc w:val="center"/>
              <w:ind w:left="2231"/>
              <w:spacing w:after="0"/>
              <w:rPr>
                <w:sz w:val="20"/>
                <w:szCs w:val="20"/>
                <w:color w:val="auto"/>
              </w:rPr>
            </w:pPr>
            <w:r>
              <w:rPr>
                <w:rFonts w:ascii="Arial" w:cs="Arial" w:eastAsia="Arial" w:hAnsi="Arial"/>
                <w:sz w:val="14"/>
                <w:szCs w:val="14"/>
                <w:b w:val="1"/>
                <w:bCs w:val="1"/>
                <w:color w:val="auto"/>
                <w:w w:val="90"/>
              </w:rPr>
              <w:t>New York, New York 10005</w:t>
            </w:r>
          </w:p>
        </w:tc>
        <w:tc>
          <w:tcPr>
            <w:tcW w:w="1400" w:type="dxa"/>
            <w:vAlign w:val="bottom"/>
          </w:tcPr>
          <w:p>
            <w:pPr>
              <w:spacing w:after="0"/>
              <w:rPr>
                <w:sz w:val="14"/>
                <w:szCs w:val="14"/>
                <w:color w:val="auto"/>
              </w:rPr>
            </w:pPr>
          </w:p>
        </w:tc>
      </w:tr>
      <w:tr>
        <w:trPr>
          <w:trHeight w:val="170"/>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89"/>
              </w:rPr>
              <w:t>(212) 250 – 7544</w:t>
            </w:r>
          </w:p>
        </w:tc>
        <w:tc>
          <w:tcPr>
            <w:tcW w:w="1400" w:type="dxa"/>
            <w:vAlign w:val="bottom"/>
          </w:tcPr>
          <w:p>
            <w:pPr>
              <w:spacing w:after="0"/>
              <w:rPr>
                <w:sz w:val="14"/>
                <w:szCs w:val="14"/>
                <w:color w:val="auto"/>
              </w:rPr>
            </w:pPr>
          </w:p>
        </w:tc>
      </w:tr>
      <w:tr>
        <w:trPr>
          <w:trHeight w:val="175"/>
        </w:trPr>
        <w:tc>
          <w:tcPr>
            <w:tcW w:w="6360" w:type="dxa"/>
            <w:vAlign w:val="bottom"/>
          </w:tcPr>
          <w:p>
            <w:pPr>
              <w:jc w:val="center"/>
              <w:ind w:left="2251"/>
              <w:spacing w:after="0"/>
              <w:rPr>
                <w:sz w:val="20"/>
                <w:szCs w:val="20"/>
                <w:color w:val="auto"/>
              </w:rPr>
            </w:pPr>
            <w:r>
              <w:rPr>
                <w:rFonts w:ascii="Arial" w:cs="Arial" w:eastAsia="Arial" w:hAnsi="Arial"/>
                <w:sz w:val="14"/>
                <w:szCs w:val="14"/>
                <w:color w:val="auto"/>
                <w:w w:val="88"/>
              </w:rPr>
              <w:t>(Name, address and telephone number of agent for service)</w:t>
            </w:r>
          </w:p>
        </w:tc>
        <w:tc>
          <w:tcPr>
            <w:tcW w:w="14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158750</wp:posOffset>
            </wp:positionV>
            <wp:extent cx="183769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WEATHERFORD INTERNATIONAL, LLC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(Exact name of obligor as specified in its charter)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jc w:val="center"/>
              <w:ind w:left="1271"/>
              <w:spacing w:after="0"/>
              <w:rPr>
                <w:sz w:val="20"/>
                <w:szCs w:val="20"/>
                <w:color w:val="auto"/>
              </w:rPr>
            </w:pPr>
            <w:r>
              <w:rPr>
                <w:rFonts w:ascii="Arial" w:cs="Arial" w:eastAsia="Arial" w:hAnsi="Arial"/>
                <w:sz w:val="14"/>
                <w:szCs w:val="14"/>
                <w:b w:val="1"/>
                <w:bCs w:val="1"/>
                <w:color w:val="auto"/>
                <w:w w:val="96"/>
              </w:rPr>
              <w:t>DELAWARE</w:t>
            </w:r>
          </w:p>
        </w:tc>
        <w:tc>
          <w:tcPr>
            <w:tcW w:w="7180" w:type="dxa"/>
            <w:vAlign w:val="bottom"/>
            <w:gridSpan w:val="2"/>
          </w:tcPr>
          <w:p>
            <w:pPr>
              <w:jc w:val="right"/>
              <w:ind w:right="2391"/>
              <w:spacing w:after="0"/>
              <w:rPr>
                <w:sz w:val="20"/>
                <w:szCs w:val="20"/>
                <w:color w:val="auto"/>
              </w:rPr>
            </w:pPr>
            <w:r>
              <w:rPr>
                <w:rFonts w:ascii="Arial" w:cs="Arial" w:eastAsia="Arial" w:hAnsi="Arial"/>
                <w:sz w:val="14"/>
                <w:szCs w:val="14"/>
                <w:b w:val="1"/>
                <w:bCs w:val="1"/>
                <w:color w:val="auto"/>
              </w:rPr>
              <w:t>04-2515019</w:t>
            </w:r>
          </w:p>
        </w:tc>
        <w:tc>
          <w:tcPr>
            <w:tcW w:w="40" w:type="dxa"/>
            <w:vAlign w:val="bottom"/>
          </w:tcPr>
          <w:p>
            <w:pPr>
              <w:spacing w:after="0"/>
              <w:rPr>
                <w:sz w:val="14"/>
                <w:szCs w:val="14"/>
                <w:color w:val="auto"/>
              </w:rPr>
            </w:pPr>
          </w:p>
        </w:tc>
      </w:tr>
      <w:tr>
        <w:trPr>
          <w:trHeight w:val="166"/>
        </w:trPr>
        <w:tc>
          <w:tcPr>
            <w:tcW w:w="4280" w:type="dxa"/>
            <w:vAlign w:val="bottom"/>
          </w:tcPr>
          <w:p>
            <w:pPr>
              <w:jc w:val="center"/>
              <w:ind w:left="1291"/>
              <w:spacing w:after="0"/>
              <w:rPr>
                <w:sz w:val="20"/>
                <w:szCs w:val="20"/>
                <w:color w:val="auto"/>
              </w:rPr>
            </w:pPr>
            <w:r>
              <w:rPr>
                <w:rFonts w:ascii="Arial" w:cs="Arial" w:eastAsia="Arial" w:hAnsi="Arial"/>
                <w:sz w:val="14"/>
                <w:szCs w:val="14"/>
                <w:color w:val="auto"/>
                <w:w w:val="91"/>
              </w:rPr>
              <w:t>(State or other jurisdiction of</w:t>
            </w:r>
          </w:p>
        </w:tc>
        <w:tc>
          <w:tcPr>
            <w:tcW w:w="2900" w:type="dxa"/>
            <w:vAlign w:val="bottom"/>
          </w:tcPr>
          <w:p>
            <w:pPr>
              <w:spacing w:after="0"/>
              <w:rPr>
                <w:sz w:val="14"/>
                <w:szCs w:val="14"/>
                <w:color w:val="auto"/>
              </w:rPr>
            </w:pPr>
          </w:p>
        </w:tc>
        <w:tc>
          <w:tcPr>
            <w:tcW w:w="4280" w:type="dxa"/>
            <w:vAlign w:val="bottom"/>
          </w:tcPr>
          <w:p>
            <w:pPr>
              <w:jc w:val="center"/>
              <w:ind w:right="1251"/>
              <w:spacing w:after="0"/>
              <w:rPr>
                <w:sz w:val="20"/>
                <w:szCs w:val="20"/>
                <w:color w:val="auto"/>
              </w:rPr>
            </w:pPr>
            <w:r>
              <w:rPr>
                <w:rFonts w:ascii="Arial" w:cs="Arial" w:eastAsia="Arial" w:hAnsi="Arial"/>
                <w:sz w:val="14"/>
                <w:szCs w:val="14"/>
                <w:color w:val="auto"/>
                <w:w w:val="93"/>
              </w:rPr>
              <w:t>(I.R.S. Employer</w:t>
            </w:r>
          </w:p>
        </w:tc>
        <w:tc>
          <w:tcPr>
            <w:tcW w:w="40" w:type="dxa"/>
            <w:vAlign w:val="bottom"/>
          </w:tcPr>
          <w:p>
            <w:pPr>
              <w:spacing w:after="0"/>
              <w:rPr>
                <w:sz w:val="14"/>
                <w:szCs w:val="14"/>
                <w:color w:val="auto"/>
              </w:rPr>
            </w:pPr>
          </w:p>
        </w:tc>
      </w:tr>
      <w:tr>
        <w:trPr>
          <w:trHeight w:val="175"/>
        </w:trPr>
        <w:tc>
          <w:tcPr>
            <w:tcW w:w="4280" w:type="dxa"/>
            <w:vAlign w:val="bottom"/>
          </w:tcPr>
          <w:p>
            <w:pPr>
              <w:jc w:val="center"/>
              <w:ind w:left="1271"/>
              <w:spacing w:after="0"/>
              <w:rPr>
                <w:sz w:val="20"/>
                <w:szCs w:val="20"/>
                <w:color w:val="auto"/>
              </w:rPr>
            </w:pPr>
            <w:r>
              <w:rPr>
                <w:rFonts w:ascii="Arial" w:cs="Arial" w:eastAsia="Arial" w:hAnsi="Arial"/>
                <w:sz w:val="14"/>
                <w:szCs w:val="14"/>
                <w:color w:val="auto"/>
                <w:w w:val="91"/>
              </w:rPr>
              <w:t>incorporation or organization)</w:t>
            </w:r>
          </w:p>
        </w:tc>
        <w:tc>
          <w:tcPr>
            <w:tcW w:w="2900" w:type="dxa"/>
            <w:vAlign w:val="bottom"/>
          </w:tcPr>
          <w:p>
            <w:pPr>
              <w:spacing w:after="0"/>
              <w:rPr>
                <w:sz w:val="15"/>
                <w:szCs w:val="15"/>
                <w:color w:val="auto"/>
              </w:rPr>
            </w:pPr>
          </w:p>
        </w:tc>
        <w:tc>
          <w:tcPr>
            <w:tcW w:w="4280" w:type="dxa"/>
            <w:vAlign w:val="bottom"/>
          </w:tcPr>
          <w:p>
            <w:pPr>
              <w:jc w:val="center"/>
              <w:ind w:right="1251"/>
              <w:spacing w:after="0"/>
              <w:rPr>
                <w:sz w:val="20"/>
                <w:szCs w:val="20"/>
                <w:color w:val="auto"/>
              </w:rPr>
            </w:pPr>
            <w:r>
              <w:rPr>
                <w:rFonts w:ascii="Arial" w:cs="Arial" w:eastAsia="Arial" w:hAnsi="Arial"/>
                <w:sz w:val="14"/>
                <w:szCs w:val="14"/>
                <w:color w:val="auto"/>
                <w:w w:val="95"/>
              </w:rPr>
              <w:t>Identification No.)</w:t>
            </w:r>
          </w:p>
        </w:tc>
        <w:tc>
          <w:tcPr>
            <w:tcW w:w="40" w:type="dxa"/>
            <w:vAlign w:val="bottom"/>
          </w:tcPr>
          <w:p>
            <w:pPr>
              <w:spacing w:after="0"/>
              <w:rPr>
                <w:sz w:val="15"/>
                <w:szCs w:val="15"/>
                <w:color w:val="auto"/>
              </w:rPr>
            </w:pPr>
          </w:p>
        </w:tc>
      </w:tr>
      <w:tr>
        <w:trPr>
          <w:trHeight w:val="323"/>
        </w:trPr>
        <w:tc>
          <w:tcPr>
            <w:tcW w:w="4280" w:type="dxa"/>
            <w:vAlign w:val="bottom"/>
          </w:tcPr>
          <w:p>
            <w:pPr>
              <w:jc w:val="center"/>
              <w:ind w:left="1271"/>
              <w:spacing w:after="0"/>
              <w:rPr>
                <w:sz w:val="20"/>
                <w:szCs w:val="20"/>
                <w:color w:val="auto"/>
              </w:rPr>
            </w:pPr>
            <w:r>
              <w:rPr>
                <w:rFonts w:ascii="Arial" w:cs="Arial" w:eastAsia="Arial" w:hAnsi="Arial"/>
                <w:sz w:val="14"/>
                <w:szCs w:val="14"/>
                <w:b w:val="1"/>
                <w:bCs w:val="1"/>
                <w:color w:val="auto"/>
                <w:w w:val="94"/>
              </w:rPr>
              <w:t>2000 ST. JAMES PLACE, HOUSTON</w:t>
            </w:r>
          </w:p>
        </w:tc>
        <w:tc>
          <w:tcPr>
            <w:tcW w:w="7180" w:type="dxa"/>
            <w:vAlign w:val="bottom"/>
            <w:gridSpan w:val="2"/>
          </w:tcPr>
          <w:p>
            <w:pPr>
              <w:jc w:val="right"/>
              <w:ind w:right="2551"/>
              <w:spacing w:after="0"/>
              <w:rPr>
                <w:sz w:val="20"/>
                <w:szCs w:val="20"/>
                <w:color w:val="auto"/>
              </w:rPr>
            </w:pPr>
            <w:r>
              <w:rPr>
                <w:rFonts w:ascii="Arial" w:cs="Arial" w:eastAsia="Arial" w:hAnsi="Arial"/>
                <w:sz w:val="14"/>
                <w:szCs w:val="14"/>
                <w:b w:val="1"/>
                <w:bCs w:val="1"/>
                <w:color w:val="auto"/>
              </w:rPr>
              <w:t>77056</w:t>
            </w:r>
          </w:p>
        </w:tc>
        <w:tc>
          <w:tcPr>
            <w:tcW w:w="40" w:type="dxa"/>
            <w:vAlign w:val="bottom"/>
          </w:tcPr>
          <w:p>
            <w:pPr>
              <w:spacing w:after="0"/>
              <w:rPr>
                <w:sz w:val="24"/>
                <w:szCs w:val="24"/>
                <w:color w:val="auto"/>
              </w:rPr>
            </w:pPr>
          </w:p>
        </w:tc>
      </w:tr>
      <w:tr>
        <w:trPr>
          <w:trHeight w:val="175"/>
        </w:trPr>
        <w:tc>
          <w:tcPr>
            <w:tcW w:w="4280" w:type="dxa"/>
            <w:vAlign w:val="bottom"/>
          </w:tcPr>
          <w:p>
            <w:pPr>
              <w:jc w:val="center"/>
              <w:ind w:left="1291"/>
              <w:spacing w:after="0"/>
              <w:rPr>
                <w:sz w:val="20"/>
                <w:szCs w:val="20"/>
                <w:color w:val="auto"/>
              </w:rPr>
            </w:pPr>
            <w:r>
              <w:rPr>
                <w:rFonts w:ascii="Arial" w:cs="Arial" w:eastAsia="Arial" w:hAnsi="Arial"/>
                <w:sz w:val="14"/>
                <w:szCs w:val="14"/>
                <w:color w:val="auto"/>
                <w:w w:val="91"/>
              </w:rPr>
              <w:t>(Address of principal executive offices)</w:t>
            </w:r>
          </w:p>
        </w:tc>
        <w:tc>
          <w:tcPr>
            <w:tcW w:w="2900" w:type="dxa"/>
            <w:vAlign w:val="bottom"/>
          </w:tcPr>
          <w:p>
            <w:pPr>
              <w:spacing w:after="0"/>
              <w:rPr>
                <w:sz w:val="15"/>
                <w:szCs w:val="15"/>
                <w:color w:val="auto"/>
              </w:rPr>
            </w:pPr>
          </w:p>
        </w:tc>
        <w:tc>
          <w:tcPr>
            <w:tcW w:w="4280" w:type="dxa"/>
            <w:vAlign w:val="bottom"/>
          </w:tcPr>
          <w:p>
            <w:pPr>
              <w:jc w:val="center"/>
              <w:ind w:right="1271"/>
              <w:spacing w:after="0"/>
              <w:rPr>
                <w:sz w:val="20"/>
                <w:szCs w:val="20"/>
                <w:color w:val="auto"/>
              </w:rPr>
            </w:pPr>
            <w:r>
              <w:rPr>
                <w:rFonts w:ascii="Arial" w:cs="Arial" w:eastAsia="Arial" w:hAnsi="Arial"/>
                <w:sz w:val="14"/>
                <w:szCs w:val="14"/>
                <w:color w:val="auto"/>
                <w:w w:val="91"/>
              </w:rPr>
              <w:t>(Zip code)</w:t>
            </w:r>
          </w:p>
        </w:tc>
        <w:tc>
          <w:tcPr>
            <w:tcW w:w="40" w:type="dxa"/>
            <w:vAlign w:val="bottom"/>
          </w:tcPr>
          <w:p>
            <w:pPr>
              <w:spacing w:after="0"/>
              <w:rPr>
                <w:sz w:val="15"/>
                <w:szCs w:val="15"/>
                <w:color w:val="auto"/>
              </w:rPr>
            </w:pPr>
          </w:p>
        </w:tc>
      </w:tr>
      <w:tr>
        <w:trPr>
          <w:trHeight w:val="250"/>
        </w:trPr>
        <w:tc>
          <w:tcPr>
            <w:tcW w:w="4280" w:type="dxa"/>
            <w:vAlign w:val="bottom"/>
          </w:tcPr>
          <w:p>
            <w:pPr>
              <w:spacing w:after="0"/>
              <w:rPr>
                <w:sz w:val="21"/>
                <w:szCs w:val="21"/>
                <w:color w:val="auto"/>
              </w:rPr>
            </w:pPr>
          </w:p>
        </w:tc>
        <w:tc>
          <w:tcPr>
            <w:tcW w:w="2900" w:type="dxa"/>
            <w:vAlign w:val="bottom"/>
            <w:tcBorders>
              <w:bottom w:val="single" w:sz="8" w:color="808080"/>
            </w:tcBorders>
          </w:tcPr>
          <w:p>
            <w:pPr>
              <w:spacing w:after="0"/>
              <w:rPr>
                <w:sz w:val="21"/>
                <w:szCs w:val="21"/>
                <w:color w:val="auto"/>
              </w:rPr>
            </w:pPr>
          </w:p>
        </w:tc>
        <w:tc>
          <w:tcPr>
            <w:tcW w:w="42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5"/>
        </w:trPr>
        <w:tc>
          <w:tcPr>
            <w:tcW w:w="4280" w:type="dxa"/>
            <w:vAlign w:val="bottom"/>
          </w:tcPr>
          <w:p>
            <w:pPr>
              <w:spacing w:after="0"/>
              <w:rPr>
                <w:sz w:val="24"/>
                <w:szCs w:val="24"/>
                <w:color w:val="auto"/>
              </w:rPr>
            </w:pPr>
          </w:p>
        </w:tc>
        <w:tc>
          <w:tcPr>
            <w:tcW w:w="7180" w:type="dxa"/>
            <w:vAlign w:val="bottom"/>
            <w:gridSpan w:val="2"/>
          </w:tcPr>
          <w:p>
            <w:pPr>
              <w:jc w:val="center"/>
              <w:ind w:right="4191"/>
              <w:spacing w:after="0"/>
              <w:rPr>
                <w:sz w:val="20"/>
                <w:szCs w:val="20"/>
                <w:color w:val="auto"/>
              </w:rPr>
            </w:pPr>
            <w:r>
              <w:rPr>
                <w:rFonts w:ascii="Arial" w:cs="Arial" w:eastAsia="Arial" w:hAnsi="Arial"/>
                <w:sz w:val="14"/>
                <w:szCs w:val="14"/>
                <w:b w:val="1"/>
                <w:bCs w:val="1"/>
                <w:color w:val="auto"/>
                <w:w w:val="88"/>
              </w:rPr>
              <w:t>11.000% Senior Unsecured Notes due 2024</w:t>
            </w:r>
          </w:p>
        </w:tc>
        <w:tc>
          <w:tcPr>
            <w:tcW w:w="40" w:type="dxa"/>
            <w:vAlign w:val="bottom"/>
          </w:tcPr>
          <w:p>
            <w:pPr>
              <w:spacing w:after="0"/>
              <w:rPr>
                <w:sz w:val="24"/>
                <w:szCs w:val="24"/>
                <w:color w:val="auto"/>
              </w:rPr>
            </w:pPr>
          </w:p>
        </w:tc>
      </w:tr>
      <w:tr>
        <w:trPr>
          <w:trHeight w:val="175"/>
        </w:trPr>
        <w:tc>
          <w:tcPr>
            <w:tcW w:w="4280" w:type="dxa"/>
            <w:vAlign w:val="bottom"/>
          </w:tcPr>
          <w:p>
            <w:pPr>
              <w:spacing w:after="0"/>
              <w:rPr>
                <w:sz w:val="15"/>
                <w:szCs w:val="15"/>
                <w:color w:val="auto"/>
              </w:rPr>
            </w:pPr>
          </w:p>
        </w:tc>
        <w:tc>
          <w:tcPr>
            <w:tcW w:w="7180" w:type="dxa"/>
            <w:vAlign w:val="bottom"/>
            <w:gridSpan w:val="2"/>
          </w:tcPr>
          <w:p>
            <w:pPr>
              <w:jc w:val="center"/>
              <w:ind w:right="4211"/>
              <w:spacing w:after="0"/>
              <w:rPr>
                <w:sz w:val="20"/>
                <w:szCs w:val="20"/>
                <w:color w:val="auto"/>
              </w:rPr>
            </w:pPr>
            <w:r>
              <w:rPr>
                <w:rFonts w:ascii="Arial" w:cs="Arial" w:eastAsia="Arial" w:hAnsi="Arial"/>
                <w:sz w:val="14"/>
                <w:szCs w:val="14"/>
                <w:color w:val="auto"/>
                <w:w w:val="90"/>
              </w:rPr>
              <w:t>(Title of the indenture securities)</w:t>
            </w:r>
          </w:p>
        </w:tc>
        <w:tc>
          <w:tcPr>
            <w:tcW w:w="40" w:type="dxa"/>
            <w:vAlign w:val="bottom"/>
          </w:tcPr>
          <w:p>
            <w:pPr>
              <w:spacing w:after="0"/>
              <w:rPr>
                <w:sz w:val="15"/>
                <w:szCs w:val="15"/>
                <w:color w:val="auto"/>
              </w:rPr>
            </w:pPr>
          </w:p>
        </w:tc>
      </w:tr>
      <w:tr>
        <w:trPr>
          <w:trHeight w:val="167"/>
        </w:trPr>
        <w:tc>
          <w:tcPr>
            <w:tcW w:w="4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4280" w:type="dxa"/>
            <w:vAlign w:val="bottom"/>
            <w:tcBorders>
              <w:bottom w:val="single" w:sz="8" w:color="808080"/>
            </w:tcBorders>
          </w:tcPr>
          <w:p>
            <w:pPr>
              <w:spacing w:after="0"/>
              <w:rPr>
                <w:sz w:val="23"/>
                <w:szCs w:val="23"/>
                <w:color w:val="auto"/>
              </w:rPr>
            </w:pPr>
          </w:p>
        </w:tc>
        <w:tc>
          <w:tcPr>
            <w:tcW w:w="2900" w:type="dxa"/>
            <w:vAlign w:val="bottom"/>
            <w:tcBorders>
              <w:bottom w:val="single" w:sz="8" w:color="808080"/>
            </w:tcBorders>
          </w:tcPr>
          <w:p>
            <w:pPr>
              <w:spacing w:after="0"/>
              <w:rPr>
                <w:sz w:val="23"/>
                <w:szCs w:val="23"/>
                <w:color w:val="auto"/>
              </w:rPr>
            </w:pPr>
          </w:p>
        </w:tc>
        <w:tc>
          <w:tcPr>
            <w:tcW w:w="42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sectPr>
      </w:pPr>
    </w:p>
    <w:bookmarkStart w:id="270" w:name="page271"/>
    <w:bookmarkEnd w:id="270"/>
    <w:p>
      <w:pPr>
        <w:spacing w:after="0"/>
        <w:rPr>
          <w:sz w:val="20"/>
          <w:szCs w:val="20"/>
          <w:color w:val="auto"/>
        </w:rPr>
      </w:pPr>
      <w:r>
        <w:rPr>
          <w:rFonts w:ascii="Arial" w:cs="Arial" w:eastAsia="Arial" w:hAnsi="Arial"/>
          <w:sz w:val="14"/>
          <w:szCs w:val="14"/>
          <w:b w:val="1"/>
          <w:bCs w:val="1"/>
          <w:color w:val="auto"/>
        </w:rPr>
        <w:t>Item 1. General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Furnish the following information as to the trustee.</w:t>
      </w:r>
    </w:p>
    <w:p>
      <w:pPr>
        <w:spacing w:after="0" w:line="171" w:lineRule="exact"/>
        <w:rPr>
          <w:sz w:val="20"/>
          <w:szCs w:val="20"/>
          <w:color w:val="auto"/>
        </w:rPr>
      </w:pPr>
    </w:p>
    <w:p>
      <w:pPr>
        <w:ind w:left="1000" w:hanging="499"/>
        <w:spacing w:after="0"/>
        <w:tabs>
          <w:tab w:leader="none" w:pos="1000" w:val="left"/>
        </w:tabs>
        <w:numPr>
          <w:ilvl w:val="0"/>
          <w:numId w:val="258"/>
        </w:numPr>
        <w:rPr>
          <w:rFonts w:ascii="Arial" w:cs="Arial" w:eastAsia="Arial" w:hAnsi="Arial"/>
          <w:sz w:val="14"/>
          <w:szCs w:val="14"/>
          <w:i w:val="1"/>
          <w:iCs w:val="1"/>
          <w:color w:val="auto"/>
        </w:rPr>
      </w:pPr>
      <w:r>
        <w:rPr>
          <w:rFonts w:ascii="Arial" w:cs="Arial" w:eastAsia="Arial" w:hAnsi="Arial"/>
          <w:sz w:val="14"/>
          <w:szCs w:val="14"/>
          <w:i w:val="1"/>
          <w:iCs w:val="1"/>
          <w:color w:val="auto"/>
        </w:rPr>
        <w:t>Name and address of each examining or supervising authority to which it is subject.</w:t>
      </w:r>
    </w:p>
    <w:p>
      <w:pPr>
        <w:spacing w:after="0" w:line="164" w:lineRule="exact"/>
        <w:rPr>
          <w:sz w:val="20"/>
          <w:szCs w:val="20"/>
          <w:color w:val="auto"/>
        </w:rPr>
      </w:pPr>
    </w:p>
    <w:tbl>
      <w:tblPr>
        <w:tblLayout w:type="fixed"/>
        <w:tblInd w:w="1000" w:type="dxa"/>
        <w:tblCellMar>
          <w:top w:w="0" w:type="dxa"/>
          <w:left w:w="0" w:type="dxa"/>
          <w:bottom w:w="0" w:type="dxa"/>
          <w:right w:w="0" w:type="dxa"/>
        </w:tblCellMar>
      </w:tblPr>
      <w:tr>
        <w:trPr>
          <w:trHeight w:val="131"/>
        </w:trPr>
        <w:tc>
          <w:tcPr>
            <w:tcW w:w="4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80" w:type="dxa"/>
            <w:vAlign w:val="bottom"/>
          </w:tcPr>
          <w:p>
            <w:pPr>
              <w:spacing w:after="0"/>
              <w:rPr>
                <w:sz w:val="11"/>
                <w:szCs w:val="11"/>
                <w:color w:val="auto"/>
              </w:rPr>
            </w:pPr>
          </w:p>
        </w:tc>
        <w:tc>
          <w:tcPr>
            <w:tcW w:w="4840" w:type="dxa"/>
            <w:vAlign w:val="bottom"/>
            <w:tcBorders>
              <w:bottom w:val="single" w:sz="8" w:color="auto"/>
            </w:tcBorders>
          </w:tcPr>
          <w:p>
            <w:pPr>
              <w:ind w:left="2220"/>
              <w:spacing w:after="0"/>
              <w:rPr>
                <w:sz w:val="20"/>
                <w:szCs w:val="20"/>
                <w:color w:val="auto"/>
              </w:rPr>
            </w:pPr>
            <w:r>
              <w:rPr>
                <w:rFonts w:ascii="Arial" w:cs="Arial" w:eastAsia="Arial" w:hAnsi="Arial"/>
                <w:sz w:val="11"/>
                <w:szCs w:val="11"/>
                <w:b w:val="1"/>
                <w:bCs w:val="1"/>
                <w:color w:val="auto"/>
              </w:rPr>
              <w:t>Address</w:t>
            </w:r>
          </w:p>
        </w:tc>
      </w:tr>
      <w:tr>
        <w:trPr>
          <w:trHeight w:val="156"/>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40" w:type="dxa"/>
            <w:vAlign w:val="bottom"/>
          </w:tcPr>
          <w:p>
            <w:pPr>
              <w:spacing w:after="0"/>
              <w:rPr>
                <w:sz w:val="13"/>
                <w:szCs w:val="13"/>
                <w:color w:val="auto"/>
              </w:rPr>
            </w:pPr>
          </w:p>
        </w:tc>
      </w:tr>
      <w:tr>
        <w:trPr>
          <w:trHeight w:val="166"/>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Federal Reserve Bank (2nd District)</w:t>
            </w:r>
          </w:p>
        </w:tc>
        <w:tc>
          <w:tcPr>
            <w:tcW w:w="5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New York, NY</w:t>
            </w:r>
          </w:p>
        </w:tc>
      </w:tr>
      <w:tr>
        <w:trPr>
          <w:trHeight w:val="166"/>
        </w:trPr>
        <w:tc>
          <w:tcPr>
            <w:tcW w:w="4740" w:type="dxa"/>
            <w:vAlign w:val="bottom"/>
          </w:tcPr>
          <w:p>
            <w:pPr>
              <w:spacing w:after="0"/>
              <w:rPr>
                <w:sz w:val="20"/>
                <w:szCs w:val="20"/>
                <w:color w:val="auto"/>
              </w:rPr>
            </w:pPr>
            <w:r>
              <w:rPr>
                <w:rFonts w:ascii="Arial" w:cs="Arial" w:eastAsia="Arial" w:hAnsi="Arial"/>
                <w:sz w:val="14"/>
                <w:szCs w:val="14"/>
                <w:color w:val="auto"/>
              </w:rPr>
              <w:t>Federal Deposit Insurance Corporation</w:t>
            </w:r>
          </w:p>
        </w:tc>
        <w:tc>
          <w:tcPr>
            <w:tcW w:w="5120" w:type="dxa"/>
            <w:vAlign w:val="bottom"/>
            <w:gridSpan w:val="2"/>
          </w:tcPr>
          <w:p>
            <w:pPr>
              <w:ind w:left="280"/>
              <w:spacing w:after="0"/>
              <w:rPr>
                <w:sz w:val="20"/>
                <w:szCs w:val="20"/>
                <w:color w:val="auto"/>
              </w:rPr>
            </w:pPr>
            <w:r>
              <w:rPr>
                <w:rFonts w:ascii="Arial" w:cs="Arial" w:eastAsia="Arial" w:hAnsi="Arial"/>
                <w:sz w:val="14"/>
                <w:szCs w:val="14"/>
                <w:color w:val="auto"/>
              </w:rPr>
              <w:t>Washington, D.C.</w:t>
            </w:r>
          </w:p>
        </w:tc>
      </w:tr>
      <w:tr>
        <w:trPr>
          <w:trHeight w:val="166"/>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New York State Banking Department</w:t>
            </w:r>
          </w:p>
        </w:tc>
        <w:tc>
          <w:tcPr>
            <w:tcW w:w="5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Albany, NY</w:t>
            </w:r>
          </w:p>
        </w:tc>
      </w:tr>
    </w:tbl>
    <w:p>
      <w:pPr>
        <w:spacing w:after="0" w:line="155" w:lineRule="exact"/>
        <w:rPr>
          <w:sz w:val="20"/>
          <w:szCs w:val="20"/>
          <w:color w:val="auto"/>
        </w:rPr>
      </w:pPr>
    </w:p>
    <w:p>
      <w:pPr>
        <w:ind w:left="1000" w:right="7060" w:hanging="499"/>
        <w:spacing w:after="0" w:line="491" w:lineRule="auto"/>
        <w:tabs>
          <w:tab w:leader="none" w:pos="1005"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Whether it is authorized to exercise corporate trust powers. </w:t>
      </w:r>
      <w:r>
        <w:rPr>
          <w:rFonts w:ascii="Arial" w:cs="Arial" w:eastAsia="Arial" w:hAnsi="Arial"/>
          <w:sz w:val="14"/>
          <w:szCs w:val="14"/>
          <w:color w:val="auto"/>
        </w:rPr>
        <w:t>Yes.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Affiliations with the obligor.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If the obligor is an affiliate of the trustee, describe each such affiliation.</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Voting securities of the trustee.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Furnish the following information as to each class of voting securities of the trustee: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As of October 3, 2019 (Insert date within 31 days).</w:t>
      </w:r>
    </w:p>
    <w:p>
      <w:pPr>
        <w:spacing w:after="0" w:line="164" w:lineRule="exact"/>
        <w:rPr>
          <w:sz w:val="20"/>
          <w:szCs w:val="20"/>
          <w:color w:val="auto"/>
        </w:rPr>
      </w:pPr>
    </w:p>
    <w:tbl>
      <w:tblPr>
        <w:tblLayout w:type="fixed"/>
        <w:tblInd w:w="1000" w:type="dxa"/>
        <w:tblCellMar>
          <w:top w:w="0" w:type="dxa"/>
          <w:left w:w="0" w:type="dxa"/>
          <w:bottom w:w="0" w:type="dxa"/>
          <w:right w:w="0" w:type="dxa"/>
        </w:tblCellMar>
      </w:tblPr>
      <w:tr>
        <w:trPr>
          <w:trHeight w:val="131"/>
        </w:trPr>
        <w:tc>
          <w:tcPr>
            <w:tcW w:w="3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Title of Class</w:t>
            </w:r>
          </w:p>
        </w:tc>
        <w:tc>
          <w:tcPr>
            <w:tcW w:w="280" w:type="dxa"/>
            <w:vAlign w:val="bottom"/>
          </w:tcPr>
          <w:p>
            <w:pPr>
              <w:spacing w:after="0"/>
              <w:rPr>
                <w:sz w:val="11"/>
                <w:szCs w:val="11"/>
                <w:color w:val="auto"/>
              </w:rPr>
            </w:pPr>
          </w:p>
        </w:tc>
        <w:tc>
          <w:tcPr>
            <w:tcW w:w="6420" w:type="dxa"/>
            <w:vAlign w:val="bottom"/>
            <w:tcBorders>
              <w:bottom w:val="single" w:sz="8" w:color="auto"/>
            </w:tcBorders>
          </w:tcPr>
          <w:p>
            <w:pPr>
              <w:ind w:left="2700"/>
              <w:spacing w:after="0"/>
              <w:rPr>
                <w:sz w:val="20"/>
                <w:szCs w:val="20"/>
                <w:color w:val="auto"/>
              </w:rPr>
            </w:pPr>
            <w:r>
              <w:rPr>
                <w:rFonts w:ascii="Arial" w:cs="Arial" w:eastAsia="Arial" w:hAnsi="Arial"/>
                <w:sz w:val="11"/>
                <w:szCs w:val="11"/>
                <w:b w:val="1"/>
                <w:bCs w:val="1"/>
                <w:color w:val="auto"/>
              </w:rPr>
              <w:t>Amount Outstanding</w:t>
            </w:r>
          </w:p>
        </w:tc>
      </w:tr>
      <w:tr>
        <w:trPr>
          <w:trHeight w:val="156"/>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20" w:type="dxa"/>
            <w:vAlign w:val="bottom"/>
          </w:tcPr>
          <w:p>
            <w:pPr>
              <w:spacing w:after="0"/>
              <w:rPr>
                <w:sz w:val="13"/>
                <w:szCs w:val="13"/>
                <w:color w:val="auto"/>
              </w:rPr>
            </w:pPr>
          </w:p>
        </w:tc>
      </w:tr>
      <w:tr>
        <w:trPr>
          <w:trHeight w:val="166"/>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Common Shares</w:t>
            </w:r>
          </w:p>
        </w:tc>
        <w:tc>
          <w:tcPr>
            <w:tcW w:w="6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212,730,867 shares</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Trusteeships under other indentures.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auto"/>
        </w:rPr>
        <w:t>Deutsche Bank Trust Company Americas (“</w:t>
      </w:r>
      <w:r>
        <w:rPr>
          <w:rFonts w:ascii="Arial" w:cs="Arial" w:eastAsia="Arial" w:hAnsi="Arial"/>
          <w:sz w:val="12"/>
          <w:szCs w:val="12"/>
          <w:u w:val="single" w:color="auto"/>
          <w:color w:val="auto"/>
        </w:rPr>
        <w:t>DBTCA</w:t>
      </w:r>
      <w:r>
        <w:rPr>
          <w:rFonts w:ascii="Arial" w:cs="Arial" w:eastAsia="Arial" w:hAnsi="Arial"/>
          <w:sz w:val="12"/>
          <w:szCs w:val="12"/>
          <w:color w:val="auto"/>
        </w:rPr>
        <w:t>”) is the indenture trustee under (a) that certain Indenture, dated as of October 1, 2003, as amended, restated, modified, supplemented or replaced from time to time (the “</w:t>
      </w:r>
      <w:r>
        <w:rPr>
          <w:rFonts w:ascii="Arial" w:cs="Arial" w:eastAsia="Arial" w:hAnsi="Arial"/>
          <w:sz w:val="12"/>
          <w:szCs w:val="12"/>
          <w:u w:val="single" w:color="auto"/>
          <w:color w:val="auto"/>
        </w:rPr>
        <w:t>2003 Indenture</w:t>
      </w:r>
      <w:r>
        <w:rPr>
          <w:rFonts w:ascii="Arial" w:cs="Arial" w:eastAsia="Arial" w:hAnsi="Arial"/>
          <w:sz w:val="12"/>
          <w:szCs w:val="12"/>
          <w:color w:val="auto"/>
        </w:rPr>
        <w:t>”), by and among DBTCA, as Trustee, Weatherford International Ltd. (“</w:t>
      </w:r>
      <w:r>
        <w:rPr>
          <w:rFonts w:ascii="Arial" w:cs="Arial" w:eastAsia="Arial" w:hAnsi="Arial"/>
          <w:sz w:val="12"/>
          <w:szCs w:val="12"/>
          <w:u w:val="single" w:color="auto"/>
          <w:color w:val="auto"/>
        </w:rPr>
        <w:t>Weatherford Bermuda</w:t>
      </w:r>
      <w:r>
        <w:rPr>
          <w:rFonts w:ascii="Arial" w:cs="Arial" w:eastAsia="Arial" w:hAnsi="Arial"/>
          <w:sz w:val="12"/>
          <w:szCs w:val="12"/>
          <w:color w:val="auto"/>
        </w:rPr>
        <w:t>”), as Issuer, and Weatherford International, plc (“</w:t>
      </w:r>
      <w:r>
        <w:rPr>
          <w:rFonts w:ascii="Arial" w:cs="Arial" w:eastAsia="Arial" w:hAnsi="Arial"/>
          <w:sz w:val="12"/>
          <w:szCs w:val="12"/>
          <w:u w:val="single" w:color="auto"/>
          <w:color w:val="auto"/>
        </w:rPr>
        <w:t>Weatherford Ireland</w:t>
      </w:r>
      <w:r>
        <w:rPr>
          <w:rFonts w:ascii="Arial" w:cs="Arial" w:eastAsia="Arial" w:hAnsi="Arial"/>
          <w:sz w:val="12"/>
          <w:szCs w:val="12"/>
          <w:color w:val="auto"/>
        </w:rPr>
        <w:t>”) and Weatherford International, LLC (f/k/a Weatherford International, Inc.) (“</w:t>
      </w:r>
      <w:r>
        <w:rPr>
          <w:rFonts w:ascii="Arial" w:cs="Arial" w:eastAsia="Arial" w:hAnsi="Arial"/>
          <w:sz w:val="12"/>
          <w:szCs w:val="12"/>
          <w:u w:val="single" w:color="auto"/>
          <w:color w:val="auto"/>
        </w:rPr>
        <w:t>Weatherford Delaware</w:t>
      </w:r>
      <w:r>
        <w:rPr>
          <w:rFonts w:ascii="Arial" w:cs="Arial" w:eastAsia="Arial" w:hAnsi="Arial"/>
          <w:sz w:val="12"/>
          <w:szCs w:val="12"/>
          <w:color w:val="auto"/>
        </w:rPr>
        <w:t>”, and collectively with Weatherford Bermuda and Weatherford Ireland, “</w:t>
      </w:r>
      <w:r>
        <w:rPr>
          <w:rFonts w:ascii="Arial" w:cs="Arial" w:eastAsia="Arial" w:hAnsi="Arial"/>
          <w:sz w:val="12"/>
          <w:szCs w:val="12"/>
          <w:u w:val="single" w:color="auto"/>
          <w:color w:val="auto"/>
        </w:rPr>
        <w:t>Weatherford</w:t>
      </w:r>
      <w:r>
        <w:rPr>
          <w:rFonts w:ascii="Arial" w:cs="Arial" w:eastAsia="Arial" w:hAnsi="Arial"/>
          <w:sz w:val="12"/>
          <w:szCs w:val="12"/>
          <w:color w:val="auto"/>
        </w:rPr>
        <w:t>”), as Guarantors, pursuant to which Weatherford Bermuda issued (i) those certain 5.125% Senior Notes due 2020; (ii) those certain 7.75% Senior Notes due 2021; (iii) those certain 5.875% Exchangeable Senior Notes due 2021; (iv) those certain 4.50% Senior Notes due 2022; (v) those certain 8.25% Senior Notes due 2023; (vi) those certain 9.875% Senior Notes due 2024; (vii) those certain 6.50% Senior Notes due 2036;</w:t>
      </w:r>
    </w:p>
    <w:p>
      <w:pPr>
        <w:spacing w:after="0" w:line="2" w:lineRule="exact"/>
        <w:rPr>
          <w:sz w:val="20"/>
          <w:szCs w:val="20"/>
          <w:color w:val="auto"/>
        </w:rPr>
      </w:pPr>
    </w:p>
    <w:p>
      <w:pPr>
        <w:ind w:left="320" w:hanging="317"/>
        <w:spacing w:after="0"/>
        <w:tabs>
          <w:tab w:leader="none" w:pos="32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those certain 7.00% Senior Notes due 2038; (ix) those certain 9.875% Senior Notes due 2039; (x) those certain 6.75% Senior Notes due 2040; and (xi) those certain 5.95% Senior Notes due 2042; and</w:t>
      </w:r>
    </w:p>
    <w:p>
      <w:pPr>
        <w:spacing w:after="0" w:line="27" w:lineRule="exact"/>
        <w:rPr>
          <w:rFonts w:ascii="Arial" w:cs="Arial" w:eastAsia="Arial" w:hAnsi="Arial"/>
          <w:sz w:val="12"/>
          <w:szCs w:val="12"/>
          <w:color w:val="auto"/>
        </w:rPr>
      </w:pPr>
    </w:p>
    <w:p>
      <w:pPr>
        <w:ind w:right="140"/>
        <w:spacing w:after="0" w:line="249" w:lineRule="auto"/>
        <w:rPr>
          <w:rFonts w:ascii="Arial" w:cs="Arial" w:eastAsia="Arial" w:hAnsi="Arial"/>
          <w:sz w:val="12"/>
          <w:szCs w:val="12"/>
          <w:color w:val="auto"/>
        </w:rPr>
      </w:pPr>
      <w:r>
        <w:rPr>
          <w:rFonts w:ascii="Arial" w:cs="Arial" w:eastAsia="Arial" w:hAnsi="Arial"/>
          <w:sz w:val="14"/>
          <w:szCs w:val="14"/>
          <w:color w:val="auto"/>
        </w:rPr>
        <w:t>(b) that certain Indenture, dated as of June 18, 2007, as amended, restated, modified, supplemented or replaced from time to time (the “</w:t>
      </w:r>
      <w:r>
        <w:rPr>
          <w:rFonts w:ascii="Arial" w:cs="Arial" w:eastAsia="Arial" w:hAnsi="Arial"/>
          <w:sz w:val="14"/>
          <w:szCs w:val="14"/>
          <w:u w:val="single" w:color="auto"/>
          <w:color w:val="auto"/>
        </w:rPr>
        <w:t>2007 Indenture</w:t>
      </w:r>
      <w:r>
        <w:rPr>
          <w:rFonts w:ascii="Arial" w:cs="Arial" w:eastAsia="Arial" w:hAnsi="Arial"/>
          <w:sz w:val="14"/>
          <w:szCs w:val="14"/>
          <w:color w:val="auto"/>
        </w:rPr>
        <w:t>”, and together with the 2003 Indenture, the “</w:t>
      </w:r>
      <w:r>
        <w:rPr>
          <w:rFonts w:ascii="Arial" w:cs="Arial" w:eastAsia="Arial" w:hAnsi="Arial"/>
          <w:sz w:val="14"/>
          <w:szCs w:val="14"/>
          <w:u w:val="single" w:color="auto"/>
          <w:color w:val="auto"/>
        </w:rPr>
        <w:t>Indentures</w:t>
      </w:r>
      <w:r>
        <w:rPr>
          <w:rFonts w:ascii="Arial" w:cs="Arial" w:eastAsia="Arial" w:hAnsi="Arial"/>
          <w:sz w:val="14"/>
          <w:szCs w:val="14"/>
          <w:color w:val="auto"/>
        </w:rPr>
        <w:t>”, and each an “</w:t>
      </w:r>
      <w:r>
        <w:rPr>
          <w:rFonts w:ascii="Arial" w:cs="Arial" w:eastAsia="Arial" w:hAnsi="Arial"/>
          <w:sz w:val="14"/>
          <w:szCs w:val="14"/>
          <w:u w:val="single" w:color="auto"/>
          <w:color w:val="auto"/>
        </w:rPr>
        <w:t>Indenture</w:t>
      </w:r>
      <w:r>
        <w:rPr>
          <w:rFonts w:ascii="Arial" w:cs="Arial" w:eastAsia="Arial" w:hAnsi="Arial"/>
          <w:sz w:val="14"/>
          <w:szCs w:val="14"/>
          <w:color w:val="auto"/>
        </w:rPr>
        <w:t>”), by and among DBTCA, as Trustee, Weatherford Delaware, as Issuer, and Weatherford Ireland and Weatherford Bermuda, as Guarantors, pursuant to which Weatherford Delaware issued (i) those certain 9.875% Senior Notes due 2025; and (ii) those certain 6.80% Senior Notes due 2037. The notes listed above issued pursuant to the Indentures are referred to herein collectively as the “</w:t>
      </w:r>
      <w:r>
        <w:rPr>
          <w:rFonts w:ascii="Arial" w:cs="Arial" w:eastAsia="Arial" w:hAnsi="Arial"/>
          <w:sz w:val="14"/>
          <w:szCs w:val="14"/>
          <w:u w:val="single" w:color="auto"/>
          <w:color w:val="auto"/>
        </w:rPr>
        <w:t>Old Notes</w:t>
      </w:r>
      <w:r>
        <w:rPr>
          <w:rFonts w:ascii="Arial" w:cs="Arial" w:eastAsia="Arial" w:hAnsi="Arial"/>
          <w:sz w:val="14"/>
          <w:szCs w:val="14"/>
          <w:color w:val="auto"/>
        </w:rPr>
        <w:t>”.</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Events of Default have occurred under the terms of the Indentures with respect to all of the Old Notes based on Weatherford’s commencement of bankruptcy cases (the “</w:t>
      </w:r>
      <w:r>
        <w:rPr>
          <w:rFonts w:ascii="Arial" w:cs="Arial" w:eastAsia="Arial" w:hAnsi="Arial"/>
          <w:sz w:val="14"/>
          <w:szCs w:val="14"/>
          <w:u w:val="single" w:color="auto"/>
          <w:color w:val="auto"/>
        </w:rPr>
        <w:t>Chapter 11 Cases</w:t>
      </w:r>
      <w:r>
        <w:rPr>
          <w:rFonts w:ascii="Arial" w:cs="Arial" w:eastAsia="Arial" w:hAnsi="Arial"/>
          <w:sz w:val="14"/>
          <w:szCs w:val="14"/>
          <w:color w:val="auto"/>
        </w:rPr>
        <w:t>”) on July 1, 2019, by the filing of voluntary petitions for relief under chapter 11 of title 11 of the United States Code (</w:t>
      </w:r>
      <w:r>
        <w:rPr>
          <w:rFonts w:ascii="Arial" w:cs="Arial" w:eastAsia="Arial" w:hAnsi="Arial"/>
          <w:sz w:val="14"/>
          <w:szCs w:val="14"/>
          <w:i w:val="1"/>
          <w:iCs w:val="1"/>
          <w:color w:val="auto"/>
        </w:rPr>
        <w:t>i.e.</w:t>
      </w:r>
      <w:r>
        <w:rPr>
          <w:rFonts w:ascii="Arial" w:cs="Arial" w:eastAsia="Arial" w:hAnsi="Arial"/>
          <w:sz w:val="14"/>
          <w:szCs w:val="14"/>
          <w:color w:val="auto"/>
        </w:rPr>
        <w:t>, the Bankruptcy Code) in the United States Bankruptcy Court for the Southern District of Texas, Houston Division (the “</w:t>
      </w:r>
      <w:r>
        <w:rPr>
          <w:rFonts w:ascii="Arial" w:cs="Arial" w:eastAsia="Arial" w:hAnsi="Arial"/>
          <w:sz w:val="14"/>
          <w:szCs w:val="14"/>
          <w:u w:val="single" w:color="auto"/>
          <w:color w:val="auto"/>
        </w:rPr>
        <w:t>Bankruptcy Court</w:t>
      </w:r>
      <w:r>
        <w:rPr>
          <w:rFonts w:ascii="Arial" w:cs="Arial" w:eastAsia="Arial" w:hAnsi="Arial"/>
          <w:sz w:val="14"/>
          <w:szCs w:val="14"/>
          <w:color w:val="auto"/>
        </w:rPr>
        <w:t>”).</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On September 11, 2019, the Bankruptcy Court entered an Order confirming Weatherford’s plan of reorganization, the </w:t>
      </w:r>
      <w:r>
        <w:rPr>
          <w:rFonts w:ascii="Arial" w:cs="Arial" w:eastAsia="Arial" w:hAnsi="Arial"/>
          <w:sz w:val="14"/>
          <w:szCs w:val="14"/>
          <w:i w:val="1"/>
          <w:iCs w:val="1"/>
          <w:color w:val="auto"/>
        </w:rPr>
        <w:t>Second Amended Joint Prepackaged Plan of Reorganization for Weatherford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International plc and Its Affiliate Debtors Under Chapter 11 of the Bankruptcy Code </w:t>
      </w:r>
      <w:r>
        <w:rPr>
          <w:rFonts w:ascii="Arial" w:cs="Arial" w:eastAsia="Arial" w:hAnsi="Arial"/>
          <w:sz w:val="14"/>
          <w:szCs w:val="14"/>
          <w:color w:val="auto"/>
        </w:rPr>
        <w:t>(the “</w:t>
      </w:r>
      <w:r>
        <w:rPr>
          <w:rFonts w:ascii="Arial" w:cs="Arial" w:eastAsia="Arial" w:hAnsi="Arial"/>
          <w:sz w:val="14"/>
          <w:szCs w:val="14"/>
          <w:u w:val="single" w:color="auto"/>
          <w:color w:val="auto"/>
        </w:rPr>
        <w:t>Second Amended Plan</w:t>
      </w:r>
      <w:r>
        <w:rPr>
          <w:rFonts w:ascii="Arial" w:cs="Arial" w:eastAsia="Arial" w:hAnsi="Arial"/>
          <w:sz w:val="14"/>
          <w:szCs w:val="14"/>
          <w:color w:val="auto"/>
        </w:rPr>
        <w:t>”). The Second Amended Plan will become effective on the date on which all conditions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effectiveness of the Second Amended Plan have been satisfied or waived (the “</w:t>
      </w:r>
      <w:r>
        <w:rPr>
          <w:rFonts w:ascii="Arial" w:cs="Arial" w:eastAsia="Arial" w:hAnsi="Arial"/>
          <w:sz w:val="14"/>
          <w:szCs w:val="14"/>
          <w:u w:val="single" w:color="auto"/>
          <w:color w:val="auto"/>
        </w:rPr>
        <w:t>Effective Date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7297420"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1" w:right="319" w:bottom="1440" w:gutter="0" w:footer="0" w:header="0"/>
        </w:sectPr>
      </w:pPr>
    </w:p>
    <w:bookmarkStart w:id="271" w:name="page272"/>
    <w:bookmarkEnd w:id="271"/>
    <w:p>
      <w:pPr>
        <w:ind w:right="100"/>
        <w:spacing w:after="0" w:line="258" w:lineRule="auto"/>
        <w:rPr>
          <w:sz w:val="20"/>
          <w:szCs w:val="20"/>
          <w:color w:val="auto"/>
        </w:rPr>
      </w:pPr>
      <w:r>
        <w:rPr>
          <w:rFonts w:ascii="Arial" w:cs="Arial" w:eastAsia="Arial" w:hAnsi="Arial"/>
          <w:sz w:val="14"/>
          <w:szCs w:val="14"/>
          <w:color w:val="auto"/>
        </w:rPr>
        <w:t>Pursuant to the Second Amended Plan, Weatherford will offer, pursuant to a rights offering (the “</w:t>
      </w:r>
      <w:r>
        <w:rPr>
          <w:rFonts w:ascii="Arial" w:cs="Arial" w:eastAsia="Arial" w:hAnsi="Arial"/>
          <w:sz w:val="14"/>
          <w:szCs w:val="14"/>
          <w:u w:val="single" w:color="auto"/>
          <w:color w:val="auto"/>
        </w:rPr>
        <w:t>Rights Offering</w:t>
      </w:r>
      <w:r>
        <w:rPr>
          <w:rFonts w:ascii="Arial" w:cs="Arial" w:eastAsia="Arial" w:hAnsi="Arial"/>
          <w:sz w:val="14"/>
          <w:szCs w:val="14"/>
          <w:color w:val="auto"/>
        </w:rPr>
        <w:t>”), to holders (collectively, the “</w:t>
      </w:r>
      <w:r>
        <w:rPr>
          <w:rFonts w:ascii="Arial" w:cs="Arial" w:eastAsia="Arial" w:hAnsi="Arial"/>
          <w:sz w:val="14"/>
          <w:szCs w:val="14"/>
          <w:u w:val="single" w:color="auto"/>
          <w:color w:val="auto"/>
        </w:rPr>
        <w:t>Allowed Claim Holders</w:t>
      </w:r>
      <w:r>
        <w:rPr>
          <w:rFonts w:ascii="Arial" w:cs="Arial" w:eastAsia="Arial" w:hAnsi="Arial"/>
          <w:sz w:val="14"/>
          <w:szCs w:val="14"/>
          <w:color w:val="auto"/>
        </w:rPr>
        <w:t xml:space="preserve">”) of the Old Notes subscription rights to acquire each such Allowed Claim Holder’s corresponding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share of up to $1.6 billion aggregate principal amount of 11.000% Senior Unsecured Notes due 2024 (the “</w:t>
      </w:r>
      <w:r>
        <w:rPr>
          <w:rFonts w:ascii="Arial" w:cs="Arial" w:eastAsia="Arial" w:hAnsi="Arial"/>
          <w:sz w:val="14"/>
          <w:szCs w:val="14"/>
          <w:u w:val="single" w:color="auto"/>
          <w:color w:val="auto"/>
        </w:rPr>
        <w:t>2024 Notes</w:t>
      </w:r>
      <w:r>
        <w:rPr>
          <w:rFonts w:ascii="Arial" w:cs="Arial" w:eastAsia="Arial" w:hAnsi="Arial"/>
          <w:sz w:val="14"/>
          <w:szCs w:val="14"/>
          <w:color w:val="auto"/>
        </w:rPr>
        <w:t xml:space="preserve">”) for cash. Additionally, $500 million aggregate principal amount of the 2024 Notes will be issued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to Allowed Claim Holders.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In connection with the Rights Offering, Weatherford entered into a backstop commitment agreement with certain holders of the Old Notes (the “</w:t>
      </w:r>
      <w:r>
        <w:rPr>
          <w:rFonts w:ascii="Arial" w:cs="Arial" w:eastAsia="Arial" w:hAnsi="Arial"/>
          <w:sz w:val="14"/>
          <w:szCs w:val="14"/>
          <w:u w:val="single" w:color="auto"/>
          <w:color w:val="auto"/>
        </w:rPr>
        <w:t>Backstop Parties</w:t>
      </w:r>
      <w:r>
        <w:rPr>
          <w:rFonts w:ascii="Arial" w:cs="Arial" w:eastAsia="Arial" w:hAnsi="Arial"/>
          <w:sz w:val="14"/>
          <w:szCs w:val="14"/>
          <w:color w:val="auto"/>
        </w:rPr>
        <w:t>”) pursuant to which the Backstop Parties will commit to purchase any 2024 Notes not subscribed for in the Rights Offering.</w:t>
      </w:r>
    </w:p>
    <w:p>
      <w:pPr>
        <w:spacing w:after="0" w:line="138" w:lineRule="exact"/>
        <w:rPr>
          <w:sz w:val="20"/>
          <w:szCs w:val="20"/>
          <w:color w:val="auto"/>
        </w:rPr>
      </w:pPr>
    </w:p>
    <w:p>
      <w:pPr>
        <w:ind w:right="120"/>
        <w:spacing w:after="0" w:line="353" w:lineRule="auto"/>
        <w:rPr>
          <w:sz w:val="20"/>
          <w:szCs w:val="20"/>
          <w:color w:val="auto"/>
        </w:rPr>
      </w:pPr>
      <w:r>
        <w:rPr>
          <w:rFonts w:ascii="Arial" w:cs="Arial" w:eastAsia="Arial" w:hAnsi="Arial"/>
          <w:sz w:val="12"/>
          <w:szCs w:val="12"/>
          <w:color w:val="auto"/>
        </w:rPr>
        <w:t>As contemplated by the Second Amended Plan, the 2024 Notes will be issued by Reorganized Weatherford Delaware and/or Reorganized Weatherford Bermuda, or both, on the Effective Date of the Second Amended Plan, and will be governed by a new indenture (the “</w:t>
      </w:r>
      <w:r>
        <w:rPr>
          <w:rFonts w:ascii="Arial" w:cs="Arial" w:eastAsia="Arial" w:hAnsi="Arial"/>
          <w:sz w:val="12"/>
          <w:szCs w:val="12"/>
          <w:u w:val="single" w:color="auto"/>
          <w:color w:val="auto"/>
        </w:rPr>
        <w:t>New Indenture</w:t>
      </w:r>
      <w:r>
        <w:rPr>
          <w:rFonts w:ascii="Arial" w:cs="Arial" w:eastAsia="Arial" w:hAnsi="Arial"/>
          <w:sz w:val="12"/>
          <w:szCs w:val="12"/>
          <w:color w:val="auto"/>
        </w:rPr>
        <w:t>”). This Form T-1 is being filed as an exhibit to the Amendment No. 3 to Form T-3 being filed to qualify such New Indenture.</w:t>
      </w:r>
    </w:p>
    <w:p>
      <w:pPr>
        <w:spacing w:after="0" w:line="92"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There would be no “conflicting interest” within the meaning of Section 310(b)(1) of the Trust Indenture Act of 1939 based on DBTCA acting as indenture trustee under the New Indentures because, pursuant to the terms of the Second Amended Plan, the Indentures and all of the Old Notes shall be fully released, terminated, extinguished and discharged on the Effective Date of the Second Amended Plan and before the execution of the New Indenture and the issuance of the 2024 Notes (except that the Indentures and all of the Old Notes shall continue in effect for the limited purpose of allowing holders of claims thereunder to receive, and the indenture trustee to in its capacity as Distribution Agent under the Second Amended Plan make, distributions thereunder, and permitting the indenture trustee to exercise its charging lien against such distributions for payment of any unpaid portion of its fees and expenses, and shall terminate completely upon completion of the distributions with respect to specific claims, all in connection with the Chapter 11 Cases and as set forth in the Second Amended Plan).</w:t>
      </w:r>
    </w:p>
    <w:p>
      <w:pPr>
        <w:spacing w:after="0" w:line="13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Items 5 - 12.</w:t>
      </w:r>
      <w:r>
        <w:rPr>
          <w:sz w:val="20"/>
          <w:szCs w:val="20"/>
          <w:color w:val="auto"/>
        </w:rPr>
        <w:tab/>
      </w:r>
      <w:r>
        <w:rPr>
          <w:rFonts w:ascii="Arial" w:cs="Arial" w:eastAsia="Arial" w:hAnsi="Arial"/>
          <w:sz w:val="12"/>
          <w:szCs w:val="12"/>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Defaults by the obligor. </w:t>
      </w:r>
      <w:r>
        <w:rPr>
          <w:rFonts w:ascii="Arial" w:cs="Arial" w:eastAsia="Arial" w:hAnsi="Arial"/>
          <w:sz w:val="14"/>
          <w:szCs w:val="14"/>
          <w:color w:val="auto"/>
        </w:rPr>
        <w:t>See response to Item 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60" w:type="dxa"/>
            <w:vAlign w:val="bottom"/>
          </w:tcPr>
          <w:p>
            <w:pPr>
              <w:spacing w:after="0"/>
              <w:rPr>
                <w:sz w:val="20"/>
                <w:szCs w:val="20"/>
                <w:color w:val="auto"/>
              </w:rPr>
            </w:pPr>
            <w:r>
              <w:rPr>
                <w:rFonts w:ascii="Arial" w:cs="Arial" w:eastAsia="Arial" w:hAnsi="Arial"/>
                <w:sz w:val="14"/>
                <w:szCs w:val="14"/>
                <w:b w:val="1"/>
                <w:bCs w:val="1"/>
                <w:color w:val="auto"/>
              </w:rPr>
              <w:t xml:space="preserve">Items 14 – 15.   </w:t>
            </w:r>
            <w:r>
              <w:rPr>
                <w:rFonts w:ascii="Arial" w:cs="Arial" w:eastAsia="Arial" w:hAnsi="Arial"/>
                <w:sz w:val="14"/>
                <w:szCs w:val="14"/>
                <w:color w:val="auto"/>
              </w:rPr>
              <w:t>Not applicable.</w:t>
            </w:r>
          </w:p>
        </w:tc>
        <w:tc>
          <w:tcPr>
            <w:tcW w:w="9140" w:type="dxa"/>
            <w:vAlign w:val="bottom"/>
          </w:tcPr>
          <w:p>
            <w:pPr>
              <w:spacing w:after="0"/>
              <w:rPr>
                <w:sz w:val="15"/>
                <w:szCs w:val="15"/>
                <w:color w:val="auto"/>
              </w:rPr>
            </w:pPr>
          </w:p>
        </w:tc>
      </w:tr>
      <w:tr>
        <w:trPr>
          <w:trHeight w:val="332"/>
        </w:trPr>
        <w:tc>
          <w:tcPr>
            <w:tcW w:w="2360" w:type="dxa"/>
            <w:vAlign w:val="bottom"/>
          </w:tcPr>
          <w:p>
            <w:pPr>
              <w:spacing w:after="0"/>
              <w:rPr>
                <w:sz w:val="20"/>
                <w:szCs w:val="20"/>
                <w:color w:val="auto"/>
              </w:rPr>
            </w:pPr>
            <w:r>
              <w:rPr>
                <w:rFonts w:ascii="Arial" w:cs="Arial" w:eastAsia="Arial" w:hAnsi="Arial"/>
                <w:sz w:val="14"/>
                <w:szCs w:val="14"/>
                <w:b w:val="1"/>
                <w:bCs w:val="1"/>
                <w:color w:val="auto"/>
              </w:rPr>
              <w:t>Item 16. List of exhibits.</w:t>
            </w:r>
          </w:p>
        </w:tc>
        <w:tc>
          <w:tcPr>
            <w:tcW w:w="9140" w:type="dxa"/>
            <w:vAlign w:val="bottom"/>
          </w:tcPr>
          <w:p>
            <w:pPr>
              <w:spacing w:after="0"/>
              <w:rPr>
                <w:sz w:val="24"/>
                <w:szCs w:val="24"/>
                <w:color w:val="auto"/>
              </w:rPr>
            </w:pPr>
          </w:p>
        </w:tc>
      </w:tr>
      <w:tr>
        <w:trPr>
          <w:trHeight w:val="323"/>
        </w:trPr>
        <w:tc>
          <w:tcPr>
            <w:tcW w:w="2360" w:type="dxa"/>
            <w:vAlign w:val="bottom"/>
          </w:tcPr>
          <w:p>
            <w:pPr>
              <w:ind w:left="740"/>
              <w:spacing w:after="0"/>
              <w:rPr>
                <w:sz w:val="20"/>
                <w:szCs w:val="20"/>
                <w:color w:val="auto"/>
              </w:rPr>
            </w:pPr>
            <w:r>
              <w:rPr>
                <w:rFonts w:ascii="Arial" w:cs="Arial" w:eastAsia="Arial" w:hAnsi="Arial"/>
                <w:sz w:val="14"/>
                <w:szCs w:val="14"/>
                <w:color w:val="auto"/>
              </w:rPr>
              <w:t>Exhibit 1 -</w:t>
            </w:r>
          </w:p>
        </w:tc>
        <w:tc>
          <w:tcPr>
            <w:tcW w:w="9140" w:type="dxa"/>
            <w:vAlign w:val="bottom"/>
          </w:tcPr>
          <w:p>
            <w:pPr>
              <w:ind w:left="520"/>
              <w:spacing w:after="0"/>
              <w:rPr>
                <w:sz w:val="20"/>
                <w:szCs w:val="20"/>
                <w:color w:val="auto"/>
              </w:rPr>
            </w:pPr>
            <w:r>
              <w:rPr>
                <w:rFonts w:ascii="Arial" w:cs="Arial" w:eastAsia="Arial" w:hAnsi="Arial"/>
                <w:sz w:val="14"/>
                <w:szCs w:val="14"/>
                <w:color w:val="auto"/>
                <w:w w:val="90"/>
              </w:rPr>
              <w:t>Restated Organization Certificate of Bankers Trust Company dated August 31, 1998; Certificate of Amendment of the Organization Certificate of Bankers</w:t>
            </w:r>
          </w:p>
        </w:tc>
      </w:tr>
      <w:tr>
        <w:trPr>
          <w:trHeight w:val="166"/>
        </w:trPr>
        <w:tc>
          <w:tcPr>
            <w:tcW w:w="2360" w:type="dxa"/>
            <w:vAlign w:val="bottom"/>
          </w:tcPr>
          <w:p>
            <w:pPr>
              <w:spacing w:after="0"/>
              <w:rPr>
                <w:sz w:val="14"/>
                <w:szCs w:val="14"/>
                <w:color w:val="auto"/>
              </w:rPr>
            </w:pPr>
          </w:p>
        </w:tc>
        <w:tc>
          <w:tcPr>
            <w:tcW w:w="9140" w:type="dxa"/>
            <w:vAlign w:val="bottom"/>
          </w:tcPr>
          <w:p>
            <w:pPr>
              <w:ind w:left="520"/>
              <w:spacing w:after="0"/>
              <w:rPr>
                <w:sz w:val="20"/>
                <w:szCs w:val="20"/>
                <w:color w:val="auto"/>
              </w:rPr>
            </w:pPr>
            <w:r>
              <w:rPr>
                <w:rFonts w:ascii="Arial" w:cs="Arial" w:eastAsia="Arial" w:hAnsi="Arial"/>
                <w:sz w:val="14"/>
                <w:szCs w:val="14"/>
                <w:color w:val="auto"/>
                <w:w w:val="93"/>
              </w:rPr>
              <w:t>Trust Company dated September 25, 1998; Certificate of Amendment of the Organization Certificate of Bankers Trust Company dated December 18,</w:t>
            </w:r>
          </w:p>
        </w:tc>
      </w:tr>
      <w:tr>
        <w:trPr>
          <w:trHeight w:val="166"/>
        </w:trPr>
        <w:tc>
          <w:tcPr>
            <w:tcW w:w="2360" w:type="dxa"/>
            <w:vAlign w:val="bottom"/>
          </w:tcPr>
          <w:p>
            <w:pPr>
              <w:spacing w:after="0"/>
              <w:rPr>
                <w:sz w:val="14"/>
                <w:szCs w:val="14"/>
                <w:color w:val="auto"/>
              </w:rPr>
            </w:pPr>
          </w:p>
        </w:tc>
        <w:tc>
          <w:tcPr>
            <w:tcW w:w="9140" w:type="dxa"/>
            <w:vAlign w:val="bottom"/>
          </w:tcPr>
          <w:p>
            <w:pPr>
              <w:ind w:left="520"/>
              <w:spacing w:after="0"/>
              <w:rPr>
                <w:sz w:val="20"/>
                <w:szCs w:val="20"/>
                <w:color w:val="auto"/>
              </w:rPr>
            </w:pPr>
            <w:r>
              <w:rPr>
                <w:rFonts w:ascii="Arial" w:cs="Arial" w:eastAsia="Arial" w:hAnsi="Arial"/>
                <w:sz w:val="14"/>
                <w:szCs w:val="14"/>
                <w:color w:val="auto"/>
                <w:w w:val="90"/>
              </w:rPr>
              <w:t>1998; Certificate of Amendment of the Organization Certificate of Bankers Trust Company dated September 3, 1999; and Certificate of Amendment of the</w:t>
            </w:r>
          </w:p>
        </w:tc>
      </w:tr>
      <w:tr>
        <w:trPr>
          <w:trHeight w:val="166"/>
        </w:trPr>
        <w:tc>
          <w:tcPr>
            <w:tcW w:w="2360" w:type="dxa"/>
            <w:vAlign w:val="bottom"/>
          </w:tcPr>
          <w:p>
            <w:pPr>
              <w:spacing w:after="0"/>
              <w:rPr>
                <w:sz w:val="14"/>
                <w:szCs w:val="14"/>
                <w:color w:val="auto"/>
              </w:rPr>
            </w:pPr>
          </w:p>
        </w:tc>
        <w:tc>
          <w:tcPr>
            <w:tcW w:w="9140" w:type="dxa"/>
            <w:vAlign w:val="bottom"/>
          </w:tcPr>
          <w:p>
            <w:pPr>
              <w:ind w:left="520"/>
              <w:spacing w:after="0"/>
              <w:rPr>
                <w:sz w:val="20"/>
                <w:szCs w:val="20"/>
                <w:color w:val="auto"/>
              </w:rPr>
            </w:pPr>
            <w:r>
              <w:rPr>
                <w:rFonts w:ascii="Arial" w:cs="Arial" w:eastAsia="Arial" w:hAnsi="Arial"/>
                <w:sz w:val="14"/>
                <w:szCs w:val="14"/>
                <w:color w:val="auto"/>
                <w:w w:val="92"/>
              </w:rPr>
              <w:t>Organization Certificate of Bankers Trust Company dated March 14, 2002, incorporated herein by reference to Exhibit 1 filed with Form T-1 Statement,</w:t>
            </w:r>
          </w:p>
        </w:tc>
      </w:tr>
      <w:tr>
        <w:trPr>
          <w:trHeight w:val="175"/>
        </w:trPr>
        <w:tc>
          <w:tcPr>
            <w:tcW w:w="2360" w:type="dxa"/>
            <w:vAlign w:val="bottom"/>
          </w:tcPr>
          <w:p>
            <w:pPr>
              <w:spacing w:after="0"/>
              <w:rPr>
                <w:sz w:val="15"/>
                <w:szCs w:val="15"/>
                <w:color w:val="auto"/>
              </w:rPr>
            </w:pPr>
          </w:p>
        </w:tc>
        <w:tc>
          <w:tcPr>
            <w:tcW w:w="9140" w:type="dxa"/>
            <w:vAlign w:val="bottom"/>
          </w:tcPr>
          <w:p>
            <w:pPr>
              <w:ind w:left="520"/>
              <w:spacing w:after="0"/>
              <w:rPr>
                <w:sz w:val="20"/>
                <w:szCs w:val="20"/>
                <w:color w:val="auto"/>
              </w:rPr>
            </w:pPr>
            <w:r>
              <w:rPr>
                <w:rFonts w:ascii="Arial" w:cs="Arial" w:eastAsia="Arial" w:hAnsi="Arial"/>
                <w:sz w:val="14"/>
                <w:szCs w:val="14"/>
                <w:color w:val="auto"/>
              </w:rPr>
              <w:t>Registration No. 333-201810.</w:t>
            </w:r>
          </w:p>
        </w:tc>
      </w:tr>
      <w:tr>
        <w:trPr>
          <w:trHeight w:val="332"/>
        </w:trPr>
        <w:tc>
          <w:tcPr>
            <w:tcW w:w="2360" w:type="dxa"/>
            <w:vAlign w:val="bottom"/>
          </w:tcPr>
          <w:p>
            <w:pPr>
              <w:ind w:left="740"/>
              <w:spacing w:after="0"/>
              <w:rPr>
                <w:sz w:val="20"/>
                <w:szCs w:val="20"/>
                <w:color w:val="auto"/>
              </w:rPr>
            </w:pPr>
            <w:r>
              <w:rPr>
                <w:rFonts w:ascii="Arial" w:cs="Arial" w:eastAsia="Arial" w:hAnsi="Arial"/>
                <w:sz w:val="14"/>
                <w:szCs w:val="14"/>
                <w:color w:val="auto"/>
              </w:rPr>
              <w:t>Exhibit 2 -</w:t>
            </w:r>
          </w:p>
        </w:tc>
        <w:tc>
          <w:tcPr>
            <w:tcW w:w="9140" w:type="dxa"/>
            <w:vAlign w:val="bottom"/>
          </w:tcPr>
          <w:p>
            <w:pPr>
              <w:ind w:left="520"/>
              <w:spacing w:after="0"/>
              <w:rPr>
                <w:sz w:val="20"/>
                <w:szCs w:val="20"/>
                <w:color w:val="auto"/>
              </w:rPr>
            </w:pPr>
            <w:r>
              <w:rPr>
                <w:rFonts w:ascii="Arial" w:cs="Arial" w:eastAsia="Arial" w:hAnsi="Arial"/>
                <w:sz w:val="14"/>
                <w:szCs w:val="14"/>
                <w:color w:val="auto"/>
                <w:w w:val="90"/>
              </w:rPr>
              <w:t>Certificate of Authority to commence business, incorporated herein by reference to Exhibit 2 filed with Form T-1 Statement, Registration No. 333-201810.</w:t>
            </w:r>
          </w:p>
        </w:tc>
      </w:tr>
      <w:tr>
        <w:trPr>
          <w:trHeight w:val="323"/>
        </w:trPr>
        <w:tc>
          <w:tcPr>
            <w:tcW w:w="2360" w:type="dxa"/>
            <w:vAlign w:val="bottom"/>
          </w:tcPr>
          <w:p>
            <w:pPr>
              <w:ind w:left="740"/>
              <w:spacing w:after="0"/>
              <w:rPr>
                <w:sz w:val="20"/>
                <w:szCs w:val="20"/>
                <w:color w:val="auto"/>
              </w:rPr>
            </w:pPr>
            <w:r>
              <w:rPr>
                <w:rFonts w:ascii="Arial" w:cs="Arial" w:eastAsia="Arial" w:hAnsi="Arial"/>
                <w:sz w:val="14"/>
                <w:szCs w:val="14"/>
                <w:color w:val="auto"/>
              </w:rPr>
              <w:t>Exhibit 3 -</w:t>
            </w:r>
          </w:p>
        </w:tc>
        <w:tc>
          <w:tcPr>
            <w:tcW w:w="9140" w:type="dxa"/>
            <w:vAlign w:val="bottom"/>
          </w:tcPr>
          <w:p>
            <w:pPr>
              <w:ind w:left="520"/>
              <w:spacing w:after="0"/>
              <w:rPr>
                <w:sz w:val="20"/>
                <w:szCs w:val="20"/>
                <w:color w:val="auto"/>
              </w:rPr>
            </w:pPr>
            <w:r>
              <w:rPr>
                <w:rFonts w:ascii="Arial" w:cs="Arial" w:eastAsia="Arial" w:hAnsi="Arial"/>
                <w:sz w:val="14"/>
                <w:szCs w:val="14"/>
                <w:color w:val="auto"/>
                <w:w w:val="91"/>
              </w:rPr>
              <w:t>Authorization of the trustee to exercise corporate trust powers, incorporated herein by reference to Exhibit 3 filed with Form T-1 Statement, Registration</w:t>
            </w:r>
          </w:p>
        </w:tc>
      </w:tr>
      <w:tr>
        <w:trPr>
          <w:trHeight w:val="175"/>
        </w:trPr>
        <w:tc>
          <w:tcPr>
            <w:tcW w:w="2360" w:type="dxa"/>
            <w:vAlign w:val="bottom"/>
          </w:tcPr>
          <w:p>
            <w:pPr>
              <w:spacing w:after="0"/>
              <w:rPr>
                <w:sz w:val="15"/>
                <w:szCs w:val="15"/>
                <w:color w:val="auto"/>
              </w:rPr>
            </w:pPr>
          </w:p>
        </w:tc>
        <w:tc>
          <w:tcPr>
            <w:tcW w:w="9140" w:type="dxa"/>
            <w:vAlign w:val="bottom"/>
          </w:tcPr>
          <w:p>
            <w:pPr>
              <w:ind w:left="520"/>
              <w:spacing w:after="0"/>
              <w:rPr>
                <w:sz w:val="20"/>
                <w:szCs w:val="20"/>
                <w:color w:val="auto"/>
              </w:rPr>
            </w:pPr>
            <w:r>
              <w:rPr>
                <w:rFonts w:ascii="Arial" w:cs="Arial" w:eastAsia="Arial" w:hAnsi="Arial"/>
                <w:sz w:val="14"/>
                <w:szCs w:val="14"/>
                <w:color w:val="auto"/>
              </w:rPr>
              <w:t>No. 333-201810.</w:t>
            </w:r>
          </w:p>
        </w:tc>
      </w:tr>
      <w:tr>
        <w:trPr>
          <w:trHeight w:val="323"/>
        </w:trPr>
        <w:tc>
          <w:tcPr>
            <w:tcW w:w="2360" w:type="dxa"/>
            <w:vAlign w:val="bottom"/>
          </w:tcPr>
          <w:p>
            <w:pPr>
              <w:ind w:left="740"/>
              <w:spacing w:after="0"/>
              <w:rPr>
                <w:sz w:val="20"/>
                <w:szCs w:val="20"/>
                <w:color w:val="auto"/>
              </w:rPr>
            </w:pPr>
            <w:r>
              <w:rPr>
                <w:rFonts w:ascii="Arial" w:cs="Arial" w:eastAsia="Arial" w:hAnsi="Arial"/>
                <w:sz w:val="14"/>
                <w:szCs w:val="14"/>
                <w:color w:val="auto"/>
              </w:rPr>
              <w:t>Exhibit 4 -</w:t>
            </w:r>
          </w:p>
        </w:tc>
        <w:tc>
          <w:tcPr>
            <w:tcW w:w="9140" w:type="dxa"/>
            <w:vAlign w:val="bottom"/>
          </w:tcPr>
          <w:p>
            <w:pPr>
              <w:ind w:left="520"/>
              <w:spacing w:after="0"/>
              <w:rPr>
                <w:sz w:val="20"/>
                <w:szCs w:val="20"/>
                <w:color w:val="auto"/>
              </w:rPr>
            </w:pPr>
            <w:r>
              <w:rPr>
                <w:rFonts w:ascii="Arial" w:cs="Arial" w:eastAsia="Arial" w:hAnsi="Arial"/>
                <w:sz w:val="14"/>
                <w:szCs w:val="14"/>
                <w:color w:val="auto"/>
                <w:w w:val="90"/>
              </w:rPr>
              <w:t>Existing By-Laws of Deutsche Bank Trust Company Americas, incorporated herein by reference to the exhibit of the same number to the trustee’s Form T-</w:t>
            </w:r>
          </w:p>
        </w:tc>
      </w:tr>
      <w:tr>
        <w:trPr>
          <w:trHeight w:val="175"/>
        </w:trPr>
        <w:tc>
          <w:tcPr>
            <w:tcW w:w="2360" w:type="dxa"/>
            <w:vAlign w:val="bottom"/>
          </w:tcPr>
          <w:p>
            <w:pPr>
              <w:spacing w:after="0"/>
              <w:rPr>
                <w:sz w:val="15"/>
                <w:szCs w:val="15"/>
                <w:color w:val="auto"/>
              </w:rPr>
            </w:pPr>
          </w:p>
        </w:tc>
        <w:tc>
          <w:tcPr>
            <w:tcW w:w="9140" w:type="dxa"/>
            <w:vAlign w:val="bottom"/>
          </w:tcPr>
          <w:p>
            <w:pPr>
              <w:ind w:left="520"/>
              <w:spacing w:after="0"/>
              <w:rPr>
                <w:sz w:val="20"/>
                <w:szCs w:val="20"/>
                <w:color w:val="auto"/>
              </w:rPr>
            </w:pPr>
            <w:r>
              <w:rPr>
                <w:rFonts w:ascii="Arial" w:cs="Arial" w:eastAsia="Arial" w:hAnsi="Arial"/>
                <w:sz w:val="14"/>
                <w:szCs w:val="14"/>
                <w:color w:val="auto"/>
              </w:rPr>
              <w:t>1 filed as Exhibit 25.1 to the Form T-3, dated June 28, 2019, of file number 022-29075-48.</w:t>
            </w:r>
          </w:p>
        </w:tc>
      </w:tr>
      <w:tr>
        <w:trPr>
          <w:trHeight w:val="266"/>
        </w:trPr>
        <w:tc>
          <w:tcPr>
            <w:tcW w:w="2360" w:type="dxa"/>
            <w:vAlign w:val="bottom"/>
            <w:tcBorders>
              <w:bottom w:val="single" w:sz="8" w:color="808080"/>
            </w:tcBorders>
          </w:tcPr>
          <w:p>
            <w:pPr>
              <w:spacing w:after="0"/>
              <w:rPr>
                <w:sz w:val="23"/>
                <w:szCs w:val="23"/>
                <w:color w:val="auto"/>
              </w:rPr>
            </w:pPr>
          </w:p>
        </w:tc>
        <w:tc>
          <w:tcPr>
            <w:tcW w:w="91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161"/>
        </w:trPr>
        <w:tc>
          <w:tcPr>
            <w:tcW w:w="2880" w:type="dxa"/>
            <w:vAlign w:val="bottom"/>
          </w:tcPr>
          <w:p>
            <w:pPr>
              <w:ind w:left="740"/>
              <w:spacing w:after="0"/>
              <w:rPr>
                <w:sz w:val="20"/>
                <w:szCs w:val="20"/>
                <w:color w:val="auto"/>
              </w:rPr>
            </w:pPr>
            <w:r>
              <w:rPr>
                <w:rFonts w:ascii="Arial" w:cs="Arial" w:eastAsia="Arial" w:hAnsi="Arial"/>
                <w:sz w:val="14"/>
                <w:szCs w:val="14"/>
                <w:color w:val="auto"/>
              </w:rPr>
              <w:t>Exhibit 5 -</w:t>
            </w:r>
          </w:p>
        </w:tc>
        <w:tc>
          <w:tcPr>
            <w:tcW w:w="8620" w:type="dxa"/>
            <w:vAlign w:val="bottom"/>
            <w:gridSpan w:val="6"/>
          </w:tcPr>
          <w:p>
            <w:pPr>
              <w:spacing w:after="0"/>
              <w:rPr>
                <w:sz w:val="20"/>
                <w:szCs w:val="20"/>
                <w:color w:val="auto"/>
              </w:rPr>
            </w:pPr>
            <w:r>
              <w:rPr>
                <w:rFonts w:ascii="Arial" w:cs="Arial" w:eastAsia="Arial" w:hAnsi="Arial"/>
                <w:sz w:val="14"/>
                <w:szCs w:val="14"/>
                <w:color w:val="auto"/>
                <w:w w:val="97"/>
              </w:rPr>
              <w:t>Each Indenture referred to in Item 4 under which the obligor is currently in default, including the (i) Indenture, dated October 1, 2003, (the “2003</w:t>
            </w:r>
          </w:p>
        </w:tc>
      </w:tr>
      <w:tr>
        <w:trPr>
          <w:trHeight w:val="20"/>
        </w:trPr>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6"/>
        </w:trPr>
        <w:tc>
          <w:tcPr>
            <w:tcW w:w="2880" w:type="dxa"/>
            <w:vAlign w:val="bottom"/>
          </w:tcPr>
          <w:p>
            <w:pPr>
              <w:spacing w:after="0"/>
              <w:rPr>
                <w:sz w:val="12"/>
                <w:szCs w:val="12"/>
                <w:color w:val="auto"/>
              </w:rPr>
            </w:pPr>
          </w:p>
        </w:tc>
        <w:tc>
          <w:tcPr>
            <w:tcW w:w="8620" w:type="dxa"/>
            <w:vAlign w:val="bottom"/>
            <w:gridSpan w:val="6"/>
          </w:tcPr>
          <w:p>
            <w:pPr>
              <w:spacing w:after="0" w:line="146" w:lineRule="exact"/>
              <w:rPr>
                <w:sz w:val="20"/>
                <w:szCs w:val="20"/>
                <w:color w:val="auto"/>
              </w:rPr>
            </w:pPr>
            <w:r>
              <w:rPr>
                <w:rFonts w:ascii="Arial" w:cs="Arial" w:eastAsia="Arial" w:hAnsi="Arial"/>
                <w:sz w:val="14"/>
                <w:szCs w:val="14"/>
                <w:color w:val="auto"/>
                <w:w w:val="90"/>
              </w:rPr>
              <w:t>Indenture”) among Weatherford Bermuda, as issuer, Weatherford Delaware and Weatherford Ireland, as guarantors, and Deutsche Bank Trust Company</w:t>
            </w:r>
          </w:p>
        </w:tc>
      </w:tr>
      <w:tr>
        <w:trPr>
          <w:trHeight w:val="20"/>
        </w:trPr>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2"/>
              </w:rPr>
              <w:t>Americas, as trustee, incorporated herein by reference to Exhibit 4.1 to Weatherford Bermuda’s Current Report on Form 8-K filed October 2, 2003, File</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4"/>
              </w:rPr>
              <w:t>No. 1-31339; (ii) Officer’s Certificate, dated August 7, 2006, in connection with the 2003 Indenture, incorporated herein by reference to Exhibit 4.1 to</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1"/>
              </w:rPr>
              <w:t>Weatherford Bermuda’s Current Report on Form 8-K filed August 7, 2006, File No. 1-31339; (iii) First Supplemental Indenture, dated March 25, 2008, to</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3"/>
              </w:rPr>
              <w:t>the 2003 Indenture, incorporated herein by reference to Exhibit 4.1 to Weatherford Bermuda’s Current Report on Form 8-K filed March 25, 2008, File</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4"/>
              </w:rPr>
              <w:t>No. 1-31339; (iv) Second Supplemental Indenture, dated January 8, 2009, to the 2003 Indenture, incorporated herein by reference to Exhibit 4.1 to</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2"/>
              </w:rPr>
              <w:t>Weatherford Bermuda’s Current Report on Form 8-K filed January 8, 2009, File No. 1-31339; (v) Fourth Supplemental Indenture, dated September 23,</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0"/>
              </w:rPr>
              <w:t>2010, to the 2003 Indenture, incorporated herein by reference to Exhibit 4.1 to Weatherford International Ltd. (Switzerland)’s Current Report on Form 8-K</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6"/>
              </w:rPr>
              <w:t>filed September 22, 2010, File No. 1-34258; (vi) Fifth Supplemental Indenture, dated April 4, 2012, to the 2003 Indenture, incorporated herein by</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4"/>
              </w:rPr>
              <w:t>reference to Exhibit 4.1 to Weatherford International Ltd. (Switzerland)’s Current Report on Form 8-K filed April 4, 2012, File No. 1-34258; (vii) Ninth</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3"/>
              </w:rPr>
              <w:t>Supplemental Indenture, dated June 7, 2016, to the 2003 Indenture, incorporated herein by reference to Exhibit 4.1 to Weatherford Ireland’s Current</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1"/>
              </w:rPr>
              <w:t>Report on Form 8-K filed June 7, 2016, File No. 1-36504; (viii) Tenth Supplemental Indenture, dated June 17, 2016, to the 2003 Indenture, incorporated</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0"/>
              </w:rPr>
              <w:t>herein by reference to Exhibit 4.1 to Weatherford Ireland’s Current Report on Form 8-K filed June 17, 2016, File No. 1-36504; (ix) Eleventh Supplemental</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2"/>
              </w:rPr>
              <w:t>Indenture, dated November 18, 2016, to the 2003 Indenture, incorporated herein by reference to Exhibit 4.1 to Weatherford Ireland’s Current Report on</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4"/>
              </w:rPr>
              <w:t>Form 8-K filed November 21, 2016, File No. 1-36504, and Exhibit 4.1 to Weatherford Ireland’s Current Report on Form 8-K filed June 29, 2017, File</w:t>
            </w:r>
          </w:p>
        </w:tc>
      </w:tr>
      <w:tr>
        <w:trPr>
          <w:trHeight w:val="146"/>
        </w:trPr>
        <w:tc>
          <w:tcPr>
            <w:tcW w:w="2880" w:type="dxa"/>
            <w:vAlign w:val="bottom"/>
          </w:tcPr>
          <w:p>
            <w:pPr>
              <w:spacing w:after="0"/>
              <w:rPr>
                <w:sz w:val="12"/>
                <w:szCs w:val="12"/>
                <w:color w:val="auto"/>
              </w:rPr>
            </w:pPr>
          </w:p>
        </w:tc>
        <w:tc>
          <w:tcPr>
            <w:tcW w:w="8620" w:type="dxa"/>
            <w:vAlign w:val="bottom"/>
            <w:gridSpan w:val="6"/>
          </w:tcPr>
          <w:p>
            <w:pPr>
              <w:spacing w:after="0" w:line="146" w:lineRule="exact"/>
              <w:rPr>
                <w:sz w:val="20"/>
                <w:szCs w:val="20"/>
                <w:color w:val="auto"/>
              </w:rPr>
            </w:pPr>
            <w:r>
              <w:rPr>
                <w:rFonts w:ascii="Arial" w:cs="Arial" w:eastAsia="Arial" w:hAnsi="Arial"/>
                <w:sz w:val="14"/>
                <w:szCs w:val="14"/>
                <w:color w:val="auto"/>
                <w:w w:val="90"/>
              </w:rPr>
              <w:t>No. 1-36504; (x) Indenture, dated June 18, 2007, (the “2007 Indenture”) among Weatherford Delaware, as issuer, Weatherford Bermuda and Weatherford</w:t>
            </w:r>
          </w:p>
        </w:tc>
      </w:tr>
      <w:tr>
        <w:trPr>
          <w:trHeight w:val="20"/>
        </w:trPr>
        <w:tc>
          <w:tcPr>
            <w:tcW w:w="28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89"/>
              </w:rPr>
              <w:t>Ireland, as guarantors, and Deutsche Bank Trust Company Americas, as trustee, incorporated herein by reference to Exhibit 4.1 to Weatherford Bermuda’s</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3"/>
              </w:rPr>
              <w:t>Current Report on Form 8-K filed on June 18, 2007, File No. 1-31339; (xi) First Supplemental Indenture, dated June 18, 2007, to the 2007 Indenture,</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3"/>
              </w:rPr>
              <w:t>incorporated herein by reference to Exhibit 4.2 to Weatherford Bermuda’s Current Report on Form 8-K filed on June 18, 2007, File No. 1-31339; and</w:t>
            </w:r>
          </w:p>
        </w:tc>
      </w:tr>
      <w:tr>
        <w:trPr>
          <w:trHeight w:val="166"/>
        </w:trPr>
        <w:tc>
          <w:tcPr>
            <w:tcW w:w="2880" w:type="dxa"/>
            <w:vAlign w:val="bottom"/>
          </w:tcPr>
          <w:p>
            <w:pPr>
              <w:spacing w:after="0"/>
              <w:rPr>
                <w:sz w:val="14"/>
                <w:szCs w:val="14"/>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w w:val="95"/>
              </w:rPr>
              <w:t>(xii) Sixth Supplemental Indenture, dated February 28, 2018, to the 2007 Indenture, incorporated herein by reference to Exhibit 4.1 to Weatherford</w:t>
            </w:r>
          </w:p>
        </w:tc>
      </w:tr>
      <w:tr>
        <w:trPr>
          <w:trHeight w:val="175"/>
        </w:trPr>
        <w:tc>
          <w:tcPr>
            <w:tcW w:w="2880" w:type="dxa"/>
            <w:vAlign w:val="bottom"/>
          </w:tcPr>
          <w:p>
            <w:pPr>
              <w:spacing w:after="0"/>
              <w:rPr>
                <w:sz w:val="15"/>
                <w:szCs w:val="15"/>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rPr>
              <w:t>Ireland’s Current Report on Form 8-K filed on March 5, 2018, File No. 1-36504.</w:t>
            </w:r>
          </w:p>
        </w:tc>
      </w:tr>
      <w:tr>
        <w:trPr>
          <w:trHeight w:val="323"/>
        </w:trPr>
        <w:tc>
          <w:tcPr>
            <w:tcW w:w="2880" w:type="dxa"/>
            <w:vAlign w:val="bottom"/>
          </w:tcPr>
          <w:p>
            <w:pPr>
              <w:ind w:left="740"/>
              <w:spacing w:after="0"/>
              <w:rPr>
                <w:sz w:val="20"/>
                <w:szCs w:val="20"/>
                <w:color w:val="auto"/>
              </w:rPr>
            </w:pPr>
            <w:r>
              <w:rPr>
                <w:rFonts w:ascii="Arial" w:cs="Arial" w:eastAsia="Arial" w:hAnsi="Arial"/>
                <w:sz w:val="14"/>
                <w:szCs w:val="14"/>
                <w:color w:val="auto"/>
              </w:rPr>
              <w:t>Exhibit 6 -</w:t>
            </w:r>
          </w:p>
        </w:tc>
        <w:tc>
          <w:tcPr>
            <w:tcW w:w="8620" w:type="dxa"/>
            <w:vAlign w:val="bottom"/>
            <w:gridSpan w:val="6"/>
          </w:tcPr>
          <w:p>
            <w:pPr>
              <w:spacing w:after="0"/>
              <w:rPr>
                <w:sz w:val="20"/>
                <w:szCs w:val="20"/>
                <w:color w:val="auto"/>
              </w:rPr>
            </w:pPr>
            <w:r>
              <w:rPr>
                <w:rFonts w:ascii="Arial" w:cs="Arial" w:eastAsia="Arial" w:hAnsi="Arial"/>
                <w:sz w:val="14"/>
                <w:szCs w:val="14"/>
                <w:color w:val="auto"/>
                <w:w w:val="92"/>
              </w:rPr>
              <w:t>Consent of Bankers Trust Company required by Section 321(b) of the Act, incorporated herein by reference to Exhibit 6 filed with Form T-1 Statement,</w:t>
            </w:r>
          </w:p>
        </w:tc>
      </w:tr>
      <w:tr>
        <w:trPr>
          <w:trHeight w:val="175"/>
        </w:trPr>
        <w:tc>
          <w:tcPr>
            <w:tcW w:w="2880" w:type="dxa"/>
            <w:vAlign w:val="bottom"/>
          </w:tcPr>
          <w:p>
            <w:pPr>
              <w:spacing w:after="0"/>
              <w:rPr>
                <w:sz w:val="15"/>
                <w:szCs w:val="15"/>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rPr>
              <w:t>Registration No. 333-201810.</w:t>
            </w:r>
          </w:p>
        </w:tc>
      </w:tr>
      <w:tr>
        <w:trPr>
          <w:trHeight w:val="323"/>
        </w:trPr>
        <w:tc>
          <w:tcPr>
            <w:tcW w:w="2880" w:type="dxa"/>
            <w:vAlign w:val="bottom"/>
          </w:tcPr>
          <w:p>
            <w:pPr>
              <w:ind w:left="740"/>
              <w:spacing w:after="0"/>
              <w:rPr>
                <w:sz w:val="20"/>
                <w:szCs w:val="20"/>
                <w:color w:val="auto"/>
              </w:rPr>
            </w:pPr>
            <w:r>
              <w:rPr>
                <w:rFonts w:ascii="Arial" w:cs="Arial" w:eastAsia="Arial" w:hAnsi="Arial"/>
                <w:sz w:val="14"/>
                <w:szCs w:val="14"/>
                <w:color w:val="auto"/>
              </w:rPr>
              <w:t>Exhibit 7 -</w:t>
            </w:r>
          </w:p>
        </w:tc>
        <w:tc>
          <w:tcPr>
            <w:tcW w:w="8620" w:type="dxa"/>
            <w:vAlign w:val="bottom"/>
            <w:gridSpan w:val="6"/>
          </w:tcPr>
          <w:p>
            <w:pPr>
              <w:spacing w:after="0"/>
              <w:rPr>
                <w:sz w:val="20"/>
                <w:szCs w:val="20"/>
                <w:color w:val="auto"/>
              </w:rPr>
            </w:pPr>
            <w:r>
              <w:rPr>
                <w:rFonts w:ascii="Arial" w:cs="Arial" w:eastAsia="Arial" w:hAnsi="Arial"/>
                <w:sz w:val="14"/>
                <w:szCs w:val="14"/>
                <w:color w:val="auto"/>
                <w:w w:val="94"/>
              </w:rPr>
              <w:t>A copy of the latest report of condition of the trustee published pursuant to law or the requirements of its supervising or examining authority — filed</w:t>
            </w:r>
          </w:p>
        </w:tc>
      </w:tr>
      <w:tr>
        <w:trPr>
          <w:trHeight w:val="175"/>
        </w:trPr>
        <w:tc>
          <w:tcPr>
            <w:tcW w:w="2880" w:type="dxa"/>
            <w:vAlign w:val="bottom"/>
          </w:tcPr>
          <w:p>
            <w:pPr>
              <w:spacing w:after="0"/>
              <w:rPr>
                <w:sz w:val="15"/>
                <w:szCs w:val="15"/>
                <w:color w:val="auto"/>
              </w:rPr>
            </w:pPr>
          </w:p>
        </w:tc>
        <w:tc>
          <w:tcPr>
            <w:tcW w:w="8620" w:type="dxa"/>
            <w:vAlign w:val="bottom"/>
            <w:gridSpan w:val="6"/>
          </w:tcPr>
          <w:p>
            <w:pPr>
              <w:spacing w:after="0"/>
              <w:rPr>
                <w:sz w:val="20"/>
                <w:szCs w:val="20"/>
                <w:color w:val="auto"/>
              </w:rPr>
            </w:pPr>
            <w:r>
              <w:rPr>
                <w:rFonts w:ascii="Arial" w:cs="Arial" w:eastAsia="Arial" w:hAnsi="Arial"/>
                <w:sz w:val="14"/>
                <w:szCs w:val="14"/>
                <w:color w:val="auto"/>
              </w:rPr>
              <w:t>herewith.</w:t>
            </w:r>
          </w:p>
        </w:tc>
      </w:tr>
      <w:tr>
        <w:trPr>
          <w:trHeight w:val="332"/>
        </w:trPr>
        <w:tc>
          <w:tcPr>
            <w:tcW w:w="2880" w:type="dxa"/>
            <w:vAlign w:val="bottom"/>
          </w:tcPr>
          <w:p>
            <w:pPr>
              <w:ind w:left="740"/>
              <w:spacing w:after="0"/>
              <w:rPr>
                <w:sz w:val="20"/>
                <w:szCs w:val="20"/>
                <w:color w:val="auto"/>
              </w:rPr>
            </w:pPr>
            <w:r>
              <w:rPr>
                <w:rFonts w:ascii="Arial" w:cs="Arial" w:eastAsia="Arial" w:hAnsi="Arial"/>
                <w:sz w:val="14"/>
                <w:szCs w:val="14"/>
                <w:color w:val="auto"/>
              </w:rPr>
              <w:t>Exhibit 8 -</w:t>
            </w:r>
          </w:p>
        </w:tc>
        <w:tc>
          <w:tcPr>
            <w:tcW w:w="8620" w:type="dxa"/>
            <w:vAlign w:val="bottom"/>
            <w:gridSpan w:val="6"/>
          </w:tcPr>
          <w:p>
            <w:pPr>
              <w:spacing w:after="0"/>
              <w:rPr>
                <w:sz w:val="20"/>
                <w:szCs w:val="20"/>
                <w:color w:val="auto"/>
              </w:rPr>
            </w:pPr>
            <w:r>
              <w:rPr>
                <w:rFonts w:ascii="Arial" w:cs="Arial" w:eastAsia="Arial" w:hAnsi="Arial"/>
                <w:sz w:val="14"/>
                <w:szCs w:val="14"/>
                <w:color w:val="auto"/>
              </w:rPr>
              <w:t>Not applicable.</w:t>
            </w:r>
          </w:p>
        </w:tc>
      </w:tr>
      <w:tr>
        <w:trPr>
          <w:trHeight w:val="332"/>
        </w:trPr>
        <w:tc>
          <w:tcPr>
            <w:tcW w:w="2880" w:type="dxa"/>
            <w:vAlign w:val="bottom"/>
          </w:tcPr>
          <w:p>
            <w:pPr>
              <w:ind w:left="740"/>
              <w:spacing w:after="0"/>
              <w:rPr>
                <w:sz w:val="20"/>
                <w:szCs w:val="20"/>
                <w:color w:val="auto"/>
              </w:rPr>
            </w:pPr>
            <w:r>
              <w:rPr>
                <w:rFonts w:ascii="Arial" w:cs="Arial" w:eastAsia="Arial" w:hAnsi="Arial"/>
                <w:sz w:val="14"/>
                <w:szCs w:val="14"/>
                <w:color w:val="auto"/>
              </w:rPr>
              <w:t>Exhibit 9 -</w:t>
            </w:r>
          </w:p>
        </w:tc>
        <w:tc>
          <w:tcPr>
            <w:tcW w:w="8620" w:type="dxa"/>
            <w:vAlign w:val="bottom"/>
            <w:gridSpan w:val="6"/>
          </w:tcPr>
          <w:p>
            <w:pPr>
              <w:spacing w:after="0"/>
              <w:rPr>
                <w:sz w:val="20"/>
                <w:szCs w:val="20"/>
                <w:color w:val="auto"/>
              </w:rPr>
            </w:pPr>
            <w:r>
              <w:rPr>
                <w:rFonts w:ascii="Arial" w:cs="Arial" w:eastAsia="Arial" w:hAnsi="Arial"/>
                <w:sz w:val="14"/>
                <w:szCs w:val="14"/>
                <w:color w:val="auto"/>
              </w:rPr>
              <w:t>Not applicable.</w:t>
            </w:r>
          </w:p>
        </w:tc>
      </w:tr>
      <w:tr>
        <w:trPr>
          <w:trHeight w:val="266"/>
        </w:trPr>
        <w:tc>
          <w:tcPr>
            <w:tcW w:w="288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25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388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58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79" w:right="179" w:bottom="1440" w:gutter="0" w:footer="0" w:header="0"/>
        </w:sectPr>
      </w:pPr>
    </w:p>
    <w:bookmarkStart w:id="273" w:name="page274"/>
    <w:bookmarkEnd w:id="273"/>
    <w:p>
      <w:pPr>
        <w:jc w:val="center"/>
        <w:ind w:right="-139"/>
        <w:spacing w:after="0"/>
        <w:rPr>
          <w:sz w:val="20"/>
          <w:szCs w:val="20"/>
          <w:color w:val="auto"/>
        </w:rPr>
      </w:pPr>
      <w:r>
        <w:rPr>
          <w:rFonts w:ascii="Arial" w:cs="Arial" w:eastAsia="Arial" w:hAnsi="Arial"/>
          <w:sz w:val="14"/>
          <w:szCs w:val="14"/>
          <w:b w:val="1"/>
          <w:bCs w:val="1"/>
          <w:color w:val="auto"/>
        </w:rPr>
        <w:t>SIGNATURE</w:t>
      </w:r>
    </w:p>
    <w:p>
      <w:pPr>
        <w:spacing w:after="0" w:line="175"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23rd day of October, 2019.</w:t>
      </w:r>
    </w:p>
    <w:p>
      <w:pPr>
        <w:spacing w:after="0" w:line="14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DEUTSCHE BANK TRUST COMPANY AMERICAS</w:t>
      </w:r>
    </w:p>
    <w:p>
      <w:pPr>
        <w:spacing w:after="0" w:line="171"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/s/ Irina Golovashchuk</w:t>
      </w:r>
    </w:p>
    <w:p>
      <w:pPr>
        <w:spacing w:after="0" w:line="14" w:lineRule="exact"/>
        <w:rPr>
          <w:sz w:val="20"/>
          <w:szCs w:val="20"/>
          <w:color w:val="auto"/>
        </w:rPr>
      </w:pPr>
    </w:p>
    <w:p>
      <w:pPr>
        <w:ind w:left="6440"/>
        <w:spacing w:after="0"/>
        <w:tabs>
          <w:tab w:leader="none" w:pos="72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-100965</wp:posOffset>
            </wp:positionV>
            <wp:extent cx="264795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47950" cy="635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4"/>
          <w:szCs w:val="14"/>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9742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40"/>
          </w:cols>
          <w:pgMar w:left="220" w:top="291" w:right="339" w:bottom="1440" w:gutter="0" w:footer="0" w:header="0"/>
        </w:sectPr>
      </w:pPr>
    </w:p>
    <w:bookmarkStart w:id="274" w:name="page275"/>
    <w:bookmarkEnd w:id="274"/>
    <w:p>
      <w:pPr>
        <w:ind w:left="954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33655</wp:posOffset>
            </wp:positionV>
            <wp:extent cx="7325995" cy="47421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25995" cy="474218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275" w:name="page276"/>
    <w:bookmarkEnd w:id="275"/>
    <w:p>
      <w:pPr>
        <w:ind w:left="10760"/>
        <w:spacing w:after="0"/>
        <w:rPr>
          <w:sz w:val="20"/>
          <w:szCs w:val="20"/>
          <w:color w:val="auto"/>
        </w:rPr>
      </w:pPr>
      <w:r>
        <w:rPr>
          <w:rFonts w:ascii="Arial" w:cs="Arial" w:eastAsia="Arial" w:hAnsi="Arial"/>
          <w:sz w:val="12"/>
          <w:szCs w:val="12"/>
          <w:b w:val="1"/>
          <w:bCs w:val="1"/>
          <w:color w:val="auto"/>
        </w:rPr>
        <w:t>Exhibit 99.2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Directors, Executive Officers and Capitalization of each Applicant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Amount</w:t>
            </w: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Amount</w:t>
            </w:r>
          </w:p>
        </w:tc>
        <w:tc>
          <w:tcPr>
            <w:tcW w:w="3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0"/>
                <w:szCs w:val="10"/>
                <w:b w:val="1"/>
                <w:bCs w:val="1"/>
                <w:color w:val="auto"/>
                <w:w w:val="87"/>
              </w:rPr>
              <w:t>Directors/Managing</w:t>
            </w:r>
          </w:p>
        </w:tc>
      </w:tr>
      <w:tr>
        <w:trPr>
          <w:trHeight w:val="117"/>
        </w:trPr>
        <w:tc>
          <w:tcPr>
            <w:tcW w:w="2300" w:type="dxa"/>
            <w:vAlign w:val="bottom"/>
            <w:gridSpan w:val="2"/>
          </w:tcPr>
          <w:p>
            <w:pPr>
              <w:spacing w:after="0"/>
              <w:rPr>
                <w:sz w:val="20"/>
                <w:szCs w:val="20"/>
                <w:color w:val="auto"/>
              </w:rPr>
            </w:pPr>
            <w:r>
              <w:rPr>
                <w:rFonts w:ascii="Arial" w:cs="Arial" w:eastAsia="Arial" w:hAnsi="Arial"/>
                <w:sz w:val="10"/>
                <w:szCs w:val="10"/>
                <w:b w:val="1"/>
                <w:bCs w:val="1"/>
                <w:color w:val="auto"/>
              </w:rPr>
              <w:t>Name of Guarantor</w:t>
            </w:r>
          </w:p>
        </w:tc>
        <w:tc>
          <w:tcPr>
            <w:tcW w:w="15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6"/>
              </w:rPr>
              <w:t>Title of Class</w:t>
            </w:r>
          </w:p>
        </w:tc>
        <w:tc>
          <w:tcPr>
            <w:tcW w:w="11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Authorized</w:t>
            </w:r>
          </w:p>
        </w:tc>
        <w:tc>
          <w:tcPr>
            <w:tcW w:w="10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Outstanding</w:t>
            </w:r>
          </w:p>
        </w:tc>
        <w:tc>
          <w:tcPr>
            <w:tcW w:w="3600" w:type="dxa"/>
            <w:vAlign w:val="bottom"/>
            <w:gridSpan w:val="2"/>
          </w:tcPr>
          <w:p>
            <w:pPr>
              <w:ind w:left="1560"/>
              <w:spacing w:after="0"/>
              <w:rPr>
                <w:sz w:val="20"/>
                <w:szCs w:val="20"/>
                <w:color w:val="auto"/>
              </w:rPr>
            </w:pPr>
            <w:r>
              <w:rPr>
                <w:rFonts w:ascii="Arial" w:cs="Arial" w:eastAsia="Arial" w:hAnsi="Arial"/>
                <w:sz w:val="10"/>
                <w:szCs w:val="10"/>
                <w:b w:val="1"/>
                <w:bCs w:val="1"/>
                <w:color w:val="auto"/>
              </w:rPr>
              <w:t>Officers</w:t>
            </w:r>
          </w:p>
        </w:tc>
        <w:tc>
          <w:tcPr>
            <w:tcW w:w="1820" w:type="dxa"/>
            <w:vAlign w:val="bottom"/>
          </w:tcPr>
          <w:p>
            <w:pPr>
              <w:jc w:val="center"/>
              <w:spacing w:after="0"/>
              <w:rPr>
                <w:sz w:val="20"/>
                <w:szCs w:val="20"/>
                <w:color w:val="auto"/>
              </w:rPr>
            </w:pPr>
            <w:r>
              <w:rPr>
                <w:rFonts w:ascii="Arial" w:cs="Arial" w:eastAsia="Arial" w:hAnsi="Arial"/>
                <w:sz w:val="10"/>
                <w:szCs w:val="10"/>
                <w:b w:val="1"/>
                <w:bCs w:val="1"/>
                <w:color w:val="auto"/>
                <w:w w:val="86"/>
              </w:rPr>
              <w:t>Members</w:t>
            </w:r>
          </w:p>
        </w:tc>
      </w:tr>
      <w:tr>
        <w:trPr>
          <w:trHeight w:val="83"/>
        </w:trPr>
        <w:tc>
          <w:tcPr>
            <w:tcW w:w="2120" w:type="dxa"/>
            <w:vAlign w:val="bottom"/>
            <w:tcBorders>
              <w:top w:val="single" w:sz="8" w:color="auto"/>
            </w:tcBorders>
            <w:shd w:val="clear" w:color="auto" w:fill="CCEEFF"/>
          </w:tcPr>
          <w:p>
            <w:pPr>
              <w:spacing w:after="0" w:line="83" w:lineRule="exact"/>
              <w:rPr>
                <w:sz w:val="20"/>
                <w:szCs w:val="20"/>
                <w:color w:val="auto"/>
              </w:rPr>
            </w:pPr>
            <w:r>
              <w:rPr>
                <w:rFonts w:ascii="Arial" w:cs="Arial" w:eastAsia="Arial" w:hAnsi="Arial"/>
                <w:sz w:val="8"/>
                <w:szCs w:val="8"/>
                <w:color w:val="auto"/>
              </w:rPr>
              <w:t>Advantage R&amp;D, Inc.</w:t>
            </w:r>
          </w:p>
        </w:tc>
        <w:tc>
          <w:tcPr>
            <w:tcW w:w="18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auto"/>
            </w:tcBorders>
            <w:shd w:val="clear" w:color="auto" w:fill="CCEEFF"/>
          </w:tcPr>
          <w:p>
            <w:pPr>
              <w:jc w:val="center"/>
              <w:spacing w:after="0" w:line="83" w:lineRule="exact"/>
              <w:rPr>
                <w:sz w:val="20"/>
                <w:szCs w:val="20"/>
                <w:color w:val="auto"/>
              </w:rPr>
            </w:pPr>
            <w:r>
              <w:rPr>
                <w:rFonts w:ascii="Arial" w:cs="Arial" w:eastAsia="Arial" w:hAnsi="Arial"/>
                <w:sz w:val="8"/>
                <w:szCs w:val="8"/>
                <w:color w:val="auto"/>
              </w:rPr>
              <w:t>Common Stock</w:t>
            </w:r>
          </w:p>
        </w:tc>
        <w:tc>
          <w:tcPr>
            <w:tcW w:w="18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jc w:val="center"/>
              <w:spacing w:after="0" w:line="83" w:lineRule="exact"/>
              <w:rPr>
                <w:sz w:val="20"/>
                <w:szCs w:val="20"/>
                <w:color w:val="auto"/>
              </w:rPr>
            </w:pPr>
            <w:r>
              <w:rPr>
                <w:rFonts w:ascii="Arial" w:cs="Arial" w:eastAsia="Arial" w:hAnsi="Arial"/>
                <w:sz w:val="8"/>
                <w:szCs w:val="8"/>
                <w:color w:val="auto"/>
              </w:rPr>
              <w:t>1,000</w:t>
            </w:r>
          </w:p>
        </w:tc>
        <w:tc>
          <w:tcPr>
            <w:tcW w:w="18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jc w:val="center"/>
              <w:spacing w:after="0" w:line="83" w:lineRule="exact"/>
              <w:rPr>
                <w:sz w:val="20"/>
                <w:szCs w:val="20"/>
                <w:color w:val="auto"/>
              </w:rPr>
            </w:pPr>
            <w:r>
              <w:rPr>
                <w:rFonts w:ascii="Arial" w:cs="Arial" w:eastAsia="Arial" w:hAnsi="Arial"/>
                <w:sz w:val="8"/>
                <w:szCs w:val="8"/>
                <w:color w:val="auto"/>
              </w:rPr>
              <w:t>1,000</w:t>
            </w:r>
          </w:p>
        </w:tc>
        <w:tc>
          <w:tcPr>
            <w:tcW w:w="160" w:type="dxa"/>
            <w:vAlign w:val="bottom"/>
            <w:tcBorders>
              <w:top w:val="single" w:sz="8" w:color="CCEEFF"/>
            </w:tcBorders>
            <w:shd w:val="clear" w:color="auto" w:fill="CCEEFF"/>
          </w:tcPr>
          <w:p>
            <w:pPr>
              <w:spacing w:after="0"/>
              <w:rPr>
                <w:sz w:val="7"/>
                <w:szCs w:val="7"/>
                <w:color w:val="auto"/>
              </w:rPr>
            </w:pPr>
          </w:p>
        </w:tc>
        <w:tc>
          <w:tcPr>
            <w:tcW w:w="3440" w:type="dxa"/>
            <w:vAlign w:val="bottom"/>
            <w:tcBorders>
              <w:top w:val="single" w:sz="8" w:color="auto"/>
            </w:tcBorders>
            <w:shd w:val="clear" w:color="auto" w:fill="CCEEFF"/>
          </w:tcPr>
          <w:p>
            <w:pPr>
              <w:spacing w:after="0" w:line="83" w:lineRule="exact"/>
              <w:rPr>
                <w:sz w:val="20"/>
                <w:szCs w:val="20"/>
                <w:color w:val="auto"/>
              </w:rPr>
            </w:pPr>
            <w:r>
              <w:rPr>
                <w:rFonts w:ascii="Arial" w:cs="Arial" w:eastAsia="Arial" w:hAnsi="Arial"/>
                <w:sz w:val="8"/>
                <w:szCs w:val="8"/>
                <w:color w:val="auto"/>
              </w:rPr>
              <w:t>E. Kyle Chapman (President)</w:t>
            </w:r>
          </w:p>
        </w:tc>
        <w:tc>
          <w:tcPr>
            <w:tcW w:w="160" w:type="dxa"/>
            <w:vAlign w:val="bottom"/>
            <w:tcBorders>
              <w:top w:val="single" w:sz="8" w:color="CCEEFF"/>
            </w:tcBorders>
            <w:shd w:val="clear" w:color="auto" w:fill="CCEEFF"/>
          </w:tcPr>
          <w:p>
            <w:pPr>
              <w:spacing w:after="0"/>
              <w:rPr>
                <w:sz w:val="7"/>
                <w:szCs w:val="7"/>
                <w:color w:val="auto"/>
              </w:rPr>
            </w:pPr>
          </w:p>
        </w:tc>
        <w:tc>
          <w:tcPr>
            <w:tcW w:w="1820" w:type="dxa"/>
            <w:vAlign w:val="bottom"/>
            <w:tcBorders>
              <w:top w:val="single" w:sz="8" w:color="auto"/>
            </w:tcBorders>
            <w:shd w:val="clear" w:color="auto" w:fill="CCEEFF"/>
          </w:tcPr>
          <w:p>
            <w:pPr>
              <w:jc w:val="center"/>
              <w:spacing w:after="0" w:line="83" w:lineRule="exact"/>
              <w:rPr>
                <w:sz w:val="20"/>
                <w:szCs w:val="20"/>
                <w:color w:val="auto"/>
              </w:rPr>
            </w:pPr>
            <w:r>
              <w:rPr>
                <w:rFonts w:ascii="Arial" w:cs="Arial" w:eastAsia="Arial" w:hAnsi="Arial"/>
                <w:sz w:val="8"/>
                <w:szCs w:val="8"/>
                <w:color w:val="auto"/>
              </w:rPr>
              <w:t>Christine M. Morrison</w:t>
            </w: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Steven F. Carvalho (Vice President)</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20" w:type="dxa"/>
            <w:vAlign w:val="bottom"/>
            <w:shd w:val="clear" w:color="auto" w:fill="CCEEFF"/>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Joshua S. Silverman (Assistant Treasurer)</w:t>
            </w:r>
          </w:p>
        </w:tc>
        <w:tc>
          <w:tcPr>
            <w:tcW w:w="1820" w:type="dxa"/>
            <w:vAlign w:val="bottom"/>
            <w:shd w:val="clear" w:color="auto" w:fill="CCEEFF"/>
          </w:tcPr>
          <w:p>
            <w:pPr>
              <w:spacing w:after="0"/>
              <w:rPr>
                <w:sz w:val="9"/>
                <w:szCs w:val="9"/>
                <w:color w:val="auto"/>
              </w:rPr>
            </w:pPr>
          </w:p>
        </w:tc>
      </w:tr>
      <w:tr>
        <w:trPr>
          <w:trHeight w:val="92"/>
        </w:trPr>
        <w:tc>
          <w:tcPr>
            <w:tcW w:w="2300" w:type="dxa"/>
            <w:vAlign w:val="bottom"/>
            <w:gridSpan w:val="2"/>
          </w:tcPr>
          <w:p>
            <w:pPr>
              <w:spacing w:after="0" w:line="93" w:lineRule="exact"/>
              <w:rPr>
                <w:sz w:val="20"/>
                <w:szCs w:val="20"/>
                <w:color w:val="auto"/>
              </w:rPr>
            </w:pPr>
            <w:r>
              <w:rPr>
                <w:rFonts w:ascii="Arial" w:cs="Arial" w:eastAsia="Arial" w:hAnsi="Arial"/>
                <w:sz w:val="10"/>
                <w:szCs w:val="10"/>
                <w:color w:val="auto"/>
              </w:rPr>
              <w:t>Benmore In-Depth Corp.</w:t>
            </w:r>
          </w:p>
        </w:tc>
        <w:tc>
          <w:tcPr>
            <w:tcW w:w="1560" w:type="dxa"/>
            <w:vAlign w:val="bottom"/>
            <w:gridSpan w:val="2"/>
          </w:tcPr>
          <w:p>
            <w:pPr>
              <w:jc w:val="center"/>
              <w:ind w:right="160"/>
              <w:spacing w:after="0" w:line="93" w:lineRule="exact"/>
              <w:rPr>
                <w:sz w:val="20"/>
                <w:szCs w:val="20"/>
                <w:color w:val="auto"/>
              </w:rPr>
            </w:pPr>
            <w:r>
              <w:rPr>
                <w:rFonts w:ascii="Arial" w:cs="Arial" w:eastAsia="Arial" w:hAnsi="Arial"/>
                <w:sz w:val="10"/>
                <w:szCs w:val="10"/>
                <w:color w:val="auto"/>
                <w:w w:val="87"/>
              </w:rPr>
              <w:t>Common Stock</w:t>
            </w:r>
          </w:p>
        </w:tc>
        <w:tc>
          <w:tcPr>
            <w:tcW w:w="920" w:type="dxa"/>
            <w:vAlign w:val="bottom"/>
          </w:tcPr>
          <w:p>
            <w:pPr>
              <w:jc w:val="center"/>
              <w:spacing w:after="0" w:line="93" w:lineRule="exact"/>
              <w:rPr>
                <w:sz w:val="20"/>
                <w:szCs w:val="20"/>
                <w:color w:val="auto"/>
              </w:rPr>
            </w:pPr>
            <w:r>
              <w:rPr>
                <w:rFonts w:ascii="Arial" w:cs="Arial" w:eastAsia="Arial" w:hAnsi="Arial"/>
                <w:sz w:val="10"/>
                <w:szCs w:val="10"/>
                <w:color w:val="auto"/>
                <w:w w:val="89"/>
              </w:rPr>
              <w:t>1,000,000</w:t>
            </w:r>
          </w:p>
        </w:tc>
        <w:tc>
          <w:tcPr>
            <w:tcW w:w="180" w:type="dxa"/>
            <w:vAlign w:val="bottom"/>
          </w:tcPr>
          <w:p>
            <w:pPr>
              <w:spacing w:after="0"/>
              <w:rPr>
                <w:sz w:val="8"/>
                <w:szCs w:val="8"/>
                <w:color w:val="auto"/>
              </w:rPr>
            </w:pPr>
          </w:p>
        </w:tc>
        <w:tc>
          <w:tcPr>
            <w:tcW w:w="920" w:type="dxa"/>
            <w:vAlign w:val="bottom"/>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160" w:type="dxa"/>
            <w:vAlign w:val="bottom"/>
          </w:tcPr>
          <w:p>
            <w:pPr>
              <w:spacing w:after="0"/>
              <w:rPr>
                <w:sz w:val="8"/>
                <w:szCs w:val="8"/>
                <w:color w:val="auto"/>
              </w:rPr>
            </w:pPr>
          </w:p>
        </w:tc>
        <w:tc>
          <w:tcPr>
            <w:tcW w:w="3600" w:type="dxa"/>
            <w:vAlign w:val="bottom"/>
            <w:gridSpan w:val="2"/>
          </w:tcPr>
          <w:p>
            <w:pPr>
              <w:spacing w:after="0" w:line="93" w:lineRule="exact"/>
              <w:rPr>
                <w:sz w:val="20"/>
                <w:szCs w:val="20"/>
                <w:color w:val="auto"/>
              </w:rPr>
            </w:pPr>
            <w:r>
              <w:rPr>
                <w:rFonts w:ascii="Arial" w:cs="Arial" w:eastAsia="Arial" w:hAnsi="Arial"/>
                <w:sz w:val="10"/>
                <w:szCs w:val="10"/>
                <w:color w:val="auto"/>
              </w:rPr>
              <w:t>E. Kyle Chapman (President)</w:t>
            </w:r>
          </w:p>
        </w:tc>
        <w:tc>
          <w:tcPr>
            <w:tcW w:w="1820" w:type="dxa"/>
            <w:vAlign w:val="bottom"/>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Steven F. Carvalho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William Marchant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20" w:type="dxa"/>
            <w:vAlign w:val="bottom"/>
          </w:tcPr>
          <w:p>
            <w:pPr>
              <w:spacing w:after="0"/>
              <w:rPr>
                <w:sz w:val="9"/>
                <w:szCs w:val="9"/>
                <w:color w:val="auto"/>
              </w:rPr>
            </w:pPr>
          </w:p>
        </w:tc>
      </w:tr>
      <w:tr>
        <w:trPr>
          <w:trHeight w:val="115"/>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rPr>
                <w:sz w:val="20"/>
                <w:szCs w:val="20"/>
                <w:color w:val="auto"/>
              </w:rPr>
            </w:pPr>
            <w:r>
              <w:rPr>
                <w:rFonts w:ascii="Arial" w:cs="Arial" w:eastAsia="Arial" w:hAnsi="Arial"/>
                <w:sz w:val="10"/>
                <w:szCs w:val="10"/>
                <w:color w:val="auto"/>
              </w:rPr>
              <w:t>Joshua S. Silverman (Assistant Treasurer)</w:t>
            </w:r>
          </w:p>
        </w:tc>
        <w:tc>
          <w:tcPr>
            <w:tcW w:w="1820" w:type="dxa"/>
            <w:vAlign w:val="bottom"/>
          </w:tcPr>
          <w:p>
            <w:pPr>
              <w:spacing w:after="0"/>
              <w:rPr>
                <w:sz w:val="9"/>
                <w:szCs w:val="9"/>
                <w:color w:val="auto"/>
              </w:rPr>
            </w:pPr>
          </w:p>
        </w:tc>
      </w:tr>
      <w:tr>
        <w:trPr>
          <w:trHeight w:val="92"/>
        </w:trPr>
        <w:tc>
          <w:tcPr>
            <w:tcW w:w="230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color w:val="auto"/>
              </w:rPr>
              <w:t>Case Services, Inc.</w:t>
            </w:r>
          </w:p>
        </w:tc>
        <w:tc>
          <w:tcPr>
            <w:tcW w:w="1560" w:type="dxa"/>
            <w:vAlign w:val="bottom"/>
            <w:gridSpan w:val="2"/>
            <w:shd w:val="clear" w:color="auto" w:fill="CCEEFF"/>
          </w:tcPr>
          <w:p>
            <w:pPr>
              <w:jc w:val="center"/>
              <w:ind w:right="160"/>
              <w:spacing w:after="0" w:line="93" w:lineRule="exact"/>
              <w:rPr>
                <w:sz w:val="20"/>
                <w:szCs w:val="20"/>
                <w:color w:val="auto"/>
              </w:rPr>
            </w:pPr>
            <w:r>
              <w:rPr>
                <w:rFonts w:ascii="Arial" w:cs="Arial" w:eastAsia="Arial" w:hAnsi="Arial"/>
                <w:sz w:val="10"/>
                <w:szCs w:val="10"/>
                <w:color w:val="auto"/>
                <w:w w:val="87"/>
              </w:rPr>
              <w:t>Common Stock</w:t>
            </w:r>
          </w:p>
        </w:tc>
        <w:tc>
          <w:tcPr>
            <w:tcW w:w="9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180" w:type="dxa"/>
            <w:vAlign w:val="bottom"/>
            <w:shd w:val="clear" w:color="auto" w:fill="CCEEFF"/>
          </w:tcPr>
          <w:p>
            <w:pPr>
              <w:spacing w:after="0"/>
              <w:rPr>
                <w:sz w:val="8"/>
                <w:szCs w:val="8"/>
                <w:color w:val="auto"/>
              </w:rPr>
            </w:pPr>
          </w:p>
        </w:tc>
        <w:tc>
          <w:tcPr>
            <w:tcW w:w="9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160" w:type="dxa"/>
            <w:vAlign w:val="bottom"/>
            <w:shd w:val="clear" w:color="auto" w:fill="CCEEFF"/>
          </w:tcPr>
          <w:p>
            <w:pPr>
              <w:spacing w:after="0"/>
              <w:rPr>
                <w:sz w:val="8"/>
                <w:szCs w:val="8"/>
                <w:color w:val="auto"/>
              </w:rPr>
            </w:pPr>
          </w:p>
        </w:tc>
        <w:tc>
          <w:tcPr>
            <w:tcW w:w="360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color w:val="auto"/>
              </w:rPr>
              <w:t>E. Kyle Chapman (President)</w:t>
            </w:r>
          </w:p>
        </w:tc>
        <w:tc>
          <w:tcPr>
            <w:tcW w:w="18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Steven F. Carvalho (Vice President)</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20" w:type="dxa"/>
            <w:vAlign w:val="bottom"/>
            <w:shd w:val="clear" w:color="auto" w:fill="CCEEFF"/>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Joshua S. Silverman (Assistant Treasurer)</w:t>
            </w:r>
          </w:p>
        </w:tc>
        <w:tc>
          <w:tcPr>
            <w:tcW w:w="1820" w:type="dxa"/>
            <w:vAlign w:val="bottom"/>
            <w:shd w:val="clear" w:color="auto" w:fill="CCEEFF"/>
          </w:tcPr>
          <w:p>
            <w:pPr>
              <w:spacing w:after="0"/>
              <w:rPr>
                <w:sz w:val="9"/>
                <w:szCs w:val="9"/>
                <w:color w:val="auto"/>
              </w:rPr>
            </w:pPr>
          </w:p>
        </w:tc>
      </w:tr>
      <w:tr>
        <w:trPr>
          <w:trHeight w:val="92"/>
        </w:trPr>
        <w:tc>
          <w:tcPr>
            <w:tcW w:w="2300" w:type="dxa"/>
            <w:vAlign w:val="bottom"/>
            <w:gridSpan w:val="2"/>
          </w:tcPr>
          <w:p>
            <w:pPr>
              <w:spacing w:after="0" w:line="93" w:lineRule="exact"/>
              <w:rPr>
                <w:sz w:val="20"/>
                <w:szCs w:val="20"/>
                <w:color w:val="auto"/>
              </w:rPr>
            </w:pPr>
            <w:r>
              <w:rPr>
                <w:rFonts w:ascii="Arial" w:cs="Arial" w:eastAsia="Arial" w:hAnsi="Arial"/>
                <w:sz w:val="10"/>
                <w:szCs w:val="10"/>
                <w:color w:val="auto"/>
              </w:rPr>
              <w:t>Colombia Petroleum Services Corp.</w:t>
            </w:r>
          </w:p>
        </w:tc>
        <w:tc>
          <w:tcPr>
            <w:tcW w:w="1560" w:type="dxa"/>
            <w:vAlign w:val="bottom"/>
            <w:gridSpan w:val="2"/>
          </w:tcPr>
          <w:p>
            <w:pPr>
              <w:jc w:val="center"/>
              <w:ind w:right="160"/>
              <w:spacing w:after="0" w:line="93" w:lineRule="exact"/>
              <w:rPr>
                <w:sz w:val="20"/>
                <w:szCs w:val="20"/>
                <w:color w:val="auto"/>
              </w:rPr>
            </w:pPr>
            <w:r>
              <w:rPr>
                <w:rFonts w:ascii="Arial" w:cs="Arial" w:eastAsia="Arial" w:hAnsi="Arial"/>
                <w:sz w:val="10"/>
                <w:szCs w:val="10"/>
                <w:color w:val="auto"/>
                <w:w w:val="87"/>
              </w:rPr>
              <w:t>Common Stock</w:t>
            </w:r>
          </w:p>
        </w:tc>
        <w:tc>
          <w:tcPr>
            <w:tcW w:w="920" w:type="dxa"/>
            <w:vAlign w:val="bottom"/>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180" w:type="dxa"/>
            <w:vAlign w:val="bottom"/>
          </w:tcPr>
          <w:p>
            <w:pPr>
              <w:spacing w:after="0"/>
              <w:rPr>
                <w:sz w:val="8"/>
                <w:szCs w:val="8"/>
                <w:color w:val="auto"/>
              </w:rPr>
            </w:pPr>
          </w:p>
        </w:tc>
        <w:tc>
          <w:tcPr>
            <w:tcW w:w="920" w:type="dxa"/>
            <w:vAlign w:val="bottom"/>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160" w:type="dxa"/>
            <w:vAlign w:val="bottom"/>
          </w:tcPr>
          <w:p>
            <w:pPr>
              <w:spacing w:after="0"/>
              <w:rPr>
                <w:sz w:val="8"/>
                <w:szCs w:val="8"/>
                <w:color w:val="auto"/>
              </w:rPr>
            </w:pPr>
          </w:p>
        </w:tc>
        <w:tc>
          <w:tcPr>
            <w:tcW w:w="3600" w:type="dxa"/>
            <w:vAlign w:val="bottom"/>
            <w:gridSpan w:val="2"/>
          </w:tcPr>
          <w:p>
            <w:pPr>
              <w:spacing w:after="0" w:line="93" w:lineRule="exact"/>
              <w:rPr>
                <w:sz w:val="20"/>
                <w:szCs w:val="20"/>
                <w:color w:val="auto"/>
              </w:rPr>
            </w:pPr>
            <w:r>
              <w:rPr>
                <w:rFonts w:ascii="Arial" w:cs="Arial" w:eastAsia="Arial" w:hAnsi="Arial"/>
                <w:sz w:val="10"/>
                <w:szCs w:val="10"/>
                <w:color w:val="auto"/>
              </w:rPr>
              <w:t>E. Kyle Chapman (President)</w:t>
            </w:r>
          </w:p>
        </w:tc>
        <w:tc>
          <w:tcPr>
            <w:tcW w:w="1820" w:type="dxa"/>
            <w:vAlign w:val="bottom"/>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Steven F. Carvalho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20" w:type="dxa"/>
            <w:vAlign w:val="bottom"/>
          </w:tcPr>
          <w:p>
            <w:pPr>
              <w:spacing w:after="0"/>
              <w:rPr>
                <w:sz w:val="9"/>
                <w:szCs w:val="9"/>
                <w:color w:val="auto"/>
              </w:rPr>
            </w:pPr>
          </w:p>
        </w:tc>
      </w:tr>
      <w:tr>
        <w:trPr>
          <w:trHeight w:val="115"/>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rPr>
                <w:sz w:val="20"/>
                <w:szCs w:val="20"/>
                <w:color w:val="auto"/>
              </w:rPr>
            </w:pPr>
            <w:r>
              <w:rPr>
                <w:rFonts w:ascii="Arial" w:cs="Arial" w:eastAsia="Arial" w:hAnsi="Arial"/>
                <w:sz w:val="10"/>
                <w:szCs w:val="10"/>
                <w:color w:val="auto"/>
              </w:rPr>
              <w:t>Joshua S. Silverman (Assistant Treasurer)</w:t>
            </w:r>
          </w:p>
        </w:tc>
        <w:tc>
          <w:tcPr>
            <w:tcW w:w="1820" w:type="dxa"/>
            <w:vAlign w:val="bottom"/>
          </w:tcPr>
          <w:p>
            <w:pPr>
              <w:spacing w:after="0"/>
              <w:rPr>
                <w:sz w:val="9"/>
                <w:szCs w:val="9"/>
                <w:color w:val="auto"/>
              </w:rPr>
            </w:pPr>
          </w:p>
        </w:tc>
      </w:tr>
      <w:tr>
        <w:trPr>
          <w:trHeight w:val="92"/>
        </w:trPr>
        <w:tc>
          <w:tcPr>
            <w:tcW w:w="230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color w:val="auto"/>
              </w:rPr>
              <w:t>Columbia Oilfield Supply, Inc.</w:t>
            </w:r>
          </w:p>
        </w:tc>
        <w:tc>
          <w:tcPr>
            <w:tcW w:w="1560" w:type="dxa"/>
            <w:vAlign w:val="bottom"/>
            <w:gridSpan w:val="2"/>
            <w:shd w:val="clear" w:color="auto" w:fill="CCEEFF"/>
          </w:tcPr>
          <w:p>
            <w:pPr>
              <w:jc w:val="center"/>
              <w:ind w:right="160"/>
              <w:spacing w:after="0" w:line="93" w:lineRule="exact"/>
              <w:rPr>
                <w:sz w:val="20"/>
                <w:szCs w:val="20"/>
                <w:color w:val="auto"/>
              </w:rPr>
            </w:pPr>
            <w:r>
              <w:rPr>
                <w:rFonts w:ascii="Arial" w:cs="Arial" w:eastAsia="Arial" w:hAnsi="Arial"/>
                <w:sz w:val="10"/>
                <w:szCs w:val="10"/>
                <w:color w:val="auto"/>
                <w:w w:val="87"/>
              </w:rPr>
              <w:t>Common Stock</w:t>
            </w:r>
          </w:p>
        </w:tc>
        <w:tc>
          <w:tcPr>
            <w:tcW w:w="9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180" w:type="dxa"/>
            <w:vAlign w:val="bottom"/>
            <w:shd w:val="clear" w:color="auto" w:fill="CCEEFF"/>
          </w:tcPr>
          <w:p>
            <w:pPr>
              <w:spacing w:after="0"/>
              <w:rPr>
                <w:sz w:val="8"/>
                <w:szCs w:val="8"/>
                <w:color w:val="auto"/>
              </w:rPr>
            </w:pPr>
          </w:p>
        </w:tc>
        <w:tc>
          <w:tcPr>
            <w:tcW w:w="9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5"/>
              </w:rPr>
              <w:t>100</w:t>
            </w:r>
          </w:p>
        </w:tc>
        <w:tc>
          <w:tcPr>
            <w:tcW w:w="160" w:type="dxa"/>
            <w:vAlign w:val="bottom"/>
            <w:shd w:val="clear" w:color="auto" w:fill="CCEEFF"/>
          </w:tcPr>
          <w:p>
            <w:pPr>
              <w:spacing w:after="0"/>
              <w:rPr>
                <w:sz w:val="8"/>
                <w:szCs w:val="8"/>
                <w:color w:val="auto"/>
              </w:rPr>
            </w:pPr>
          </w:p>
        </w:tc>
        <w:tc>
          <w:tcPr>
            <w:tcW w:w="360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color w:val="auto"/>
              </w:rPr>
              <w:t>E. Kyle Chapman (President)</w:t>
            </w:r>
          </w:p>
        </w:tc>
        <w:tc>
          <w:tcPr>
            <w:tcW w:w="18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Steven F. Carvalho (Vice President)</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20" w:type="dxa"/>
            <w:vAlign w:val="bottom"/>
            <w:shd w:val="clear" w:color="auto" w:fill="CCEEFF"/>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20" w:type="dxa"/>
            <w:vAlign w:val="bottom"/>
            <w:shd w:val="clear" w:color="auto" w:fill="CCEEFF"/>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Joshua S. Silverman (Assistant Treasurer)</w:t>
            </w:r>
          </w:p>
        </w:tc>
        <w:tc>
          <w:tcPr>
            <w:tcW w:w="1820" w:type="dxa"/>
            <w:vAlign w:val="bottom"/>
            <w:shd w:val="clear" w:color="auto" w:fill="CCEEFF"/>
          </w:tcPr>
          <w:p>
            <w:pPr>
              <w:spacing w:after="0"/>
              <w:rPr>
                <w:sz w:val="9"/>
                <w:szCs w:val="9"/>
                <w:color w:val="auto"/>
              </w:rPr>
            </w:pPr>
          </w:p>
        </w:tc>
      </w:tr>
      <w:tr>
        <w:trPr>
          <w:trHeight w:val="92"/>
        </w:trPr>
        <w:tc>
          <w:tcPr>
            <w:tcW w:w="2300" w:type="dxa"/>
            <w:vAlign w:val="bottom"/>
            <w:gridSpan w:val="2"/>
          </w:tcPr>
          <w:p>
            <w:pPr>
              <w:spacing w:after="0" w:line="93" w:lineRule="exact"/>
              <w:rPr>
                <w:sz w:val="20"/>
                <w:szCs w:val="20"/>
                <w:color w:val="auto"/>
              </w:rPr>
            </w:pPr>
            <w:r>
              <w:rPr>
                <w:rFonts w:ascii="Arial" w:cs="Arial" w:eastAsia="Arial" w:hAnsi="Arial"/>
                <w:sz w:val="10"/>
                <w:szCs w:val="10"/>
                <w:color w:val="auto"/>
              </w:rPr>
              <w:t>Datalog Acquisition, LLC</w:t>
            </w:r>
          </w:p>
        </w:tc>
        <w:tc>
          <w:tcPr>
            <w:tcW w:w="1560" w:type="dxa"/>
            <w:vAlign w:val="bottom"/>
            <w:gridSpan w:val="2"/>
          </w:tcPr>
          <w:p>
            <w:pPr>
              <w:jc w:val="center"/>
              <w:ind w:right="160"/>
              <w:spacing w:after="0" w:line="93" w:lineRule="exact"/>
              <w:rPr>
                <w:sz w:val="20"/>
                <w:szCs w:val="20"/>
                <w:color w:val="auto"/>
              </w:rPr>
            </w:pPr>
            <w:r>
              <w:rPr>
                <w:rFonts w:ascii="Arial" w:cs="Arial" w:eastAsia="Arial" w:hAnsi="Arial"/>
                <w:sz w:val="10"/>
                <w:szCs w:val="10"/>
                <w:color w:val="auto"/>
                <w:w w:val="89"/>
              </w:rPr>
              <w:t>Membership Units</w:t>
            </w:r>
          </w:p>
        </w:tc>
        <w:tc>
          <w:tcPr>
            <w:tcW w:w="1100" w:type="dxa"/>
            <w:vAlign w:val="bottom"/>
            <w:gridSpan w:val="2"/>
          </w:tcPr>
          <w:p>
            <w:pPr>
              <w:jc w:val="center"/>
              <w:ind w:right="180"/>
              <w:spacing w:after="0" w:line="93" w:lineRule="exact"/>
              <w:rPr>
                <w:sz w:val="20"/>
                <w:szCs w:val="20"/>
                <w:color w:val="auto"/>
              </w:rPr>
            </w:pPr>
            <w:r>
              <w:rPr>
                <w:rFonts w:ascii="Arial" w:cs="Arial" w:eastAsia="Arial" w:hAnsi="Arial"/>
                <w:sz w:val="10"/>
                <w:szCs w:val="10"/>
                <w:color w:val="auto"/>
                <w:w w:val="95"/>
              </w:rPr>
              <w:t>Unlimited</w:t>
            </w:r>
          </w:p>
        </w:tc>
        <w:tc>
          <w:tcPr>
            <w:tcW w:w="920" w:type="dxa"/>
            <w:vAlign w:val="bottom"/>
          </w:tcPr>
          <w:p>
            <w:pPr>
              <w:jc w:val="center"/>
              <w:spacing w:after="0" w:line="93" w:lineRule="exact"/>
              <w:rPr>
                <w:sz w:val="20"/>
                <w:szCs w:val="20"/>
                <w:color w:val="auto"/>
              </w:rPr>
            </w:pPr>
            <w:r>
              <w:rPr>
                <w:rFonts w:ascii="Arial" w:cs="Arial" w:eastAsia="Arial" w:hAnsi="Arial"/>
                <w:sz w:val="10"/>
                <w:szCs w:val="10"/>
                <w:color w:val="auto"/>
                <w:w w:val="95"/>
              </w:rPr>
              <w:t>100</w:t>
            </w:r>
          </w:p>
        </w:tc>
        <w:tc>
          <w:tcPr>
            <w:tcW w:w="160" w:type="dxa"/>
            <w:vAlign w:val="bottom"/>
          </w:tcPr>
          <w:p>
            <w:pPr>
              <w:spacing w:after="0"/>
              <w:rPr>
                <w:sz w:val="8"/>
                <w:szCs w:val="8"/>
                <w:color w:val="auto"/>
              </w:rPr>
            </w:pPr>
          </w:p>
        </w:tc>
        <w:tc>
          <w:tcPr>
            <w:tcW w:w="3600" w:type="dxa"/>
            <w:vAlign w:val="bottom"/>
            <w:gridSpan w:val="2"/>
          </w:tcPr>
          <w:p>
            <w:pPr>
              <w:spacing w:after="0" w:line="93" w:lineRule="exact"/>
              <w:rPr>
                <w:sz w:val="20"/>
                <w:szCs w:val="20"/>
                <w:color w:val="auto"/>
              </w:rPr>
            </w:pPr>
            <w:r>
              <w:rPr>
                <w:rFonts w:ascii="Arial" w:cs="Arial" w:eastAsia="Arial" w:hAnsi="Arial"/>
                <w:sz w:val="10"/>
                <w:szCs w:val="10"/>
                <w:color w:val="auto"/>
              </w:rPr>
              <w:t>E. Kyle Chapman (President)</w:t>
            </w:r>
          </w:p>
        </w:tc>
        <w:tc>
          <w:tcPr>
            <w:tcW w:w="1820" w:type="dxa"/>
            <w:vAlign w:val="bottom"/>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Charles L. Miller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Chris L. Marshall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David Morris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Dean Bell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Ellen Chin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Etienne Roux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Lawrence Allen Sinor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Marco E. Boos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Mark Hopmann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Steven F. Carvalho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William Marchant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Joshua S. Silverman (Assistant Treasurer)</w:t>
            </w:r>
          </w:p>
        </w:tc>
        <w:tc>
          <w:tcPr>
            <w:tcW w:w="1820" w:type="dxa"/>
            <w:vAlign w:val="bottom"/>
          </w:tcPr>
          <w:p>
            <w:pPr>
              <w:spacing w:after="0"/>
              <w:rPr>
                <w:sz w:val="9"/>
                <w:szCs w:val="9"/>
                <w:color w:val="auto"/>
              </w:rPr>
            </w:pPr>
          </w:p>
        </w:tc>
      </w:tr>
      <w:tr>
        <w:trPr>
          <w:trHeight w:val="104"/>
        </w:trPr>
        <w:tc>
          <w:tcPr>
            <w:tcW w:w="2300" w:type="dxa"/>
            <w:vAlign w:val="bottom"/>
            <w:gridSpan w:val="2"/>
          </w:tcPr>
          <w:p>
            <w:pPr>
              <w:spacing w:after="0" w:line="104" w:lineRule="exact"/>
              <w:rPr>
                <w:sz w:val="20"/>
                <w:szCs w:val="20"/>
                <w:color w:val="auto"/>
              </w:rPr>
            </w:pPr>
            <w:r>
              <w:rPr>
                <w:rFonts w:ascii="Arial" w:cs="Arial" w:eastAsia="Arial" w:hAnsi="Arial"/>
                <w:sz w:val="10"/>
                <w:szCs w:val="10"/>
                <w:color w:val="auto"/>
              </w:rPr>
              <w:t>Discovery Logging, Inc.</w:t>
            </w:r>
          </w:p>
        </w:tc>
        <w:tc>
          <w:tcPr>
            <w:tcW w:w="1560" w:type="dxa"/>
            <w:vAlign w:val="bottom"/>
            <w:gridSpan w:val="2"/>
          </w:tcPr>
          <w:p>
            <w:pPr>
              <w:jc w:val="center"/>
              <w:ind w:right="160"/>
              <w:spacing w:after="0" w:line="104" w:lineRule="exact"/>
              <w:rPr>
                <w:sz w:val="20"/>
                <w:szCs w:val="20"/>
                <w:color w:val="auto"/>
              </w:rPr>
            </w:pPr>
            <w:r>
              <w:rPr>
                <w:rFonts w:ascii="Arial" w:cs="Arial" w:eastAsia="Arial" w:hAnsi="Arial"/>
                <w:sz w:val="10"/>
                <w:szCs w:val="10"/>
                <w:color w:val="auto"/>
                <w:w w:val="87"/>
              </w:rPr>
              <w:t>Common Stock</w:t>
            </w:r>
          </w:p>
        </w:tc>
        <w:tc>
          <w:tcPr>
            <w:tcW w:w="920" w:type="dxa"/>
            <w:vAlign w:val="bottom"/>
          </w:tcPr>
          <w:p>
            <w:pPr>
              <w:jc w:val="center"/>
              <w:spacing w:after="0" w:line="104" w:lineRule="exact"/>
              <w:rPr>
                <w:sz w:val="20"/>
                <w:szCs w:val="20"/>
                <w:color w:val="auto"/>
              </w:rPr>
            </w:pPr>
            <w:r>
              <w:rPr>
                <w:rFonts w:ascii="Arial" w:cs="Arial" w:eastAsia="Arial" w:hAnsi="Arial"/>
                <w:sz w:val="10"/>
                <w:szCs w:val="10"/>
                <w:color w:val="auto"/>
                <w:w w:val="84"/>
              </w:rPr>
              <w:t>20,000</w:t>
            </w:r>
          </w:p>
        </w:tc>
        <w:tc>
          <w:tcPr>
            <w:tcW w:w="180" w:type="dxa"/>
            <w:vAlign w:val="bottom"/>
          </w:tcPr>
          <w:p>
            <w:pPr>
              <w:spacing w:after="0"/>
              <w:rPr>
                <w:sz w:val="9"/>
                <w:szCs w:val="9"/>
                <w:color w:val="auto"/>
              </w:rPr>
            </w:pPr>
          </w:p>
        </w:tc>
        <w:tc>
          <w:tcPr>
            <w:tcW w:w="920" w:type="dxa"/>
            <w:vAlign w:val="bottom"/>
          </w:tcPr>
          <w:p>
            <w:pPr>
              <w:jc w:val="center"/>
              <w:spacing w:after="0" w:line="104" w:lineRule="exact"/>
              <w:rPr>
                <w:sz w:val="20"/>
                <w:szCs w:val="20"/>
                <w:color w:val="auto"/>
              </w:rPr>
            </w:pPr>
            <w:r>
              <w:rPr>
                <w:rFonts w:ascii="Arial" w:cs="Arial" w:eastAsia="Arial" w:hAnsi="Arial"/>
                <w:sz w:val="10"/>
                <w:szCs w:val="10"/>
                <w:color w:val="auto"/>
                <w:w w:val="87"/>
              </w:rPr>
              <w:t>2,500</w:t>
            </w: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E. Kyle Chapman (President and Vice President)</w:t>
            </w:r>
          </w:p>
        </w:tc>
        <w:tc>
          <w:tcPr>
            <w:tcW w:w="1820" w:type="dxa"/>
            <w:vAlign w:val="bottom"/>
          </w:tcPr>
          <w:p>
            <w:pPr>
              <w:jc w:val="center"/>
              <w:spacing w:after="0" w:line="104"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Danielle J.M. Nicholas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David Morris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Dean Bell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Ellen Chin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Etienne Roux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Lawrence Allen Sinor (Vice President)</w:t>
            </w:r>
          </w:p>
        </w:tc>
        <w:tc>
          <w:tcPr>
            <w:tcW w:w="182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04" w:lineRule="exact"/>
              <w:rPr>
                <w:sz w:val="20"/>
                <w:szCs w:val="20"/>
                <w:color w:val="auto"/>
              </w:rPr>
            </w:pPr>
            <w:r>
              <w:rPr>
                <w:rFonts w:ascii="Arial" w:cs="Arial" w:eastAsia="Arial" w:hAnsi="Arial"/>
                <w:sz w:val="10"/>
                <w:szCs w:val="10"/>
                <w:color w:val="auto"/>
              </w:rPr>
              <w:t>Marco E. Boos (Vice President)</w:t>
            </w:r>
          </w:p>
        </w:tc>
        <w:tc>
          <w:tcPr>
            <w:tcW w:w="1820" w:type="dxa"/>
            <w:vAlign w:val="bottom"/>
          </w:tcPr>
          <w:p>
            <w:pPr>
              <w:spacing w:after="0"/>
              <w:rPr>
                <w:sz w:val="9"/>
                <w:szCs w:val="9"/>
                <w:color w:val="auto"/>
              </w:rPr>
            </w:pPr>
          </w:p>
        </w:tc>
      </w:tr>
      <w:tr>
        <w:trPr>
          <w:trHeight w:val="112"/>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0" w:type="dxa"/>
            <w:vAlign w:val="bottom"/>
            <w:gridSpan w:val="2"/>
          </w:tcPr>
          <w:p>
            <w:pPr>
              <w:spacing w:after="0" w:line="112" w:lineRule="exact"/>
              <w:rPr>
                <w:sz w:val="20"/>
                <w:szCs w:val="20"/>
                <w:color w:val="auto"/>
              </w:rPr>
            </w:pPr>
            <w:r>
              <w:rPr>
                <w:rFonts w:ascii="Arial" w:cs="Arial" w:eastAsia="Arial" w:hAnsi="Arial"/>
                <w:sz w:val="10"/>
                <w:szCs w:val="10"/>
                <w:color w:val="auto"/>
              </w:rPr>
              <w:t>Mark Hopmann (Vice President)</w:t>
            </w:r>
          </w:p>
        </w:tc>
        <w:tc>
          <w:tcPr>
            <w:tcW w:w="18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-589915</wp:posOffset>
            </wp:positionV>
            <wp:extent cx="7278370" cy="922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8370" cy="922020"/>
                    </a:xfrm>
                    <a:prstGeom prst="rect">
                      <a:avLst/>
                    </a:prstGeom>
                    <a:noFill/>
                  </pic:spPr>
                </pic:pic>
              </a:graphicData>
            </a:graphic>
          </wp:anchor>
        </w:drawing>
      </w:r>
    </w:p>
    <w:p>
      <w:pPr>
        <w:ind w:left="6040"/>
        <w:spacing w:after="0" w:line="216" w:lineRule="auto"/>
        <w:rPr>
          <w:sz w:val="20"/>
          <w:szCs w:val="20"/>
          <w:color w:val="auto"/>
        </w:rPr>
      </w:pPr>
      <w:r>
        <w:rPr>
          <w:rFonts w:ascii="Arial" w:cs="Arial" w:eastAsia="Arial" w:hAnsi="Arial"/>
          <w:sz w:val="10"/>
          <w:szCs w:val="10"/>
          <w:color w:val="auto"/>
        </w:rPr>
        <w:t>Maximiliano Alberto Kricorian Sanchez Moreno (Vice President)</w:t>
      </w:r>
    </w:p>
    <w:p>
      <w:pPr>
        <w:ind w:left="6040"/>
        <w:spacing w:after="0" w:line="216" w:lineRule="auto"/>
        <w:rPr>
          <w:sz w:val="20"/>
          <w:szCs w:val="20"/>
          <w:color w:val="auto"/>
        </w:rPr>
      </w:pPr>
      <w:r>
        <w:rPr>
          <w:rFonts w:ascii="Arial" w:cs="Arial" w:eastAsia="Arial" w:hAnsi="Arial"/>
          <w:sz w:val="10"/>
          <w:szCs w:val="10"/>
          <w:color w:val="auto"/>
        </w:rPr>
        <w:t>Steven F. Carvalho (Vice President)</w:t>
      </w:r>
    </w:p>
    <w:p>
      <w:pPr>
        <w:ind w:left="6040"/>
        <w:spacing w:after="0" w:line="217" w:lineRule="auto"/>
        <w:rPr>
          <w:sz w:val="20"/>
          <w:szCs w:val="20"/>
          <w:color w:val="auto"/>
        </w:rPr>
      </w:pPr>
      <w:r>
        <w:rPr>
          <w:rFonts w:ascii="Arial" w:cs="Arial" w:eastAsia="Arial" w:hAnsi="Arial"/>
          <w:sz w:val="10"/>
          <w:szCs w:val="10"/>
          <w:color w:val="auto"/>
        </w:rPr>
        <w:t>William Marchant (Vice President)</w:t>
      </w:r>
    </w:p>
    <w:p>
      <w:pPr>
        <w:ind w:left="6040"/>
        <w:spacing w:after="0" w:line="216" w:lineRule="auto"/>
        <w:rPr>
          <w:sz w:val="20"/>
          <w:szCs w:val="20"/>
          <w:color w:val="auto"/>
        </w:rPr>
      </w:pPr>
      <w:r>
        <w:rPr>
          <w:rFonts w:ascii="Arial" w:cs="Arial" w:eastAsia="Arial" w:hAnsi="Arial"/>
          <w:sz w:val="10"/>
          <w:szCs w:val="10"/>
          <w:color w:val="auto"/>
        </w:rPr>
        <w:t>Christine M. Morrison (Vice President and Secretary)</w:t>
      </w:r>
    </w:p>
    <w:p>
      <w:pPr>
        <w:ind w:left="6040"/>
        <w:spacing w:after="0"/>
        <w:rPr>
          <w:sz w:val="20"/>
          <w:szCs w:val="20"/>
          <w:color w:val="auto"/>
        </w:rPr>
      </w:pPr>
      <w:r>
        <w:rPr>
          <w:rFonts w:ascii="Arial" w:cs="Arial" w:eastAsia="Arial" w:hAnsi="Arial"/>
          <w:sz w:val="10"/>
          <w:szCs w:val="10"/>
          <w:color w:val="auto"/>
        </w:rPr>
        <w:t>Mark M. Rothleitner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297420"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115"/>
        </w:trPr>
        <w:tc>
          <w:tcPr>
            <w:tcW w:w="23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92"/>
        </w:trPr>
        <w:tc>
          <w:tcPr>
            <w:tcW w:w="2360" w:type="dxa"/>
            <w:vAlign w:val="bottom"/>
          </w:tcPr>
          <w:p>
            <w:pPr>
              <w:spacing w:after="0" w:line="93" w:lineRule="exact"/>
              <w:rPr>
                <w:sz w:val="20"/>
                <w:szCs w:val="20"/>
                <w:color w:val="auto"/>
              </w:rPr>
            </w:pPr>
            <w:r>
              <w:rPr>
                <w:rFonts w:ascii="Arial" w:cs="Arial" w:eastAsia="Arial" w:hAnsi="Arial"/>
                <w:sz w:val="10"/>
                <w:szCs w:val="10"/>
                <w:color w:val="auto"/>
                <w:w w:val="98"/>
              </w:rPr>
              <w:t>Edinburgh Petroleum Services Americas Incorporated</w:t>
            </w:r>
          </w:p>
        </w:tc>
        <w:tc>
          <w:tcPr>
            <w:tcW w:w="138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40" w:type="dxa"/>
            <w:vAlign w:val="bottom"/>
          </w:tcPr>
          <w:p>
            <w:pPr>
              <w:jc w:val="center"/>
              <w:spacing w:after="0" w:line="93" w:lineRule="exact"/>
              <w:rPr>
                <w:sz w:val="20"/>
                <w:szCs w:val="20"/>
                <w:color w:val="auto"/>
              </w:rPr>
            </w:pPr>
            <w:r>
              <w:rPr>
                <w:rFonts w:ascii="Arial" w:cs="Arial" w:eastAsia="Arial" w:hAnsi="Arial"/>
                <w:sz w:val="10"/>
                <w:szCs w:val="10"/>
                <w:color w:val="auto"/>
                <w:w w:val="84"/>
              </w:rPr>
              <w:t>10,000</w:t>
            </w:r>
          </w:p>
        </w:tc>
        <w:tc>
          <w:tcPr>
            <w:tcW w:w="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87"/>
              </w:rPr>
              <w:t>1,000</w:t>
            </w:r>
          </w:p>
        </w:tc>
        <w:tc>
          <w:tcPr>
            <w:tcW w:w="3340" w:type="dxa"/>
            <w:vAlign w:val="bottom"/>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2300" w:type="dxa"/>
            <w:vAlign w:val="bottom"/>
          </w:tcPr>
          <w:p>
            <w:pPr>
              <w:jc w:val="center"/>
              <w:ind w:left="43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William Marchant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eProduction Solutions, LLC</w:t>
            </w:r>
          </w:p>
        </w:tc>
        <w:tc>
          <w:tcPr>
            <w:tcW w:w="138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9"/>
              </w:rPr>
              <w:t>Membership Units</w:t>
            </w:r>
          </w:p>
        </w:tc>
        <w:tc>
          <w:tcPr>
            <w:tcW w:w="1140" w:type="dxa"/>
            <w:vAlign w:val="bottom"/>
            <w:shd w:val="clear" w:color="auto" w:fill="CCEEFF"/>
          </w:tcPr>
          <w:p>
            <w:pPr>
              <w:ind w:left="380"/>
              <w:spacing w:after="0" w:line="93" w:lineRule="exact"/>
              <w:rPr>
                <w:sz w:val="20"/>
                <w:szCs w:val="20"/>
                <w:color w:val="auto"/>
              </w:rPr>
            </w:pPr>
            <w:r>
              <w:rPr>
                <w:rFonts w:ascii="Arial" w:cs="Arial" w:eastAsia="Arial" w:hAnsi="Arial"/>
                <w:sz w:val="10"/>
                <w:szCs w:val="10"/>
                <w:color w:val="auto"/>
              </w:rPr>
              <w:t>Unlimited</w:t>
            </w:r>
          </w:p>
        </w:tc>
        <w:tc>
          <w:tcPr>
            <w:tcW w:w="940" w:type="dxa"/>
            <w:vAlign w:val="bottom"/>
            <w:shd w:val="clear" w:color="auto" w:fill="CCEEFF"/>
          </w:tcPr>
          <w:p>
            <w:pPr>
              <w:jc w:val="center"/>
              <w:ind w:left="72"/>
              <w:spacing w:after="0" w:line="93" w:lineRule="exact"/>
              <w:rPr>
                <w:sz w:val="20"/>
                <w:szCs w:val="20"/>
                <w:color w:val="auto"/>
              </w:rPr>
            </w:pPr>
            <w:r>
              <w:rPr>
                <w:rFonts w:ascii="Arial" w:cs="Arial" w:eastAsia="Arial" w:hAnsi="Arial"/>
                <w:sz w:val="10"/>
                <w:szCs w:val="10"/>
                <w:color w:val="auto"/>
                <w:w w:val="87"/>
              </w:rPr>
              <w:t>1,000</w:t>
            </w:r>
          </w:p>
        </w:tc>
        <w:tc>
          <w:tcPr>
            <w:tcW w:w="334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2300" w:type="dxa"/>
            <w:vAlign w:val="bottom"/>
            <w:shd w:val="clear" w:color="auto" w:fill="CCEEFF"/>
          </w:tcPr>
          <w:p>
            <w:pPr>
              <w:jc w:val="center"/>
              <w:ind w:left="432"/>
              <w:spacing w:after="0" w:line="93" w:lineRule="exact"/>
              <w:rPr>
                <w:sz w:val="20"/>
                <w:szCs w:val="20"/>
                <w:color w:val="auto"/>
              </w:rPr>
            </w:pPr>
            <w:r>
              <w:rPr>
                <w:rFonts w:ascii="Arial" w:cs="Arial" w:eastAsia="Arial" w:hAnsi="Arial"/>
                <w:sz w:val="10"/>
                <w:szCs w:val="10"/>
                <w:color w:val="auto"/>
                <w:w w:val="93"/>
              </w:rPr>
              <w:t>Weatherford Artificial Lift Systems, LLC</w:t>
            </w:r>
          </w:p>
        </w:tc>
        <w:tc>
          <w:tcPr>
            <w:tcW w:w="40" w:type="dxa"/>
            <w:vAlign w:val="bottom"/>
          </w:tcPr>
          <w:p>
            <w:pPr>
              <w:spacing w:after="0"/>
              <w:rPr>
                <w:sz w:val="8"/>
                <w:szCs w:val="8"/>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Chris L. Marshall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David Morris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Dean Bell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Ellen Chin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Etienne Roux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Marco E. Boos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Hopmann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Oscar Rivera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William Marchant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60" w:type="dxa"/>
            <w:vAlign w:val="bottom"/>
          </w:tcPr>
          <w:p>
            <w:pPr>
              <w:spacing w:after="0" w:line="93" w:lineRule="exact"/>
              <w:rPr>
                <w:sz w:val="20"/>
                <w:szCs w:val="20"/>
                <w:color w:val="auto"/>
              </w:rPr>
            </w:pPr>
            <w:r>
              <w:rPr>
                <w:rFonts w:ascii="Arial" w:cs="Arial" w:eastAsia="Arial" w:hAnsi="Arial"/>
                <w:sz w:val="10"/>
                <w:szCs w:val="10"/>
                <w:color w:val="auto"/>
              </w:rPr>
              <w:t>High Pressure Integrity, Inc.</w:t>
            </w:r>
          </w:p>
        </w:tc>
        <w:tc>
          <w:tcPr>
            <w:tcW w:w="138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40" w:type="dxa"/>
            <w:vAlign w:val="bottom"/>
          </w:tcPr>
          <w:p>
            <w:pPr>
              <w:jc w:val="center"/>
              <w:spacing w:after="0" w:line="93" w:lineRule="exact"/>
              <w:rPr>
                <w:sz w:val="20"/>
                <w:szCs w:val="20"/>
                <w:color w:val="auto"/>
              </w:rPr>
            </w:pPr>
            <w:r>
              <w:rPr>
                <w:rFonts w:ascii="Arial" w:cs="Arial" w:eastAsia="Arial" w:hAnsi="Arial"/>
                <w:sz w:val="10"/>
                <w:szCs w:val="10"/>
                <w:color w:val="auto"/>
                <w:w w:val="84"/>
              </w:rPr>
              <w:t>10,000</w:t>
            </w:r>
          </w:p>
        </w:tc>
        <w:tc>
          <w:tcPr>
            <w:tcW w:w="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95"/>
              </w:rPr>
              <w:t>125</w:t>
            </w:r>
          </w:p>
        </w:tc>
        <w:tc>
          <w:tcPr>
            <w:tcW w:w="3340" w:type="dxa"/>
            <w:vAlign w:val="bottom"/>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2300" w:type="dxa"/>
            <w:vAlign w:val="bottom"/>
          </w:tcPr>
          <w:p>
            <w:pPr>
              <w:jc w:val="center"/>
              <w:ind w:left="43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Dean Bell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Etienne Roux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Mark Hopmann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In-Depth Systems, Inc.</w:t>
            </w:r>
          </w:p>
        </w:tc>
        <w:tc>
          <w:tcPr>
            <w:tcW w:w="138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4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9"/>
              </w:rPr>
              <w:t>5,000,000</w:t>
            </w:r>
          </w:p>
        </w:tc>
        <w:tc>
          <w:tcPr>
            <w:tcW w:w="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9"/>
              </w:rPr>
              <w:t>1,545,827</w:t>
            </w:r>
          </w:p>
        </w:tc>
        <w:tc>
          <w:tcPr>
            <w:tcW w:w="334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2300" w:type="dxa"/>
            <w:vAlign w:val="bottom"/>
            <w:shd w:val="clear" w:color="auto" w:fill="CCEEFF"/>
          </w:tcPr>
          <w:p>
            <w:pPr>
              <w:jc w:val="center"/>
              <w:ind w:left="43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60" w:type="dxa"/>
            <w:vAlign w:val="bottom"/>
          </w:tcPr>
          <w:p>
            <w:pPr>
              <w:spacing w:after="0" w:line="93" w:lineRule="exact"/>
              <w:rPr>
                <w:sz w:val="20"/>
                <w:szCs w:val="20"/>
                <w:color w:val="auto"/>
              </w:rPr>
            </w:pPr>
            <w:r>
              <w:rPr>
                <w:rFonts w:ascii="Arial" w:cs="Arial" w:eastAsia="Arial" w:hAnsi="Arial"/>
                <w:sz w:val="10"/>
                <w:szCs w:val="10"/>
                <w:color w:val="auto"/>
              </w:rPr>
              <w:t>International Logging LLC</w:t>
            </w:r>
          </w:p>
        </w:tc>
        <w:tc>
          <w:tcPr>
            <w:tcW w:w="138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9"/>
              </w:rPr>
              <w:t>Membership Units</w:t>
            </w:r>
          </w:p>
        </w:tc>
        <w:tc>
          <w:tcPr>
            <w:tcW w:w="1140" w:type="dxa"/>
            <w:vAlign w:val="bottom"/>
          </w:tcPr>
          <w:p>
            <w:pPr>
              <w:jc w:val="center"/>
              <w:spacing w:after="0" w:line="93" w:lineRule="exact"/>
              <w:rPr>
                <w:sz w:val="20"/>
                <w:szCs w:val="20"/>
                <w:color w:val="auto"/>
              </w:rPr>
            </w:pPr>
            <w:r>
              <w:rPr>
                <w:rFonts w:ascii="Arial" w:cs="Arial" w:eastAsia="Arial" w:hAnsi="Arial"/>
                <w:sz w:val="10"/>
                <w:szCs w:val="10"/>
                <w:color w:val="auto"/>
                <w:w w:val="83"/>
              </w:rPr>
              <w:t>100</w:t>
            </w:r>
          </w:p>
        </w:tc>
        <w:tc>
          <w:tcPr>
            <w:tcW w:w="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340" w:type="dxa"/>
            <w:vAlign w:val="bottom"/>
          </w:tcPr>
          <w:p>
            <w:pPr>
              <w:ind w:left="220"/>
              <w:spacing w:after="0" w:line="93" w:lineRule="exact"/>
              <w:rPr>
                <w:sz w:val="20"/>
                <w:szCs w:val="20"/>
                <w:color w:val="auto"/>
              </w:rPr>
            </w:pPr>
            <w:r>
              <w:rPr>
                <w:rFonts w:ascii="Arial" w:cs="Arial" w:eastAsia="Arial" w:hAnsi="Arial"/>
                <w:sz w:val="10"/>
                <w:szCs w:val="10"/>
                <w:color w:val="auto"/>
              </w:rPr>
              <w:t>Charles L. Miller (President)</w:t>
            </w:r>
          </w:p>
        </w:tc>
        <w:tc>
          <w:tcPr>
            <w:tcW w:w="2300" w:type="dxa"/>
            <w:vAlign w:val="bottom"/>
          </w:tcPr>
          <w:p>
            <w:pPr>
              <w:jc w:val="center"/>
              <w:ind w:left="43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Dean Bell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E. Kyle Chapman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Etienne Roux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Mark Hopmann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William Marchant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International Logging S.A., LLC</w:t>
            </w:r>
          </w:p>
        </w:tc>
        <w:tc>
          <w:tcPr>
            <w:tcW w:w="138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9"/>
              </w:rPr>
              <w:t>Membership Units</w:t>
            </w:r>
          </w:p>
        </w:tc>
        <w:tc>
          <w:tcPr>
            <w:tcW w:w="1140" w:type="dxa"/>
            <w:vAlign w:val="bottom"/>
            <w:shd w:val="clear" w:color="auto" w:fill="CCEEFF"/>
          </w:tcPr>
          <w:p>
            <w:pPr>
              <w:ind w:left="380"/>
              <w:spacing w:after="0" w:line="93" w:lineRule="exact"/>
              <w:rPr>
                <w:sz w:val="20"/>
                <w:szCs w:val="20"/>
                <w:color w:val="auto"/>
              </w:rPr>
            </w:pPr>
            <w:r>
              <w:rPr>
                <w:rFonts w:ascii="Arial" w:cs="Arial" w:eastAsia="Arial" w:hAnsi="Arial"/>
                <w:sz w:val="10"/>
                <w:szCs w:val="10"/>
                <w:color w:val="auto"/>
              </w:rPr>
              <w:t>Unlimited</w:t>
            </w:r>
          </w:p>
        </w:tc>
        <w:tc>
          <w:tcPr>
            <w:tcW w:w="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34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Charles L. Miller (President)</w:t>
            </w:r>
          </w:p>
        </w:tc>
        <w:tc>
          <w:tcPr>
            <w:tcW w:w="2300" w:type="dxa"/>
            <w:vAlign w:val="bottom"/>
            <w:shd w:val="clear" w:color="auto" w:fill="CCEEFF"/>
          </w:tcPr>
          <w:p>
            <w:pPr>
              <w:jc w:val="center"/>
              <w:ind w:left="43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Dean Bell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E. Kyle Chapman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Etienne Roux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Hopmann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William Marchant (Vice President)</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2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60" w:type="dxa"/>
            <w:vAlign w:val="bottom"/>
          </w:tcPr>
          <w:p>
            <w:pPr>
              <w:spacing w:after="0" w:line="93" w:lineRule="exact"/>
              <w:rPr>
                <w:sz w:val="20"/>
                <w:szCs w:val="20"/>
                <w:color w:val="auto"/>
              </w:rPr>
            </w:pPr>
            <w:r>
              <w:rPr>
                <w:rFonts w:ascii="Arial" w:cs="Arial" w:eastAsia="Arial" w:hAnsi="Arial"/>
                <w:sz w:val="10"/>
                <w:szCs w:val="10"/>
                <w:color w:val="auto"/>
              </w:rPr>
              <w:t>Key International Drilling Company Limited</w:t>
            </w:r>
          </w:p>
        </w:tc>
        <w:tc>
          <w:tcPr>
            <w:tcW w:w="138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40" w:type="dxa"/>
            <w:vAlign w:val="bottom"/>
          </w:tcPr>
          <w:p>
            <w:pPr>
              <w:jc w:val="center"/>
              <w:spacing w:after="0" w:line="93" w:lineRule="exact"/>
              <w:rPr>
                <w:sz w:val="20"/>
                <w:szCs w:val="20"/>
                <w:color w:val="auto"/>
              </w:rPr>
            </w:pPr>
            <w:r>
              <w:rPr>
                <w:rFonts w:ascii="Arial" w:cs="Arial" w:eastAsia="Arial" w:hAnsi="Arial"/>
                <w:sz w:val="10"/>
                <w:szCs w:val="10"/>
                <w:color w:val="auto"/>
                <w:w w:val="84"/>
              </w:rPr>
              <w:t>12,000</w:t>
            </w:r>
          </w:p>
        </w:tc>
        <w:tc>
          <w:tcPr>
            <w:tcW w:w="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91"/>
              </w:rPr>
              <w:t>12,000</w:t>
            </w:r>
          </w:p>
        </w:tc>
        <w:tc>
          <w:tcPr>
            <w:tcW w:w="3340" w:type="dxa"/>
            <w:vAlign w:val="bottom"/>
          </w:tcPr>
          <w:p>
            <w:pPr>
              <w:ind w:left="220"/>
              <w:spacing w:after="0" w:line="93" w:lineRule="exact"/>
              <w:rPr>
                <w:sz w:val="20"/>
                <w:szCs w:val="20"/>
                <w:color w:val="auto"/>
              </w:rPr>
            </w:pPr>
            <w:r>
              <w:rPr>
                <w:rFonts w:ascii="Arial" w:cs="Arial" w:eastAsia="Arial" w:hAnsi="Arial"/>
                <w:sz w:val="10"/>
                <w:szCs w:val="10"/>
                <w:color w:val="auto"/>
              </w:rPr>
              <w:t>Andrew Gold (President)</w:t>
            </w:r>
          </w:p>
        </w:tc>
        <w:tc>
          <w:tcPr>
            <w:tcW w:w="2300" w:type="dxa"/>
            <w:vAlign w:val="bottom"/>
          </w:tcPr>
          <w:p>
            <w:pPr>
              <w:jc w:val="center"/>
              <w:ind w:left="432"/>
              <w:spacing w:after="0" w:line="93" w:lineRule="exact"/>
              <w:rPr>
                <w:sz w:val="20"/>
                <w:szCs w:val="20"/>
                <w:color w:val="auto"/>
              </w:rPr>
            </w:pPr>
            <w:r>
              <w:rPr>
                <w:rFonts w:ascii="Arial" w:cs="Arial" w:eastAsia="Arial" w:hAnsi="Arial"/>
                <w:sz w:val="10"/>
                <w:szCs w:val="10"/>
                <w:color w:val="auto"/>
                <w:w w:val="93"/>
              </w:rPr>
              <w:t>Andrew Gold</w:t>
            </w:r>
          </w:p>
        </w:tc>
        <w:tc>
          <w:tcPr>
            <w:tcW w:w="40" w:type="dxa"/>
            <w:vAlign w:val="bottom"/>
          </w:tcPr>
          <w:p>
            <w:pPr>
              <w:spacing w:after="0"/>
              <w:rPr>
                <w:sz w:val="8"/>
                <w:szCs w:val="8"/>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Stuart Fraser (Senior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Danielle J.M. Nicholas (Vice President)</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40" w:type="dxa"/>
            <w:vAlign w:val="bottom"/>
          </w:tcPr>
          <w:p>
            <w:pPr>
              <w:ind w:left="220"/>
              <w:spacing w:after="0" w:line="104" w:lineRule="exact"/>
              <w:rPr>
                <w:sz w:val="20"/>
                <w:szCs w:val="20"/>
                <w:color w:val="auto"/>
              </w:rPr>
            </w:pPr>
            <w:r>
              <w:rPr>
                <w:rFonts w:ascii="Arial" w:cs="Arial" w:eastAsia="Arial" w:hAnsi="Arial"/>
                <w:sz w:val="10"/>
                <w:szCs w:val="10"/>
                <w:color w:val="auto"/>
              </w:rPr>
              <w:t>Conyers Corporate Services (Bermuda) Limited (Secretary)</w:t>
            </w:r>
          </w:p>
        </w:tc>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2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340" w:type="dxa"/>
            <w:vAlign w:val="bottom"/>
          </w:tcPr>
          <w:p>
            <w:pPr>
              <w:ind w:left="220"/>
              <w:spacing w:after="0"/>
              <w:rPr>
                <w:sz w:val="20"/>
                <w:szCs w:val="20"/>
                <w:color w:val="auto"/>
              </w:rPr>
            </w:pPr>
            <w:r>
              <w:rPr>
                <w:rFonts w:ascii="Arial" w:cs="Arial" w:eastAsia="Arial" w:hAnsi="Arial"/>
                <w:sz w:val="10"/>
                <w:szCs w:val="10"/>
                <w:color w:val="auto"/>
              </w:rPr>
              <w:t>Christine M. Morrison (Assistant Secretary)</w:t>
            </w:r>
          </w:p>
        </w:tc>
        <w:tc>
          <w:tcPr>
            <w:tcW w:w="23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8"/>
        </w:trPr>
        <w:tc>
          <w:tcPr>
            <w:tcW w:w="236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3340" w:type="dxa"/>
            <w:vAlign w:val="bottom"/>
            <w:tcBorders>
              <w:bottom w:val="single" w:sz="8" w:color="808080"/>
            </w:tcBorders>
          </w:tcPr>
          <w:p>
            <w:pPr>
              <w:spacing w:after="0"/>
              <w:rPr>
                <w:sz w:val="22"/>
                <w:szCs w:val="22"/>
                <w:color w:val="auto"/>
              </w:rPr>
            </w:pPr>
          </w:p>
        </w:tc>
        <w:tc>
          <w:tcPr>
            <w:tcW w:w="230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4" w:right="17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115"/>
        </w:trPr>
        <w:tc>
          <w:tcPr>
            <w:tcW w:w="210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shd w:val="clear" w:color="auto" w:fill="CCEEFF"/>
          </w:tcPr>
          <w:p>
            <w:pPr>
              <w:spacing w:after="0"/>
              <w:rPr>
                <w:sz w:val="10"/>
                <w:szCs w:val="10"/>
                <w:color w:val="auto"/>
              </w:rPr>
            </w:pPr>
          </w:p>
        </w:tc>
      </w:tr>
      <w:tr>
        <w:trPr>
          <w:trHeight w:val="92"/>
        </w:trPr>
        <w:tc>
          <w:tcPr>
            <w:tcW w:w="2100" w:type="dxa"/>
            <w:vAlign w:val="bottom"/>
          </w:tcPr>
          <w:p>
            <w:pPr>
              <w:spacing w:after="0" w:line="93" w:lineRule="exact"/>
              <w:rPr>
                <w:sz w:val="20"/>
                <w:szCs w:val="20"/>
                <w:color w:val="auto"/>
              </w:rPr>
            </w:pPr>
            <w:r>
              <w:rPr>
                <w:rFonts w:ascii="Arial" w:cs="Arial" w:eastAsia="Arial" w:hAnsi="Arial"/>
                <w:sz w:val="10"/>
                <w:szCs w:val="10"/>
                <w:color w:val="auto"/>
              </w:rPr>
              <w:t>PD Holdings (USA), L.P.</w:t>
            </w:r>
          </w:p>
        </w:tc>
        <w:tc>
          <w:tcPr>
            <w:tcW w:w="1660" w:type="dxa"/>
            <w:vAlign w:val="bottom"/>
          </w:tcPr>
          <w:p>
            <w:pPr>
              <w:jc w:val="center"/>
              <w:ind w:left="92"/>
              <w:spacing w:after="0" w:line="93" w:lineRule="exact"/>
              <w:rPr>
                <w:sz w:val="20"/>
                <w:szCs w:val="20"/>
                <w:color w:val="auto"/>
              </w:rPr>
            </w:pPr>
            <w:r>
              <w:rPr>
                <w:rFonts w:ascii="Arial" w:cs="Arial" w:eastAsia="Arial" w:hAnsi="Arial"/>
                <w:sz w:val="10"/>
                <w:szCs w:val="10"/>
                <w:color w:val="auto"/>
                <w:w w:val="86"/>
              </w:rPr>
              <w:t>Partnership Interests</w:t>
            </w:r>
          </w:p>
        </w:tc>
        <w:tc>
          <w:tcPr>
            <w:tcW w:w="1080" w:type="dxa"/>
            <w:vAlign w:val="bottom"/>
          </w:tcPr>
          <w:p>
            <w:pPr>
              <w:jc w:val="center"/>
              <w:spacing w:after="0" w:line="93" w:lineRule="exact"/>
              <w:rPr>
                <w:sz w:val="20"/>
                <w:szCs w:val="20"/>
                <w:color w:val="auto"/>
              </w:rPr>
            </w:pPr>
            <w:r>
              <w:rPr>
                <w:rFonts w:ascii="Arial" w:cs="Arial" w:eastAsia="Arial" w:hAnsi="Arial"/>
                <w:sz w:val="10"/>
                <w:szCs w:val="10"/>
                <w:color w:val="auto"/>
                <w:w w:val="95"/>
              </w:rPr>
              <w:t>N/A</w:t>
            </w:r>
          </w:p>
        </w:tc>
        <w:tc>
          <w:tcPr>
            <w:tcW w:w="1000" w:type="dxa"/>
            <w:vAlign w:val="bottom"/>
          </w:tcPr>
          <w:p>
            <w:pPr>
              <w:ind w:left="500"/>
              <w:spacing w:after="0" w:line="93" w:lineRule="exact"/>
              <w:rPr>
                <w:sz w:val="20"/>
                <w:szCs w:val="20"/>
                <w:color w:val="auto"/>
              </w:rPr>
            </w:pPr>
            <w:r>
              <w:rPr>
                <w:rFonts w:ascii="Arial" w:cs="Arial" w:eastAsia="Arial" w:hAnsi="Arial"/>
                <w:sz w:val="10"/>
                <w:szCs w:val="10"/>
                <w:color w:val="auto"/>
              </w:rPr>
              <w:t>N/A</w:t>
            </w:r>
          </w:p>
        </w:tc>
        <w:tc>
          <w:tcPr>
            <w:tcW w:w="3340" w:type="dxa"/>
            <w:vAlign w:val="bottom"/>
          </w:tcPr>
          <w:p>
            <w:pPr>
              <w:ind w:left="200"/>
              <w:spacing w:after="0" w:line="93" w:lineRule="exact"/>
              <w:rPr>
                <w:sz w:val="20"/>
                <w:szCs w:val="20"/>
                <w:color w:val="auto"/>
              </w:rPr>
            </w:pPr>
            <w:r>
              <w:rPr>
                <w:rFonts w:ascii="Arial" w:cs="Arial" w:eastAsia="Arial" w:hAnsi="Arial"/>
                <w:sz w:val="10"/>
                <w:szCs w:val="10"/>
                <w:color w:val="auto"/>
              </w:rPr>
              <w:t>E. Kyle Chapman (President)</w:t>
            </w:r>
          </w:p>
        </w:tc>
        <w:tc>
          <w:tcPr>
            <w:tcW w:w="2280" w:type="dxa"/>
            <w:vAlign w:val="bottom"/>
          </w:tcPr>
          <w:p>
            <w:pPr>
              <w:jc w:val="center"/>
              <w:ind w:left="412"/>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Danielle J.M. Nicholas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tcPr>
          <w:p>
            <w:pPr>
              <w:spacing w:after="0"/>
              <w:rPr>
                <w:sz w:val="9"/>
                <w:szCs w:val="9"/>
                <w:color w:val="auto"/>
              </w:rPr>
            </w:pPr>
          </w:p>
        </w:tc>
      </w:tr>
      <w:tr>
        <w:trPr>
          <w:trHeight w:val="115"/>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tcPr>
          <w:p>
            <w:pPr>
              <w:spacing w:after="0"/>
              <w:rPr>
                <w:sz w:val="9"/>
                <w:szCs w:val="9"/>
                <w:color w:val="auto"/>
              </w:rPr>
            </w:pPr>
          </w:p>
        </w:tc>
      </w:tr>
      <w:tr>
        <w:trPr>
          <w:trHeight w:val="92"/>
        </w:trPr>
        <w:tc>
          <w:tcPr>
            <w:tcW w:w="21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Precision Drilling GP, LLC</w:t>
            </w:r>
          </w:p>
        </w:tc>
        <w:tc>
          <w:tcPr>
            <w:tcW w:w="166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9"/>
              </w:rPr>
              <w:t>Membership Units</w:t>
            </w:r>
          </w:p>
        </w:tc>
        <w:tc>
          <w:tcPr>
            <w:tcW w:w="108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5"/>
              </w:rPr>
              <w:t>Unlimited</w:t>
            </w:r>
          </w:p>
        </w:tc>
        <w:tc>
          <w:tcPr>
            <w:tcW w:w="1000" w:type="dxa"/>
            <w:vAlign w:val="bottom"/>
            <w:shd w:val="clear" w:color="auto" w:fill="CCEEFF"/>
          </w:tcPr>
          <w:p>
            <w:pPr>
              <w:jc w:val="center"/>
              <w:ind w:left="112"/>
              <w:spacing w:after="0" w:line="93" w:lineRule="exact"/>
              <w:rPr>
                <w:sz w:val="20"/>
                <w:szCs w:val="20"/>
                <w:color w:val="auto"/>
              </w:rPr>
            </w:pPr>
            <w:r>
              <w:rPr>
                <w:rFonts w:ascii="Arial" w:cs="Arial" w:eastAsia="Arial" w:hAnsi="Arial"/>
                <w:sz w:val="10"/>
                <w:szCs w:val="10"/>
                <w:color w:val="auto"/>
                <w:w w:val="95"/>
              </w:rPr>
              <w:t>300</w:t>
            </w:r>
          </w:p>
        </w:tc>
        <w:tc>
          <w:tcPr>
            <w:tcW w:w="334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John David Reed (President)</w:t>
            </w:r>
          </w:p>
        </w:tc>
        <w:tc>
          <w:tcPr>
            <w:tcW w:w="2280" w:type="dxa"/>
            <w:vAlign w:val="bottom"/>
            <w:shd w:val="clear" w:color="auto" w:fill="CCEEFF"/>
          </w:tcPr>
          <w:p>
            <w:pPr>
              <w:jc w:val="center"/>
              <w:ind w:left="412"/>
              <w:spacing w:after="0" w:line="93" w:lineRule="exact"/>
              <w:rPr>
                <w:sz w:val="20"/>
                <w:szCs w:val="20"/>
                <w:color w:val="auto"/>
              </w:rPr>
            </w:pPr>
            <w:r>
              <w:rPr>
                <w:rFonts w:ascii="Arial" w:cs="Arial" w:eastAsia="Arial" w:hAnsi="Arial"/>
                <w:sz w:val="10"/>
                <w:szCs w:val="10"/>
                <w:color w:val="auto"/>
                <w:w w:val="89"/>
              </w:rPr>
              <w:t>Weatherford International, LLC</w:t>
            </w: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280" w:type="dxa"/>
            <w:vAlign w:val="bottom"/>
            <w:shd w:val="clear" w:color="auto" w:fill="CCEEFF"/>
          </w:tcPr>
          <w:p>
            <w:pPr>
              <w:spacing w:after="0"/>
              <w:rPr>
                <w:sz w:val="9"/>
                <w:szCs w:val="9"/>
                <w:color w:val="auto"/>
              </w:rPr>
            </w:pPr>
          </w:p>
        </w:tc>
      </w:tr>
      <w:tr>
        <w:trPr>
          <w:trHeight w:val="115"/>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Mark M. Rothleitner (Treasurer)</w:t>
            </w:r>
          </w:p>
        </w:tc>
        <w:tc>
          <w:tcPr>
            <w:tcW w:w="2280" w:type="dxa"/>
            <w:vAlign w:val="bottom"/>
            <w:shd w:val="clear" w:color="auto" w:fill="CCEEFF"/>
          </w:tcPr>
          <w:p>
            <w:pPr>
              <w:spacing w:after="0"/>
              <w:rPr>
                <w:sz w:val="9"/>
                <w:szCs w:val="9"/>
                <w:color w:val="auto"/>
              </w:rPr>
            </w:pPr>
          </w:p>
        </w:tc>
      </w:tr>
      <w:tr>
        <w:trPr>
          <w:trHeight w:val="92"/>
        </w:trPr>
        <w:tc>
          <w:tcPr>
            <w:tcW w:w="2100" w:type="dxa"/>
            <w:vAlign w:val="bottom"/>
          </w:tcPr>
          <w:p>
            <w:pPr>
              <w:spacing w:after="0" w:line="93" w:lineRule="exact"/>
              <w:rPr>
                <w:sz w:val="20"/>
                <w:szCs w:val="20"/>
                <w:color w:val="auto"/>
              </w:rPr>
            </w:pPr>
            <w:r>
              <w:rPr>
                <w:rFonts w:ascii="Arial" w:cs="Arial" w:eastAsia="Arial" w:hAnsi="Arial"/>
                <w:sz w:val="10"/>
                <w:szCs w:val="10"/>
                <w:color w:val="auto"/>
              </w:rPr>
              <w:t>Precision Energy International Ltd.</w:t>
            </w:r>
          </w:p>
        </w:tc>
        <w:tc>
          <w:tcPr>
            <w:tcW w:w="1660" w:type="dxa"/>
            <w:vAlign w:val="bottom"/>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080" w:type="dxa"/>
            <w:vAlign w:val="bottom"/>
          </w:tcPr>
          <w:p>
            <w:pPr>
              <w:jc w:val="center"/>
              <w:spacing w:after="0" w:line="93" w:lineRule="exact"/>
              <w:rPr>
                <w:sz w:val="20"/>
                <w:szCs w:val="20"/>
                <w:color w:val="auto"/>
              </w:rPr>
            </w:pPr>
            <w:r>
              <w:rPr>
                <w:rFonts w:ascii="Arial" w:cs="Arial" w:eastAsia="Arial" w:hAnsi="Arial"/>
                <w:sz w:val="10"/>
                <w:szCs w:val="10"/>
                <w:color w:val="auto"/>
                <w:w w:val="95"/>
              </w:rPr>
              <w:t>Unlimited</w:t>
            </w:r>
          </w:p>
        </w:tc>
        <w:tc>
          <w:tcPr>
            <w:tcW w:w="1000" w:type="dxa"/>
            <w:vAlign w:val="bottom"/>
          </w:tcPr>
          <w:p>
            <w:pPr>
              <w:jc w:val="center"/>
              <w:ind w:left="112"/>
              <w:spacing w:after="0" w:line="93" w:lineRule="exact"/>
              <w:rPr>
                <w:sz w:val="20"/>
                <w:szCs w:val="20"/>
                <w:color w:val="auto"/>
              </w:rPr>
            </w:pPr>
            <w:r>
              <w:rPr>
                <w:rFonts w:ascii="Arial" w:cs="Arial" w:eastAsia="Arial" w:hAnsi="Arial"/>
                <w:sz w:val="10"/>
                <w:szCs w:val="10"/>
                <w:color w:val="auto"/>
                <w:w w:val="71"/>
              </w:rPr>
              <w:t>1</w:t>
            </w:r>
          </w:p>
        </w:tc>
        <w:tc>
          <w:tcPr>
            <w:tcW w:w="3340" w:type="dxa"/>
            <w:vAlign w:val="bottom"/>
          </w:tcPr>
          <w:p>
            <w:pPr>
              <w:ind w:left="200"/>
              <w:spacing w:after="0" w:line="93" w:lineRule="exact"/>
              <w:rPr>
                <w:sz w:val="20"/>
                <w:szCs w:val="20"/>
                <w:color w:val="auto"/>
              </w:rPr>
            </w:pPr>
            <w:r>
              <w:rPr>
                <w:rFonts w:ascii="Arial" w:cs="Arial" w:eastAsia="Arial" w:hAnsi="Arial"/>
                <w:sz w:val="10"/>
                <w:szCs w:val="10"/>
                <w:color w:val="auto"/>
              </w:rPr>
              <w:t>J. David Reed (Vice President)</w:t>
            </w:r>
          </w:p>
        </w:tc>
        <w:tc>
          <w:tcPr>
            <w:tcW w:w="2280" w:type="dxa"/>
            <w:vAlign w:val="bottom"/>
          </w:tcPr>
          <w:p>
            <w:pPr>
              <w:jc w:val="center"/>
              <w:ind w:left="412"/>
              <w:spacing w:after="0" w:line="93" w:lineRule="exact"/>
              <w:rPr>
                <w:sz w:val="20"/>
                <w:szCs w:val="20"/>
                <w:color w:val="auto"/>
              </w:rPr>
            </w:pPr>
            <w:r>
              <w:rPr>
                <w:rFonts w:ascii="Arial" w:cs="Arial" w:eastAsia="Arial" w:hAnsi="Arial"/>
                <w:sz w:val="10"/>
                <w:szCs w:val="10"/>
                <w:color w:val="auto"/>
                <w:w w:val="85"/>
              </w:rPr>
              <w:t>J. David Reed</w:t>
            </w:r>
          </w:p>
        </w:tc>
      </w:tr>
      <w:tr>
        <w:trPr>
          <w:trHeight w:val="104"/>
        </w:trPr>
        <w:tc>
          <w:tcPr>
            <w:tcW w:w="2100" w:type="dxa"/>
            <w:vAlign w:val="bottom"/>
          </w:tcPr>
          <w:p>
            <w:pPr>
              <w:spacing w:after="0"/>
              <w:rPr>
                <w:sz w:val="9"/>
                <w:szCs w:val="9"/>
                <w:color w:val="auto"/>
              </w:rPr>
            </w:pPr>
          </w:p>
        </w:tc>
        <w:tc>
          <w:tcPr>
            <w:tcW w:w="166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6"/>
              </w:rPr>
              <w:t>Preferred Stock</w:t>
            </w:r>
          </w:p>
        </w:tc>
        <w:tc>
          <w:tcPr>
            <w:tcW w:w="1080" w:type="dxa"/>
            <w:vAlign w:val="bottom"/>
          </w:tcPr>
          <w:p>
            <w:pPr>
              <w:jc w:val="center"/>
              <w:spacing w:after="0" w:line="104" w:lineRule="exact"/>
              <w:rPr>
                <w:sz w:val="20"/>
                <w:szCs w:val="20"/>
                <w:color w:val="auto"/>
              </w:rPr>
            </w:pPr>
            <w:r>
              <w:rPr>
                <w:rFonts w:ascii="Arial" w:cs="Arial" w:eastAsia="Arial" w:hAnsi="Arial"/>
                <w:sz w:val="10"/>
                <w:szCs w:val="10"/>
                <w:color w:val="auto"/>
                <w:w w:val="95"/>
              </w:rPr>
              <w:t>Unlimited</w:t>
            </w: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Pamela M. Webb (Vice President and Assistant Secretary)</w:t>
            </w:r>
          </w:p>
        </w:tc>
        <w:tc>
          <w:tcPr>
            <w:tcW w:w="2280" w:type="dxa"/>
            <w:vAlign w:val="bottom"/>
          </w:tcPr>
          <w:p>
            <w:pPr>
              <w:jc w:val="center"/>
              <w:ind w:left="412"/>
              <w:spacing w:after="0" w:line="104" w:lineRule="exact"/>
              <w:rPr>
                <w:sz w:val="20"/>
                <w:szCs w:val="20"/>
                <w:color w:val="auto"/>
              </w:rPr>
            </w:pPr>
            <w:r>
              <w:rPr>
                <w:rFonts w:ascii="Arial" w:cs="Arial" w:eastAsia="Arial" w:hAnsi="Arial"/>
                <w:sz w:val="10"/>
                <w:szCs w:val="10"/>
                <w:color w:val="auto"/>
                <w:w w:val="85"/>
              </w:rPr>
              <w:t>Pamela M. Webb</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(Secretary)</w:t>
            </w:r>
          </w:p>
        </w:tc>
        <w:tc>
          <w:tcPr>
            <w:tcW w:w="2280" w:type="dxa"/>
            <w:vAlign w:val="bottom"/>
          </w:tcPr>
          <w:p>
            <w:pPr>
              <w:spacing w:after="0"/>
              <w:rPr>
                <w:sz w:val="9"/>
                <w:szCs w:val="9"/>
                <w:color w:val="auto"/>
              </w:rPr>
            </w:pPr>
          </w:p>
        </w:tc>
      </w:tr>
      <w:tr>
        <w:trPr>
          <w:trHeight w:val="115"/>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tcPr>
          <w:p>
            <w:pPr>
              <w:spacing w:after="0"/>
              <w:rPr>
                <w:sz w:val="9"/>
                <w:szCs w:val="9"/>
                <w:color w:val="auto"/>
              </w:rPr>
            </w:pPr>
          </w:p>
        </w:tc>
      </w:tr>
      <w:tr>
        <w:trPr>
          <w:trHeight w:val="92"/>
        </w:trPr>
        <w:tc>
          <w:tcPr>
            <w:tcW w:w="21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Precision Energy Services Colombia Ltd.</w:t>
            </w:r>
          </w:p>
        </w:tc>
        <w:tc>
          <w:tcPr>
            <w:tcW w:w="166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08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5"/>
              </w:rPr>
              <w:t>Unlimited</w:t>
            </w:r>
          </w:p>
        </w:tc>
        <w:tc>
          <w:tcPr>
            <w:tcW w:w="1000" w:type="dxa"/>
            <w:vAlign w:val="bottom"/>
            <w:shd w:val="clear" w:color="auto" w:fill="CCEEFF"/>
          </w:tcPr>
          <w:p>
            <w:pPr>
              <w:jc w:val="center"/>
              <w:ind w:left="112"/>
              <w:spacing w:after="0" w:line="93" w:lineRule="exact"/>
              <w:rPr>
                <w:sz w:val="20"/>
                <w:szCs w:val="20"/>
                <w:color w:val="auto"/>
              </w:rPr>
            </w:pPr>
            <w:r>
              <w:rPr>
                <w:rFonts w:ascii="Arial" w:cs="Arial" w:eastAsia="Arial" w:hAnsi="Arial"/>
                <w:sz w:val="10"/>
                <w:szCs w:val="10"/>
                <w:color w:val="auto"/>
                <w:w w:val="95"/>
              </w:rPr>
              <w:t>100</w:t>
            </w:r>
          </w:p>
        </w:tc>
        <w:tc>
          <w:tcPr>
            <w:tcW w:w="334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J. David Reed (Vice President)</w:t>
            </w:r>
          </w:p>
        </w:tc>
        <w:tc>
          <w:tcPr>
            <w:tcW w:w="2280" w:type="dxa"/>
            <w:vAlign w:val="bottom"/>
            <w:shd w:val="clear" w:color="auto" w:fill="CCEEFF"/>
          </w:tcPr>
          <w:p>
            <w:pPr>
              <w:jc w:val="center"/>
              <w:ind w:left="412"/>
              <w:spacing w:after="0" w:line="93" w:lineRule="exact"/>
              <w:rPr>
                <w:sz w:val="20"/>
                <w:szCs w:val="20"/>
                <w:color w:val="auto"/>
              </w:rPr>
            </w:pPr>
            <w:r>
              <w:rPr>
                <w:rFonts w:ascii="Arial" w:cs="Arial" w:eastAsia="Arial" w:hAnsi="Arial"/>
                <w:sz w:val="10"/>
                <w:szCs w:val="10"/>
                <w:color w:val="auto"/>
                <w:w w:val="85"/>
              </w:rPr>
              <w:t>J. David Reed</w:t>
            </w: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Pamela M. Webb (Vice President and Assistant Secretary)</w:t>
            </w:r>
          </w:p>
        </w:tc>
        <w:tc>
          <w:tcPr>
            <w:tcW w:w="2280" w:type="dxa"/>
            <w:vAlign w:val="bottom"/>
            <w:shd w:val="clear" w:color="auto" w:fill="CCEEFF"/>
          </w:tcPr>
          <w:p>
            <w:pPr>
              <w:jc w:val="center"/>
              <w:ind w:left="412"/>
              <w:spacing w:after="0" w:line="104" w:lineRule="exact"/>
              <w:rPr>
                <w:sz w:val="20"/>
                <w:szCs w:val="20"/>
                <w:color w:val="auto"/>
              </w:rPr>
            </w:pPr>
            <w:r>
              <w:rPr>
                <w:rFonts w:ascii="Arial" w:cs="Arial" w:eastAsia="Arial" w:hAnsi="Arial"/>
                <w:sz w:val="10"/>
                <w:szCs w:val="10"/>
                <w:color w:val="auto"/>
                <w:w w:val="85"/>
              </w:rPr>
              <w:t>Pamela M. Webb</w:t>
            </w: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(Secretary)</w:t>
            </w:r>
          </w:p>
        </w:tc>
        <w:tc>
          <w:tcPr>
            <w:tcW w:w="2280" w:type="dxa"/>
            <w:vAlign w:val="bottom"/>
            <w:shd w:val="clear" w:color="auto" w:fill="CCEEFF"/>
          </w:tcPr>
          <w:p>
            <w:pPr>
              <w:spacing w:after="0"/>
              <w:rPr>
                <w:sz w:val="9"/>
                <w:szCs w:val="9"/>
                <w:color w:val="auto"/>
              </w:rPr>
            </w:pPr>
          </w:p>
        </w:tc>
      </w:tr>
      <w:tr>
        <w:trPr>
          <w:trHeight w:val="115"/>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shd w:val="clear" w:color="auto" w:fill="CCEEFF"/>
          </w:tcPr>
          <w:p>
            <w:pPr>
              <w:spacing w:after="0"/>
              <w:rPr>
                <w:sz w:val="9"/>
                <w:szCs w:val="9"/>
                <w:color w:val="auto"/>
              </w:rPr>
            </w:pPr>
          </w:p>
        </w:tc>
      </w:tr>
      <w:tr>
        <w:trPr>
          <w:trHeight w:val="92"/>
        </w:trPr>
        <w:tc>
          <w:tcPr>
            <w:tcW w:w="2100" w:type="dxa"/>
            <w:vAlign w:val="bottom"/>
          </w:tcPr>
          <w:p>
            <w:pPr>
              <w:spacing w:after="0" w:line="93" w:lineRule="exact"/>
              <w:rPr>
                <w:sz w:val="20"/>
                <w:szCs w:val="20"/>
                <w:color w:val="auto"/>
              </w:rPr>
            </w:pPr>
            <w:r>
              <w:rPr>
                <w:rFonts w:ascii="Arial" w:cs="Arial" w:eastAsia="Arial" w:hAnsi="Arial"/>
                <w:sz w:val="10"/>
                <w:szCs w:val="10"/>
                <w:color w:val="auto"/>
              </w:rPr>
              <w:t>Precision Energy Services ULC</w:t>
            </w:r>
          </w:p>
        </w:tc>
        <w:tc>
          <w:tcPr>
            <w:tcW w:w="1660" w:type="dxa"/>
            <w:vAlign w:val="bottom"/>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080" w:type="dxa"/>
            <w:vAlign w:val="bottom"/>
          </w:tcPr>
          <w:p>
            <w:pPr>
              <w:jc w:val="center"/>
              <w:spacing w:after="0" w:line="93" w:lineRule="exact"/>
              <w:rPr>
                <w:sz w:val="20"/>
                <w:szCs w:val="20"/>
                <w:color w:val="auto"/>
              </w:rPr>
            </w:pPr>
            <w:r>
              <w:rPr>
                <w:rFonts w:ascii="Arial" w:cs="Arial" w:eastAsia="Arial" w:hAnsi="Arial"/>
                <w:sz w:val="10"/>
                <w:szCs w:val="10"/>
                <w:color w:val="auto"/>
                <w:w w:val="95"/>
              </w:rPr>
              <w:t>Unlimited</w:t>
            </w:r>
          </w:p>
        </w:tc>
        <w:tc>
          <w:tcPr>
            <w:tcW w:w="1000" w:type="dxa"/>
            <w:vAlign w:val="bottom"/>
          </w:tcPr>
          <w:p>
            <w:pPr>
              <w:jc w:val="center"/>
              <w:ind w:left="112"/>
              <w:spacing w:after="0" w:line="93" w:lineRule="exact"/>
              <w:rPr>
                <w:sz w:val="20"/>
                <w:szCs w:val="20"/>
                <w:color w:val="auto"/>
              </w:rPr>
            </w:pPr>
            <w:r>
              <w:rPr>
                <w:rFonts w:ascii="Arial" w:cs="Arial" w:eastAsia="Arial" w:hAnsi="Arial"/>
                <w:sz w:val="10"/>
                <w:szCs w:val="10"/>
                <w:color w:val="auto"/>
                <w:w w:val="86"/>
              </w:rPr>
              <w:t>908,868,693</w:t>
            </w:r>
          </w:p>
        </w:tc>
        <w:tc>
          <w:tcPr>
            <w:tcW w:w="3340" w:type="dxa"/>
            <w:vAlign w:val="bottom"/>
          </w:tcPr>
          <w:p>
            <w:pPr>
              <w:ind w:left="200"/>
              <w:spacing w:after="0" w:line="93" w:lineRule="exact"/>
              <w:rPr>
                <w:sz w:val="20"/>
                <w:szCs w:val="20"/>
                <w:color w:val="auto"/>
              </w:rPr>
            </w:pPr>
            <w:r>
              <w:rPr>
                <w:rFonts w:ascii="Arial" w:cs="Arial" w:eastAsia="Arial" w:hAnsi="Arial"/>
                <w:sz w:val="10"/>
                <w:szCs w:val="10"/>
                <w:color w:val="auto"/>
              </w:rPr>
              <w:t>J. David Reed (Vice President)</w:t>
            </w:r>
          </w:p>
        </w:tc>
        <w:tc>
          <w:tcPr>
            <w:tcW w:w="2280" w:type="dxa"/>
            <w:vAlign w:val="bottom"/>
          </w:tcPr>
          <w:p>
            <w:pPr>
              <w:jc w:val="center"/>
              <w:ind w:left="412"/>
              <w:spacing w:after="0" w:line="93" w:lineRule="exact"/>
              <w:rPr>
                <w:sz w:val="20"/>
                <w:szCs w:val="20"/>
                <w:color w:val="auto"/>
              </w:rPr>
            </w:pPr>
            <w:r>
              <w:rPr>
                <w:rFonts w:ascii="Arial" w:cs="Arial" w:eastAsia="Arial" w:hAnsi="Arial"/>
                <w:sz w:val="10"/>
                <w:szCs w:val="10"/>
                <w:color w:val="auto"/>
                <w:w w:val="85"/>
              </w:rPr>
              <w:t>J. David Reed</w:t>
            </w:r>
          </w:p>
        </w:tc>
      </w:tr>
      <w:tr>
        <w:trPr>
          <w:trHeight w:val="104"/>
        </w:trPr>
        <w:tc>
          <w:tcPr>
            <w:tcW w:w="2100" w:type="dxa"/>
            <w:vAlign w:val="bottom"/>
          </w:tcPr>
          <w:p>
            <w:pPr>
              <w:spacing w:after="0"/>
              <w:rPr>
                <w:sz w:val="9"/>
                <w:szCs w:val="9"/>
                <w:color w:val="auto"/>
              </w:rPr>
            </w:pPr>
          </w:p>
        </w:tc>
        <w:tc>
          <w:tcPr>
            <w:tcW w:w="166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6"/>
              </w:rPr>
              <w:t>Preferred Stock</w:t>
            </w:r>
          </w:p>
        </w:tc>
        <w:tc>
          <w:tcPr>
            <w:tcW w:w="1080" w:type="dxa"/>
            <w:vAlign w:val="bottom"/>
          </w:tcPr>
          <w:p>
            <w:pPr>
              <w:jc w:val="center"/>
              <w:spacing w:after="0" w:line="104" w:lineRule="exact"/>
              <w:rPr>
                <w:sz w:val="20"/>
                <w:szCs w:val="20"/>
                <w:color w:val="auto"/>
              </w:rPr>
            </w:pPr>
            <w:r>
              <w:rPr>
                <w:rFonts w:ascii="Arial" w:cs="Arial" w:eastAsia="Arial" w:hAnsi="Arial"/>
                <w:sz w:val="10"/>
                <w:szCs w:val="10"/>
                <w:color w:val="auto"/>
                <w:w w:val="89"/>
              </w:rPr>
              <w:t>1,000,000</w:t>
            </w: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Pamela M. Webb (Vice President and Assistant Secretary)</w:t>
            </w:r>
          </w:p>
        </w:tc>
        <w:tc>
          <w:tcPr>
            <w:tcW w:w="2280" w:type="dxa"/>
            <w:vAlign w:val="bottom"/>
          </w:tcPr>
          <w:p>
            <w:pPr>
              <w:jc w:val="center"/>
              <w:ind w:left="412"/>
              <w:spacing w:after="0" w:line="104" w:lineRule="exact"/>
              <w:rPr>
                <w:sz w:val="20"/>
                <w:szCs w:val="20"/>
                <w:color w:val="auto"/>
              </w:rPr>
            </w:pPr>
            <w:r>
              <w:rPr>
                <w:rFonts w:ascii="Arial" w:cs="Arial" w:eastAsia="Arial" w:hAnsi="Arial"/>
                <w:sz w:val="10"/>
                <w:szCs w:val="10"/>
                <w:color w:val="auto"/>
                <w:w w:val="85"/>
              </w:rPr>
              <w:t>Pamela M. Webb</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(Secretary)</w:t>
            </w:r>
          </w:p>
        </w:tc>
        <w:tc>
          <w:tcPr>
            <w:tcW w:w="2280" w:type="dxa"/>
            <w:vAlign w:val="bottom"/>
          </w:tcPr>
          <w:p>
            <w:pPr>
              <w:spacing w:after="0"/>
              <w:rPr>
                <w:sz w:val="9"/>
                <w:szCs w:val="9"/>
                <w:color w:val="auto"/>
              </w:rPr>
            </w:pPr>
          </w:p>
        </w:tc>
      </w:tr>
      <w:tr>
        <w:trPr>
          <w:trHeight w:val="115"/>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tcPr>
          <w:p>
            <w:pPr>
              <w:spacing w:after="0"/>
              <w:rPr>
                <w:sz w:val="9"/>
                <w:szCs w:val="9"/>
                <w:color w:val="auto"/>
              </w:rPr>
            </w:pPr>
          </w:p>
        </w:tc>
      </w:tr>
      <w:tr>
        <w:trPr>
          <w:trHeight w:val="92"/>
        </w:trPr>
        <w:tc>
          <w:tcPr>
            <w:tcW w:w="21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Precision Energy Services, Inc.</w:t>
            </w:r>
          </w:p>
        </w:tc>
        <w:tc>
          <w:tcPr>
            <w:tcW w:w="166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080" w:type="dxa"/>
            <w:vAlign w:val="bottom"/>
            <w:shd w:val="clear" w:color="auto" w:fill="CCEEFF"/>
          </w:tcPr>
          <w:p>
            <w:pPr>
              <w:jc w:val="center"/>
              <w:ind w:left="12"/>
              <w:spacing w:after="0" w:line="93" w:lineRule="exact"/>
              <w:rPr>
                <w:sz w:val="20"/>
                <w:szCs w:val="20"/>
                <w:color w:val="auto"/>
              </w:rPr>
            </w:pPr>
            <w:r>
              <w:rPr>
                <w:rFonts w:ascii="Arial" w:cs="Arial" w:eastAsia="Arial" w:hAnsi="Arial"/>
                <w:sz w:val="10"/>
                <w:szCs w:val="10"/>
                <w:color w:val="auto"/>
                <w:w w:val="87"/>
              </w:rPr>
              <w:t>1,100</w:t>
            </w:r>
          </w:p>
        </w:tc>
        <w:tc>
          <w:tcPr>
            <w:tcW w:w="10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1,010</w:t>
            </w:r>
          </w:p>
        </w:tc>
        <w:tc>
          <w:tcPr>
            <w:tcW w:w="334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E. Kyle Chapman (President)</w:t>
            </w:r>
          </w:p>
        </w:tc>
        <w:tc>
          <w:tcPr>
            <w:tcW w:w="2280" w:type="dxa"/>
            <w:vAlign w:val="bottom"/>
            <w:shd w:val="clear" w:color="auto" w:fill="CCEEFF"/>
          </w:tcPr>
          <w:p>
            <w:pPr>
              <w:jc w:val="center"/>
              <w:ind w:left="412"/>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 L. Marshall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Danielle J.M. Nicholas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David Morris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Dean Bell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Ellen Chin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Etienne Roux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Lawrence Allen Sinor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Marco E. Boos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Hopmann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William Adey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William Marchant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shd w:val="clear" w:color="auto" w:fill="CCEEFF"/>
          </w:tcPr>
          <w:p>
            <w:pPr>
              <w:spacing w:after="0"/>
              <w:rPr>
                <w:sz w:val="9"/>
                <w:szCs w:val="9"/>
                <w:color w:val="auto"/>
              </w:rPr>
            </w:pPr>
          </w:p>
        </w:tc>
      </w:tr>
      <w:tr>
        <w:trPr>
          <w:trHeight w:val="115"/>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shd w:val="clear" w:color="auto" w:fill="CCEEFF"/>
          </w:tcPr>
          <w:p>
            <w:pPr>
              <w:spacing w:after="0"/>
              <w:rPr>
                <w:sz w:val="9"/>
                <w:szCs w:val="9"/>
                <w:color w:val="auto"/>
              </w:rPr>
            </w:pPr>
          </w:p>
        </w:tc>
      </w:tr>
      <w:tr>
        <w:trPr>
          <w:trHeight w:val="92"/>
        </w:trPr>
        <w:tc>
          <w:tcPr>
            <w:tcW w:w="2100" w:type="dxa"/>
            <w:vAlign w:val="bottom"/>
          </w:tcPr>
          <w:p>
            <w:pPr>
              <w:spacing w:after="0" w:line="93" w:lineRule="exact"/>
              <w:rPr>
                <w:sz w:val="20"/>
                <w:szCs w:val="20"/>
                <w:color w:val="auto"/>
              </w:rPr>
            </w:pPr>
            <w:r>
              <w:rPr>
                <w:rFonts w:ascii="Arial" w:cs="Arial" w:eastAsia="Arial" w:hAnsi="Arial"/>
                <w:sz w:val="10"/>
                <w:szCs w:val="10"/>
                <w:color w:val="auto"/>
              </w:rPr>
              <w:t>Precision Oilfield Services, LLP</w:t>
            </w:r>
          </w:p>
        </w:tc>
        <w:tc>
          <w:tcPr>
            <w:tcW w:w="1660" w:type="dxa"/>
            <w:vAlign w:val="bottom"/>
          </w:tcPr>
          <w:p>
            <w:pPr>
              <w:jc w:val="center"/>
              <w:ind w:left="92"/>
              <w:spacing w:after="0" w:line="93" w:lineRule="exact"/>
              <w:rPr>
                <w:sz w:val="20"/>
                <w:szCs w:val="20"/>
                <w:color w:val="auto"/>
              </w:rPr>
            </w:pPr>
            <w:r>
              <w:rPr>
                <w:rFonts w:ascii="Arial" w:cs="Arial" w:eastAsia="Arial" w:hAnsi="Arial"/>
                <w:sz w:val="10"/>
                <w:szCs w:val="10"/>
                <w:color w:val="auto"/>
                <w:w w:val="86"/>
              </w:rPr>
              <w:t>Partnership Interests</w:t>
            </w:r>
          </w:p>
        </w:tc>
        <w:tc>
          <w:tcPr>
            <w:tcW w:w="1080" w:type="dxa"/>
            <w:vAlign w:val="bottom"/>
          </w:tcPr>
          <w:p>
            <w:pPr>
              <w:jc w:val="center"/>
              <w:spacing w:after="0" w:line="93" w:lineRule="exact"/>
              <w:rPr>
                <w:sz w:val="20"/>
                <w:szCs w:val="20"/>
                <w:color w:val="auto"/>
              </w:rPr>
            </w:pPr>
            <w:r>
              <w:rPr>
                <w:rFonts w:ascii="Arial" w:cs="Arial" w:eastAsia="Arial" w:hAnsi="Arial"/>
                <w:sz w:val="10"/>
                <w:szCs w:val="10"/>
                <w:color w:val="auto"/>
                <w:w w:val="95"/>
              </w:rPr>
              <w:t>N/A</w:t>
            </w:r>
          </w:p>
        </w:tc>
        <w:tc>
          <w:tcPr>
            <w:tcW w:w="1000" w:type="dxa"/>
            <w:vAlign w:val="bottom"/>
          </w:tcPr>
          <w:p>
            <w:pPr>
              <w:ind w:left="500"/>
              <w:spacing w:after="0" w:line="93" w:lineRule="exact"/>
              <w:rPr>
                <w:sz w:val="20"/>
                <w:szCs w:val="20"/>
                <w:color w:val="auto"/>
              </w:rPr>
            </w:pPr>
            <w:r>
              <w:rPr>
                <w:rFonts w:ascii="Arial" w:cs="Arial" w:eastAsia="Arial" w:hAnsi="Arial"/>
                <w:sz w:val="10"/>
                <w:szCs w:val="10"/>
                <w:color w:val="auto"/>
              </w:rPr>
              <w:t>N/A</w:t>
            </w:r>
          </w:p>
        </w:tc>
        <w:tc>
          <w:tcPr>
            <w:tcW w:w="3340" w:type="dxa"/>
            <w:vAlign w:val="bottom"/>
          </w:tcPr>
          <w:p>
            <w:pPr>
              <w:ind w:left="200"/>
              <w:spacing w:after="0" w:line="93" w:lineRule="exact"/>
              <w:rPr>
                <w:sz w:val="20"/>
                <w:szCs w:val="20"/>
                <w:color w:val="auto"/>
              </w:rPr>
            </w:pPr>
            <w:r>
              <w:rPr>
                <w:rFonts w:ascii="Arial" w:cs="Arial" w:eastAsia="Arial" w:hAnsi="Arial"/>
                <w:sz w:val="10"/>
                <w:szCs w:val="10"/>
                <w:color w:val="auto"/>
              </w:rPr>
              <w:t>Danielle J.M. Nicholas (Vice President)</w:t>
            </w:r>
          </w:p>
        </w:tc>
        <w:tc>
          <w:tcPr>
            <w:tcW w:w="2280" w:type="dxa"/>
            <w:vAlign w:val="bottom"/>
          </w:tcPr>
          <w:p>
            <w:pPr>
              <w:jc w:val="center"/>
              <w:ind w:left="412"/>
              <w:spacing w:after="0" w:line="93" w:lineRule="exact"/>
              <w:rPr>
                <w:sz w:val="20"/>
                <w:szCs w:val="20"/>
                <w:color w:val="auto"/>
              </w:rPr>
            </w:pPr>
            <w:r>
              <w:rPr>
                <w:rFonts w:ascii="Arial" w:cs="Arial" w:eastAsia="Arial" w:hAnsi="Arial"/>
                <w:sz w:val="10"/>
                <w:szCs w:val="10"/>
                <w:color w:val="auto"/>
                <w:w w:val="87"/>
              </w:rPr>
              <w:t>Precision Energy Services, Inc. (General</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E. Kyle Chapman (Vice President)</w:t>
            </w:r>
          </w:p>
        </w:tc>
        <w:tc>
          <w:tcPr>
            <w:tcW w:w="2280" w:type="dxa"/>
            <w:vAlign w:val="bottom"/>
          </w:tcPr>
          <w:p>
            <w:pPr>
              <w:jc w:val="center"/>
              <w:ind w:left="412"/>
              <w:spacing w:after="0" w:line="104" w:lineRule="exact"/>
              <w:rPr>
                <w:sz w:val="20"/>
                <w:szCs w:val="20"/>
                <w:color w:val="auto"/>
              </w:rPr>
            </w:pPr>
            <w:r>
              <w:rPr>
                <w:rFonts w:ascii="Arial" w:cs="Arial" w:eastAsia="Arial" w:hAnsi="Arial"/>
                <w:sz w:val="10"/>
                <w:szCs w:val="10"/>
                <w:color w:val="auto"/>
                <w:w w:val="82"/>
              </w:rPr>
              <w:t>Partner)</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tcPr>
          <w:p>
            <w:pPr>
              <w:spacing w:after="0"/>
              <w:rPr>
                <w:sz w:val="9"/>
                <w:szCs w:val="9"/>
                <w:color w:val="auto"/>
              </w:rPr>
            </w:pPr>
          </w:p>
        </w:tc>
      </w:tr>
      <w:tr>
        <w:trPr>
          <w:trHeight w:val="115"/>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tcPr>
          <w:p>
            <w:pPr>
              <w:spacing w:after="0"/>
              <w:rPr>
                <w:sz w:val="9"/>
                <w:szCs w:val="9"/>
                <w:color w:val="auto"/>
              </w:rPr>
            </w:pPr>
          </w:p>
        </w:tc>
      </w:tr>
      <w:tr>
        <w:trPr>
          <w:trHeight w:val="92"/>
        </w:trPr>
        <w:tc>
          <w:tcPr>
            <w:tcW w:w="21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Sabre Drilling Ltd.</w:t>
            </w:r>
          </w:p>
        </w:tc>
        <w:tc>
          <w:tcPr>
            <w:tcW w:w="166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080" w:type="dxa"/>
            <w:vAlign w:val="bottom"/>
            <w:shd w:val="clear" w:color="auto" w:fill="CCEEFF"/>
          </w:tcPr>
          <w:p>
            <w:pPr>
              <w:jc w:val="center"/>
              <w:ind w:left="12"/>
              <w:spacing w:after="0" w:line="93" w:lineRule="exact"/>
              <w:rPr>
                <w:sz w:val="20"/>
                <w:szCs w:val="20"/>
                <w:color w:val="auto"/>
              </w:rPr>
            </w:pPr>
            <w:r>
              <w:rPr>
                <w:rFonts w:ascii="Arial" w:cs="Arial" w:eastAsia="Arial" w:hAnsi="Arial"/>
                <w:sz w:val="10"/>
                <w:szCs w:val="10"/>
                <w:color w:val="auto"/>
                <w:w w:val="83"/>
              </w:rPr>
              <w:t>100</w:t>
            </w:r>
          </w:p>
        </w:tc>
        <w:tc>
          <w:tcPr>
            <w:tcW w:w="1000" w:type="dxa"/>
            <w:vAlign w:val="bottom"/>
            <w:shd w:val="clear" w:color="auto" w:fill="CCEEFF"/>
          </w:tcPr>
          <w:p>
            <w:pPr>
              <w:jc w:val="center"/>
              <w:ind w:left="112"/>
              <w:spacing w:after="0" w:line="93" w:lineRule="exact"/>
              <w:rPr>
                <w:sz w:val="20"/>
                <w:szCs w:val="20"/>
                <w:color w:val="auto"/>
              </w:rPr>
            </w:pPr>
            <w:r>
              <w:rPr>
                <w:rFonts w:ascii="Arial" w:cs="Arial" w:eastAsia="Arial" w:hAnsi="Arial"/>
                <w:sz w:val="10"/>
                <w:szCs w:val="10"/>
                <w:color w:val="auto"/>
                <w:w w:val="95"/>
              </w:rPr>
              <w:t>100</w:t>
            </w:r>
          </w:p>
        </w:tc>
        <w:tc>
          <w:tcPr>
            <w:tcW w:w="334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Miguel Sanchez (Vice President)</w:t>
            </w:r>
          </w:p>
        </w:tc>
        <w:tc>
          <w:tcPr>
            <w:tcW w:w="2280" w:type="dxa"/>
            <w:vAlign w:val="bottom"/>
            <w:shd w:val="clear" w:color="auto" w:fill="CCEEFF"/>
          </w:tcPr>
          <w:p>
            <w:pPr>
              <w:jc w:val="center"/>
              <w:ind w:left="432"/>
              <w:spacing w:after="0" w:line="93" w:lineRule="exact"/>
              <w:rPr>
                <w:sz w:val="20"/>
                <w:szCs w:val="20"/>
                <w:color w:val="auto"/>
              </w:rPr>
            </w:pPr>
            <w:r>
              <w:rPr>
                <w:rFonts w:ascii="Arial" w:cs="Arial" w:eastAsia="Arial" w:hAnsi="Arial"/>
                <w:sz w:val="10"/>
                <w:szCs w:val="10"/>
                <w:color w:val="auto"/>
                <w:w w:val="86"/>
              </w:rPr>
              <w:t>Tan Kah Huan</w:t>
            </w: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Peter A. White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Tan Kah Huan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Mohammed Dadhiwala (Vice President)</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(Vice President and Assistant Secretary)</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shd w:val="clear" w:color="auto" w:fill="CCEEFF"/>
          </w:tcPr>
          <w:p>
            <w:pPr>
              <w:spacing w:after="0"/>
              <w:rPr>
                <w:sz w:val="9"/>
                <w:szCs w:val="9"/>
                <w:color w:val="auto"/>
              </w:rPr>
            </w:pPr>
          </w:p>
        </w:tc>
      </w:tr>
      <w:tr>
        <w:trPr>
          <w:trHeight w:val="104"/>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Conyers Corporate Services (Bermuda) Limited (Secretary)</w:t>
            </w:r>
          </w:p>
        </w:tc>
        <w:tc>
          <w:tcPr>
            <w:tcW w:w="2280" w:type="dxa"/>
            <w:vAlign w:val="bottom"/>
            <w:shd w:val="clear" w:color="auto" w:fill="CCEEFF"/>
          </w:tcPr>
          <w:p>
            <w:pPr>
              <w:spacing w:after="0"/>
              <w:rPr>
                <w:sz w:val="9"/>
                <w:szCs w:val="9"/>
                <w:color w:val="auto"/>
              </w:rPr>
            </w:pPr>
          </w:p>
        </w:tc>
      </w:tr>
      <w:tr>
        <w:trPr>
          <w:trHeight w:val="115"/>
        </w:trPr>
        <w:tc>
          <w:tcPr>
            <w:tcW w:w="2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280" w:type="dxa"/>
            <w:vAlign w:val="bottom"/>
            <w:shd w:val="clear" w:color="auto" w:fill="CCEEFF"/>
          </w:tcPr>
          <w:p>
            <w:pPr>
              <w:spacing w:after="0"/>
              <w:rPr>
                <w:sz w:val="9"/>
                <w:szCs w:val="9"/>
                <w:color w:val="auto"/>
              </w:rPr>
            </w:pPr>
          </w:p>
        </w:tc>
      </w:tr>
      <w:tr>
        <w:trPr>
          <w:trHeight w:val="92"/>
        </w:trPr>
        <w:tc>
          <w:tcPr>
            <w:tcW w:w="2100" w:type="dxa"/>
            <w:vAlign w:val="bottom"/>
          </w:tcPr>
          <w:p>
            <w:pPr>
              <w:spacing w:after="0" w:line="93" w:lineRule="exact"/>
              <w:rPr>
                <w:sz w:val="20"/>
                <w:szCs w:val="20"/>
                <w:color w:val="auto"/>
              </w:rPr>
            </w:pPr>
            <w:r>
              <w:rPr>
                <w:rFonts w:ascii="Arial" w:cs="Arial" w:eastAsia="Arial" w:hAnsi="Arial"/>
                <w:sz w:val="10"/>
                <w:szCs w:val="10"/>
                <w:color w:val="auto"/>
              </w:rPr>
              <w:t>Stealth Oil &amp; Gas, Inc.</w:t>
            </w:r>
          </w:p>
        </w:tc>
        <w:tc>
          <w:tcPr>
            <w:tcW w:w="1660" w:type="dxa"/>
            <w:vAlign w:val="bottom"/>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080" w:type="dxa"/>
            <w:vAlign w:val="bottom"/>
          </w:tcPr>
          <w:p>
            <w:pPr>
              <w:jc w:val="center"/>
              <w:ind w:left="12"/>
              <w:spacing w:after="0" w:line="93" w:lineRule="exact"/>
              <w:rPr>
                <w:sz w:val="20"/>
                <w:szCs w:val="20"/>
                <w:color w:val="auto"/>
              </w:rPr>
            </w:pPr>
            <w:r>
              <w:rPr>
                <w:rFonts w:ascii="Arial" w:cs="Arial" w:eastAsia="Arial" w:hAnsi="Arial"/>
                <w:sz w:val="10"/>
                <w:szCs w:val="10"/>
                <w:color w:val="auto"/>
                <w:w w:val="87"/>
              </w:rPr>
              <w:t>1,000</w:t>
            </w:r>
          </w:p>
        </w:tc>
        <w:tc>
          <w:tcPr>
            <w:tcW w:w="1000" w:type="dxa"/>
            <w:vAlign w:val="bottom"/>
          </w:tcPr>
          <w:p>
            <w:pPr>
              <w:jc w:val="center"/>
              <w:ind w:left="112"/>
              <w:spacing w:after="0" w:line="93" w:lineRule="exact"/>
              <w:rPr>
                <w:sz w:val="20"/>
                <w:szCs w:val="20"/>
                <w:color w:val="auto"/>
              </w:rPr>
            </w:pPr>
            <w:r>
              <w:rPr>
                <w:rFonts w:ascii="Arial" w:cs="Arial" w:eastAsia="Arial" w:hAnsi="Arial"/>
                <w:sz w:val="10"/>
                <w:szCs w:val="10"/>
                <w:color w:val="auto"/>
                <w:w w:val="95"/>
              </w:rPr>
              <w:t>100</w:t>
            </w:r>
          </w:p>
        </w:tc>
        <w:tc>
          <w:tcPr>
            <w:tcW w:w="3340" w:type="dxa"/>
            <w:vAlign w:val="bottom"/>
          </w:tcPr>
          <w:p>
            <w:pPr>
              <w:ind w:left="200"/>
              <w:spacing w:after="0" w:line="93" w:lineRule="exact"/>
              <w:rPr>
                <w:sz w:val="20"/>
                <w:szCs w:val="20"/>
                <w:color w:val="auto"/>
              </w:rPr>
            </w:pPr>
            <w:r>
              <w:rPr>
                <w:rFonts w:ascii="Arial" w:cs="Arial" w:eastAsia="Arial" w:hAnsi="Arial"/>
                <w:sz w:val="10"/>
                <w:szCs w:val="10"/>
                <w:color w:val="auto"/>
              </w:rPr>
              <w:t>E. Kyle Chapman (President)</w:t>
            </w:r>
          </w:p>
        </w:tc>
        <w:tc>
          <w:tcPr>
            <w:tcW w:w="2280" w:type="dxa"/>
            <w:vAlign w:val="bottom"/>
          </w:tcPr>
          <w:p>
            <w:pPr>
              <w:jc w:val="center"/>
              <w:ind w:left="412"/>
              <w:spacing w:after="0" w:line="93"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Danielle J.M. Nicholas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William Marchant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Joshua S. Silverman (Assistant Treasurer)</w:t>
            </w:r>
          </w:p>
        </w:tc>
        <w:tc>
          <w:tcPr>
            <w:tcW w:w="2280" w:type="dxa"/>
            <w:vAlign w:val="bottom"/>
          </w:tcPr>
          <w:p>
            <w:pPr>
              <w:spacing w:after="0"/>
              <w:rPr>
                <w:sz w:val="9"/>
                <w:szCs w:val="9"/>
                <w:color w:val="auto"/>
              </w:rPr>
            </w:pPr>
          </w:p>
        </w:tc>
      </w:tr>
      <w:tr>
        <w:trPr>
          <w:trHeight w:val="104"/>
        </w:trPr>
        <w:tc>
          <w:tcPr>
            <w:tcW w:w="2100" w:type="dxa"/>
            <w:vAlign w:val="bottom"/>
          </w:tcPr>
          <w:p>
            <w:pPr>
              <w:spacing w:after="0" w:line="104" w:lineRule="exact"/>
              <w:rPr>
                <w:sz w:val="20"/>
                <w:szCs w:val="20"/>
                <w:color w:val="auto"/>
              </w:rPr>
            </w:pPr>
            <w:r>
              <w:rPr>
                <w:rFonts w:ascii="Arial" w:cs="Arial" w:eastAsia="Arial" w:hAnsi="Arial"/>
                <w:sz w:val="10"/>
                <w:szCs w:val="10"/>
                <w:color w:val="auto"/>
              </w:rPr>
              <w:t>Tooke Rockies, Inc.</w:t>
            </w:r>
          </w:p>
        </w:tc>
        <w:tc>
          <w:tcPr>
            <w:tcW w:w="166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7"/>
              </w:rPr>
              <w:t>Common Stock</w:t>
            </w:r>
          </w:p>
        </w:tc>
        <w:tc>
          <w:tcPr>
            <w:tcW w:w="1080" w:type="dxa"/>
            <w:vAlign w:val="bottom"/>
          </w:tcPr>
          <w:p>
            <w:pPr>
              <w:jc w:val="center"/>
              <w:ind w:left="12"/>
              <w:spacing w:after="0" w:line="104" w:lineRule="exact"/>
              <w:rPr>
                <w:sz w:val="20"/>
                <w:szCs w:val="20"/>
                <w:color w:val="auto"/>
              </w:rPr>
            </w:pPr>
            <w:r>
              <w:rPr>
                <w:rFonts w:ascii="Arial" w:cs="Arial" w:eastAsia="Arial" w:hAnsi="Arial"/>
                <w:sz w:val="10"/>
                <w:szCs w:val="10"/>
                <w:color w:val="auto"/>
                <w:w w:val="84"/>
              </w:rPr>
              <w:t>50,000</w:t>
            </w:r>
          </w:p>
        </w:tc>
        <w:tc>
          <w:tcPr>
            <w:tcW w:w="100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7"/>
              </w:rPr>
              <w:t>1,960</w:t>
            </w: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Charles L. Miller (President)</w:t>
            </w:r>
          </w:p>
        </w:tc>
        <w:tc>
          <w:tcPr>
            <w:tcW w:w="2280" w:type="dxa"/>
            <w:vAlign w:val="bottom"/>
          </w:tcPr>
          <w:p>
            <w:pPr>
              <w:jc w:val="center"/>
              <w:ind w:left="412"/>
              <w:spacing w:after="0" w:line="104" w:lineRule="exact"/>
              <w:rPr>
                <w:sz w:val="20"/>
                <w:szCs w:val="20"/>
                <w:color w:val="auto"/>
              </w:rPr>
            </w:pPr>
            <w:r>
              <w:rPr>
                <w:rFonts w:ascii="Arial" w:cs="Arial" w:eastAsia="Arial" w:hAnsi="Arial"/>
                <w:sz w:val="10"/>
                <w:szCs w:val="10"/>
                <w:color w:val="auto"/>
                <w:w w:val="90"/>
              </w:rPr>
              <w:t>Christine M. Morrison</w:t>
            </w: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Danielle J.M. Nicholas (Vice President)</w:t>
            </w:r>
          </w:p>
        </w:tc>
        <w:tc>
          <w:tcPr>
            <w:tcW w:w="2280" w:type="dxa"/>
            <w:vAlign w:val="bottom"/>
          </w:tcPr>
          <w:p>
            <w:pPr>
              <w:spacing w:after="0"/>
              <w:rPr>
                <w:sz w:val="9"/>
                <w:szCs w:val="9"/>
                <w:color w:val="auto"/>
              </w:rPr>
            </w:pPr>
          </w:p>
        </w:tc>
      </w:tr>
      <w:tr>
        <w:trPr>
          <w:trHeight w:val="104"/>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04" w:lineRule="exact"/>
              <w:rPr>
                <w:sz w:val="20"/>
                <w:szCs w:val="20"/>
                <w:color w:val="auto"/>
              </w:rPr>
            </w:pPr>
            <w:r>
              <w:rPr>
                <w:rFonts w:ascii="Arial" w:cs="Arial" w:eastAsia="Arial" w:hAnsi="Arial"/>
                <w:sz w:val="10"/>
                <w:szCs w:val="10"/>
                <w:color w:val="auto"/>
              </w:rPr>
              <w:t>Dean Bell (Vice President)</w:t>
            </w:r>
          </w:p>
        </w:tc>
        <w:tc>
          <w:tcPr>
            <w:tcW w:w="2280" w:type="dxa"/>
            <w:vAlign w:val="bottom"/>
          </w:tcPr>
          <w:p>
            <w:pPr>
              <w:spacing w:after="0"/>
              <w:rPr>
                <w:sz w:val="9"/>
                <w:szCs w:val="9"/>
                <w:color w:val="auto"/>
              </w:rPr>
            </w:pPr>
          </w:p>
        </w:tc>
      </w:tr>
      <w:tr>
        <w:trPr>
          <w:trHeight w:val="112"/>
        </w:trPr>
        <w:tc>
          <w:tcPr>
            <w:tcW w:w="2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340" w:type="dxa"/>
            <w:vAlign w:val="bottom"/>
          </w:tcPr>
          <w:p>
            <w:pPr>
              <w:ind w:left="200"/>
              <w:spacing w:after="0" w:line="112" w:lineRule="exact"/>
              <w:rPr>
                <w:sz w:val="20"/>
                <w:szCs w:val="20"/>
                <w:color w:val="auto"/>
              </w:rPr>
            </w:pPr>
            <w:r>
              <w:rPr>
                <w:rFonts w:ascii="Arial" w:cs="Arial" w:eastAsia="Arial" w:hAnsi="Arial"/>
                <w:sz w:val="10"/>
                <w:szCs w:val="10"/>
                <w:color w:val="auto"/>
              </w:rPr>
              <w:t>E. Kyle Chapman (Vice President)</w:t>
            </w:r>
          </w:p>
        </w:tc>
        <w:tc>
          <w:tcPr>
            <w:tcW w:w="22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7278370" cy="394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8370" cy="394970"/>
                    </a:xfrm>
                    <a:prstGeom prst="rect">
                      <a:avLst/>
                    </a:prstGeom>
                    <a:noFill/>
                  </pic:spPr>
                </pic:pic>
              </a:graphicData>
            </a:graphic>
          </wp:anchor>
        </w:drawing>
      </w:r>
    </w:p>
    <w:p>
      <w:pPr>
        <w:ind w:left="6040"/>
        <w:spacing w:after="0" w:line="216" w:lineRule="auto"/>
        <w:rPr>
          <w:sz w:val="20"/>
          <w:szCs w:val="20"/>
          <w:color w:val="auto"/>
        </w:rPr>
      </w:pPr>
      <w:r>
        <w:rPr>
          <w:rFonts w:ascii="Arial" w:cs="Arial" w:eastAsia="Arial" w:hAnsi="Arial"/>
          <w:sz w:val="10"/>
          <w:szCs w:val="10"/>
          <w:color w:val="auto"/>
        </w:rPr>
        <w:t>Etienne Roux (Vice President)</w:t>
      </w:r>
    </w:p>
    <w:p>
      <w:pPr>
        <w:ind w:left="6040"/>
        <w:spacing w:after="0"/>
        <w:rPr>
          <w:sz w:val="20"/>
          <w:szCs w:val="20"/>
          <w:color w:val="auto"/>
        </w:rPr>
      </w:pPr>
      <w:r>
        <w:rPr>
          <w:rFonts w:ascii="Arial" w:cs="Arial" w:eastAsia="Arial" w:hAnsi="Arial"/>
          <w:sz w:val="10"/>
          <w:szCs w:val="10"/>
          <w:color w:val="auto"/>
        </w:rPr>
        <w:t>Lawrence Allen Sinor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149860</wp:posOffset>
            </wp:positionV>
            <wp:extent cx="7297420"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115"/>
        </w:trPr>
        <w:tc>
          <w:tcPr>
            <w:tcW w:w="21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Mark Hopmann (Vice President)</w:t>
            </w:r>
          </w:p>
        </w:tc>
        <w:tc>
          <w:tcPr>
            <w:tcW w:w="23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William Marchant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tcPr>
          <w:p>
            <w:pPr>
              <w:spacing w:after="0" w:line="93" w:lineRule="exact"/>
              <w:rPr>
                <w:sz w:val="20"/>
                <w:szCs w:val="20"/>
                <w:color w:val="auto"/>
              </w:rPr>
            </w:pPr>
            <w:r>
              <w:rPr>
                <w:rFonts w:ascii="Arial" w:cs="Arial" w:eastAsia="Arial" w:hAnsi="Arial"/>
                <w:sz w:val="10"/>
                <w:szCs w:val="10"/>
                <w:color w:val="auto"/>
              </w:rPr>
              <w:t>Visean Information Services Inc.</w:t>
            </w:r>
          </w:p>
        </w:tc>
        <w:tc>
          <w:tcPr>
            <w:tcW w:w="1620" w:type="dxa"/>
            <w:vAlign w:val="bottom"/>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160" w:type="dxa"/>
            <w:vAlign w:val="bottom"/>
          </w:tcPr>
          <w:p>
            <w:pPr>
              <w:jc w:val="center"/>
              <w:spacing w:after="0" w:line="93" w:lineRule="exact"/>
              <w:rPr>
                <w:sz w:val="20"/>
                <w:szCs w:val="20"/>
                <w:color w:val="auto"/>
              </w:rPr>
            </w:pPr>
            <w:r>
              <w:rPr>
                <w:rFonts w:ascii="Arial" w:cs="Arial" w:eastAsia="Arial" w:hAnsi="Arial"/>
                <w:sz w:val="10"/>
                <w:szCs w:val="10"/>
                <w:color w:val="auto"/>
                <w:w w:val="88"/>
              </w:rPr>
              <w:t>100,000</w:t>
            </w:r>
          </w:p>
        </w:tc>
        <w:tc>
          <w:tcPr>
            <w:tcW w:w="900" w:type="dxa"/>
            <w:vAlign w:val="bottom"/>
          </w:tcPr>
          <w:p>
            <w:pPr>
              <w:jc w:val="center"/>
              <w:ind w:left="72"/>
              <w:spacing w:after="0" w:line="93" w:lineRule="exact"/>
              <w:rPr>
                <w:sz w:val="20"/>
                <w:szCs w:val="20"/>
                <w:color w:val="auto"/>
              </w:rPr>
            </w:pPr>
            <w:r>
              <w:rPr>
                <w:rFonts w:ascii="Arial" w:cs="Arial" w:eastAsia="Arial" w:hAnsi="Arial"/>
                <w:sz w:val="10"/>
                <w:szCs w:val="10"/>
                <w:color w:val="auto"/>
                <w:w w:val="87"/>
              </w:rPr>
              <w:t>1,000</w:t>
            </w:r>
          </w:p>
        </w:tc>
        <w:tc>
          <w:tcPr>
            <w:tcW w:w="3280" w:type="dxa"/>
            <w:vAlign w:val="bottom"/>
          </w:tcPr>
          <w:p>
            <w:pPr>
              <w:ind w:left="240"/>
              <w:spacing w:after="0" w:line="93" w:lineRule="exact"/>
              <w:rPr>
                <w:sz w:val="20"/>
                <w:szCs w:val="20"/>
                <w:color w:val="auto"/>
              </w:rPr>
            </w:pPr>
            <w:r>
              <w:rPr>
                <w:rFonts w:ascii="Arial" w:cs="Arial" w:eastAsia="Arial" w:hAnsi="Arial"/>
                <w:sz w:val="10"/>
                <w:szCs w:val="10"/>
                <w:color w:val="auto"/>
              </w:rPr>
              <w:t>Danielle J.M. Nicholas (Vice President)</w:t>
            </w:r>
          </w:p>
        </w:tc>
        <w:tc>
          <w:tcPr>
            <w:tcW w:w="2380" w:type="dxa"/>
            <w:vAlign w:val="bottom"/>
          </w:tcPr>
          <w:p>
            <w:pPr>
              <w:jc w:val="center"/>
              <w:ind w:left="51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E. Kyle Chapman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Visual Systems, Inc.</w:t>
            </w:r>
          </w:p>
        </w:tc>
        <w:tc>
          <w:tcPr>
            <w:tcW w:w="162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16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9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2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2380" w:type="dxa"/>
            <w:vAlign w:val="bottom"/>
            <w:shd w:val="clear" w:color="auto" w:fill="CCEEFF"/>
          </w:tcPr>
          <w:p>
            <w:pPr>
              <w:jc w:val="center"/>
              <w:ind w:left="51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Charles L. Miller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Danielle J.M. Nicholas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Hopmann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William Marchant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tcPr>
          <w:p>
            <w:pPr>
              <w:spacing w:after="0" w:line="93" w:lineRule="exact"/>
              <w:rPr>
                <w:sz w:val="20"/>
                <w:szCs w:val="20"/>
                <w:color w:val="auto"/>
              </w:rPr>
            </w:pPr>
            <w:r>
              <w:rPr>
                <w:rFonts w:ascii="Arial" w:cs="Arial" w:eastAsia="Arial" w:hAnsi="Arial"/>
                <w:sz w:val="10"/>
                <w:szCs w:val="10"/>
                <w:color w:val="auto"/>
              </w:rPr>
              <w:t>Warrior Well Services, Inc.</w:t>
            </w:r>
          </w:p>
        </w:tc>
        <w:tc>
          <w:tcPr>
            <w:tcW w:w="1620" w:type="dxa"/>
            <w:vAlign w:val="bottom"/>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160" w:type="dxa"/>
            <w:vAlign w:val="bottom"/>
          </w:tcPr>
          <w:p>
            <w:pPr>
              <w:jc w:val="center"/>
              <w:spacing w:after="0" w:line="93" w:lineRule="exact"/>
              <w:rPr>
                <w:sz w:val="20"/>
                <w:szCs w:val="20"/>
                <w:color w:val="auto"/>
              </w:rPr>
            </w:pPr>
            <w:r>
              <w:rPr>
                <w:rFonts w:ascii="Arial" w:cs="Arial" w:eastAsia="Arial" w:hAnsi="Arial"/>
                <w:sz w:val="10"/>
                <w:szCs w:val="10"/>
                <w:color w:val="auto"/>
                <w:w w:val="88"/>
              </w:rPr>
              <w:t>100,000</w:t>
            </w:r>
          </w:p>
        </w:tc>
        <w:tc>
          <w:tcPr>
            <w:tcW w:w="900" w:type="dxa"/>
            <w:vAlign w:val="bottom"/>
          </w:tcPr>
          <w:p>
            <w:pPr>
              <w:jc w:val="center"/>
              <w:ind w:left="92"/>
              <w:spacing w:after="0" w:line="93" w:lineRule="exact"/>
              <w:rPr>
                <w:sz w:val="20"/>
                <w:szCs w:val="20"/>
                <w:color w:val="auto"/>
              </w:rPr>
            </w:pPr>
            <w:r>
              <w:rPr>
                <w:rFonts w:ascii="Arial" w:cs="Arial" w:eastAsia="Arial" w:hAnsi="Arial"/>
                <w:sz w:val="10"/>
                <w:szCs w:val="10"/>
                <w:color w:val="auto"/>
                <w:w w:val="91"/>
              </w:rPr>
              <w:t>50,000</w:t>
            </w:r>
          </w:p>
        </w:tc>
        <w:tc>
          <w:tcPr>
            <w:tcW w:w="3280" w:type="dxa"/>
            <w:vAlign w:val="bottom"/>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2380" w:type="dxa"/>
            <w:vAlign w:val="bottom"/>
          </w:tcPr>
          <w:p>
            <w:pPr>
              <w:jc w:val="center"/>
              <w:ind w:left="51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Danielle J.M. Nicholas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William Marchant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(Nova Scotia) ULC</w:t>
            </w:r>
          </w:p>
        </w:tc>
        <w:tc>
          <w:tcPr>
            <w:tcW w:w="162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160" w:type="dxa"/>
            <w:vAlign w:val="bottom"/>
            <w:shd w:val="clear" w:color="auto" w:fill="CCEEFF"/>
          </w:tcPr>
          <w:p>
            <w:pPr>
              <w:ind w:left="380"/>
              <w:spacing w:after="0" w:line="93" w:lineRule="exact"/>
              <w:rPr>
                <w:sz w:val="20"/>
                <w:szCs w:val="20"/>
                <w:color w:val="auto"/>
              </w:rPr>
            </w:pPr>
            <w:r>
              <w:rPr>
                <w:rFonts w:ascii="Arial" w:cs="Arial" w:eastAsia="Arial" w:hAnsi="Arial"/>
                <w:sz w:val="10"/>
                <w:szCs w:val="10"/>
                <w:color w:val="auto"/>
              </w:rPr>
              <w:t>Unlimited</w:t>
            </w:r>
          </w:p>
        </w:tc>
        <w:tc>
          <w:tcPr>
            <w:tcW w:w="900" w:type="dxa"/>
            <w:vAlign w:val="bottom"/>
            <w:shd w:val="clear" w:color="auto" w:fill="CCEEFF"/>
          </w:tcPr>
          <w:p>
            <w:pPr>
              <w:jc w:val="center"/>
              <w:ind w:left="72"/>
              <w:spacing w:after="0" w:line="93" w:lineRule="exact"/>
              <w:rPr>
                <w:sz w:val="20"/>
                <w:szCs w:val="20"/>
                <w:color w:val="auto"/>
              </w:rPr>
            </w:pPr>
            <w:r>
              <w:rPr>
                <w:rFonts w:ascii="Arial" w:cs="Arial" w:eastAsia="Arial" w:hAnsi="Arial"/>
                <w:sz w:val="10"/>
                <w:szCs w:val="10"/>
                <w:color w:val="auto"/>
                <w:w w:val="87"/>
              </w:rPr>
              <w:t>9,990</w:t>
            </w:r>
          </w:p>
        </w:tc>
        <w:tc>
          <w:tcPr>
            <w:tcW w:w="32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J. David Reed (Vice President)</w:t>
            </w:r>
          </w:p>
        </w:tc>
        <w:tc>
          <w:tcPr>
            <w:tcW w:w="2380" w:type="dxa"/>
            <w:vAlign w:val="bottom"/>
            <w:shd w:val="clear" w:color="auto" w:fill="CCEEFF"/>
          </w:tcPr>
          <w:p>
            <w:pPr>
              <w:jc w:val="center"/>
              <w:ind w:left="512"/>
              <w:spacing w:after="0" w:line="93" w:lineRule="exact"/>
              <w:rPr>
                <w:sz w:val="20"/>
                <w:szCs w:val="20"/>
                <w:color w:val="auto"/>
              </w:rPr>
            </w:pPr>
            <w:r>
              <w:rPr>
                <w:rFonts w:ascii="Arial" w:cs="Arial" w:eastAsia="Arial" w:hAnsi="Arial"/>
                <w:sz w:val="10"/>
                <w:szCs w:val="10"/>
                <w:color w:val="auto"/>
                <w:w w:val="85"/>
              </w:rPr>
              <w:t>J. David Reed</w:t>
            </w:r>
          </w:p>
        </w:tc>
        <w:tc>
          <w:tcPr>
            <w:tcW w:w="40" w:type="dxa"/>
            <w:vAlign w:val="bottom"/>
          </w:tcPr>
          <w:p>
            <w:pPr>
              <w:spacing w:after="0"/>
              <w:rPr>
                <w:sz w:val="8"/>
                <w:szCs w:val="8"/>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jc w:val="center"/>
              <w:ind w:left="92"/>
              <w:spacing w:after="0" w:line="104" w:lineRule="exact"/>
              <w:rPr>
                <w:sz w:val="20"/>
                <w:szCs w:val="20"/>
                <w:color w:val="auto"/>
              </w:rPr>
            </w:pPr>
            <w:r>
              <w:rPr>
                <w:rFonts w:ascii="Arial" w:cs="Arial" w:eastAsia="Arial" w:hAnsi="Arial"/>
                <w:sz w:val="10"/>
                <w:szCs w:val="10"/>
                <w:color w:val="auto"/>
                <w:w w:val="86"/>
              </w:rPr>
              <w:t>Preferred Stock</w:t>
            </w:r>
          </w:p>
        </w:tc>
        <w:tc>
          <w:tcPr>
            <w:tcW w:w="1160" w:type="dxa"/>
            <w:vAlign w:val="bottom"/>
            <w:shd w:val="clear" w:color="auto" w:fill="CCEEFF"/>
          </w:tcPr>
          <w:p>
            <w:pPr>
              <w:ind w:left="380"/>
              <w:spacing w:after="0" w:line="104" w:lineRule="exact"/>
              <w:rPr>
                <w:sz w:val="20"/>
                <w:szCs w:val="20"/>
                <w:color w:val="auto"/>
              </w:rPr>
            </w:pPr>
            <w:r>
              <w:rPr>
                <w:rFonts w:ascii="Arial" w:cs="Arial" w:eastAsia="Arial" w:hAnsi="Arial"/>
                <w:sz w:val="10"/>
                <w:szCs w:val="10"/>
                <w:color w:val="auto"/>
              </w:rPr>
              <w:t>Unlimited</w:t>
            </w:r>
          </w:p>
        </w:tc>
        <w:tc>
          <w:tcPr>
            <w:tcW w:w="900" w:type="dxa"/>
            <w:vAlign w:val="bottom"/>
            <w:shd w:val="clear" w:color="auto" w:fill="CCEEFF"/>
          </w:tcPr>
          <w:p>
            <w:pPr>
              <w:jc w:val="center"/>
              <w:ind w:left="72"/>
              <w:spacing w:after="0" w:line="104" w:lineRule="exact"/>
              <w:rPr>
                <w:sz w:val="20"/>
                <w:szCs w:val="20"/>
                <w:color w:val="auto"/>
              </w:rPr>
            </w:pPr>
            <w:r>
              <w:rPr>
                <w:rFonts w:ascii="Arial" w:cs="Arial" w:eastAsia="Arial" w:hAnsi="Arial"/>
                <w:sz w:val="10"/>
                <w:szCs w:val="10"/>
                <w:color w:val="auto"/>
                <w:w w:val="87"/>
              </w:rPr>
              <w:t>1,738</w:t>
            </w: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Pamela M. Webb (Vice President and Assistant Secretary)</w:t>
            </w:r>
          </w:p>
        </w:tc>
        <w:tc>
          <w:tcPr>
            <w:tcW w:w="2380" w:type="dxa"/>
            <w:vAlign w:val="bottom"/>
            <w:shd w:val="clear" w:color="auto" w:fill="CCEEFF"/>
          </w:tcPr>
          <w:p>
            <w:pPr>
              <w:jc w:val="center"/>
              <w:ind w:left="512"/>
              <w:spacing w:after="0" w:line="104" w:lineRule="exact"/>
              <w:rPr>
                <w:sz w:val="20"/>
                <w:szCs w:val="20"/>
                <w:color w:val="auto"/>
              </w:rPr>
            </w:pPr>
            <w:r>
              <w:rPr>
                <w:rFonts w:ascii="Arial" w:cs="Arial" w:eastAsia="Arial" w:hAnsi="Arial"/>
                <w:sz w:val="10"/>
                <w:szCs w:val="10"/>
                <w:color w:val="auto"/>
                <w:w w:val="85"/>
              </w:rPr>
              <w:t>Pamela M. Webb</w:t>
            </w: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(Secretary)</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tcPr>
          <w:p>
            <w:pPr>
              <w:spacing w:after="0" w:line="93" w:lineRule="exact"/>
              <w:rPr>
                <w:sz w:val="20"/>
                <w:szCs w:val="20"/>
                <w:color w:val="auto"/>
              </w:rPr>
            </w:pPr>
            <w:r>
              <w:rPr>
                <w:rFonts w:ascii="Arial" w:cs="Arial" w:eastAsia="Arial" w:hAnsi="Arial"/>
                <w:sz w:val="10"/>
                <w:szCs w:val="10"/>
                <w:color w:val="auto"/>
              </w:rPr>
              <w:t>Weatherford (PTWI), L.L.C.</w:t>
            </w:r>
          </w:p>
        </w:tc>
        <w:tc>
          <w:tcPr>
            <w:tcW w:w="1620" w:type="dxa"/>
            <w:vAlign w:val="bottom"/>
          </w:tcPr>
          <w:p>
            <w:pPr>
              <w:jc w:val="center"/>
              <w:ind w:left="92"/>
              <w:spacing w:after="0" w:line="93" w:lineRule="exact"/>
              <w:rPr>
                <w:sz w:val="20"/>
                <w:szCs w:val="20"/>
                <w:color w:val="auto"/>
              </w:rPr>
            </w:pPr>
            <w:r>
              <w:rPr>
                <w:rFonts w:ascii="Arial" w:cs="Arial" w:eastAsia="Arial" w:hAnsi="Arial"/>
                <w:sz w:val="10"/>
                <w:szCs w:val="10"/>
                <w:color w:val="auto"/>
                <w:w w:val="89"/>
              </w:rPr>
              <w:t>Membership Units</w:t>
            </w:r>
          </w:p>
        </w:tc>
        <w:tc>
          <w:tcPr>
            <w:tcW w:w="1160" w:type="dxa"/>
            <w:vAlign w:val="bottom"/>
          </w:tcPr>
          <w:p>
            <w:pPr>
              <w:ind w:left="380"/>
              <w:spacing w:after="0" w:line="93" w:lineRule="exact"/>
              <w:rPr>
                <w:sz w:val="20"/>
                <w:szCs w:val="20"/>
                <w:color w:val="auto"/>
              </w:rPr>
            </w:pPr>
            <w:r>
              <w:rPr>
                <w:rFonts w:ascii="Arial" w:cs="Arial" w:eastAsia="Arial" w:hAnsi="Arial"/>
                <w:sz w:val="10"/>
                <w:szCs w:val="10"/>
                <w:color w:val="auto"/>
              </w:rPr>
              <w:t>Unlimited</w:t>
            </w:r>
          </w:p>
        </w:tc>
        <w:tc>
          <w:tcPr>
            <w:tcW w:w="900" w:type="dxa"/>
            <w:vAlign w:val="bottom"/>
          </w:tcPr>
          <w:p>
            <w:pPr>
              <w:jc w:val="center"/>
              <w:ind w:left="72"/>
              <w:spacing w:after="0" w:line="93" w:lineRule="exact"/>
              <w:rPr>
                <w:sz w:val="20"/>
                <w:szCs w:val="20"/>
                <w:color w:val="auto"/>
              </w:rPr>
            </w:pPr>
            <w:r>
              <w:rPr>
                <w:rFonts w:ascii="Arial" w:cs="Arial" w:eastAsia="Arial" w:hAnsi="Arial"/>
                <w:sz w:val="10"/>
                <w:szCs w:val="10"/>
                <w:color w:val="auto"/>
                <w:w w:val="87"/>
              </w:rPr>
              <w:t>1,000</w:t>
            </w:r>
          </w:p>
        </w:tc>
        <w:tc>
          <w:tcPr>
            <w:tcW w:w="3280" w:type="dxa"/>
            <w:vAlign w:val="bottom"/>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2380" w:type="dxa"/>
            <w:vAlign w:val="bottom"/>
          </w:tcPr>
          <w:p>
            <w:pPr>
              <w:jc w:val="center"/>
              <w:ind w:left="512"/>
              <w:spacing w:after="0" w:line="93" w:lineRule="exact"/>
              <w:rPr>
                <w:sz w:val="20"/>
                <w:szCs w:val="20"/>
                <w:color w:val="auto"/>
              </w:rPr>
            </w:pPr>
            <w:r>
              <w:rPr>
                <w:rFonts w:ascii="Arial" w:cs="Arial" w:eastAsia="Arial" w:hAnsi="Arial"/>
                <w:sz w:val="10"/>
                <w:szCs w:val="10"/>
                <w:color w:val="auto"/>
                <w:w w:val="88"/>
              </w:rPr>
              <w:t>Weatherford Holdings (Singapore) PTE. Ltd.</w:t>
            </w:r>
          </w:p>
        </w:tc>
        <w:tc>
          <w:tcPr>
            <w:tcW w:w="40" w:type="dxa"/>
            <w:vAlign w:val="bottom"/>
          </w:tcPr>
          <w:p>
            <w:pPr>
              <w:spacing w:after="0"/>
              <w:rPr>
                <w:sz w:val="8"/>
                <w:szCs w:val="8"/>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Mohammed Dadhiwala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Tan Kah Huan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William Marchant (Vice President)</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Artificial Lift Systems, LLC</w:t>
            </w:r>
          </w:p>
        </w:tc>
        <w:tc>
          <w:tcPr>
            <w:tcW w:w="162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9"/>
              </w:rPr>
              <w:t>Membership Units</w:t>
            </w:r>
          </w:p>
        </w:tc>
        <w:tc>
          <w:tcPr>
            <w:tcW w:w="1160" w:type="dxa"/>
            <w:vAlign w:val="bottom"/>
            <w:shd w:val="clear" w:color="auto" w:fill="CCEEFF"/>
          </w:tcPr>
          <w:p>
            <w:pPr>
              <w:ind w:left="380"/>
              <w:spacing w:after="0" w:line="93" w:lineRule="exact"/>
              <w:rPr>
                <w:sz w:val="20"/>
                <w:szCs w:val="20"/>
                <w:color w:val="auto"/>
              </w:rPr>
            </w:pPr>
            <w:r>
              <w:rPr>
                <w:rFonts w:ascii="Arial" w:cs="Arial" w:eastAsia="Arial" w:hAnsi="Arial"/>
                <w:sz w:val="10"/>
                <w:szCs w:val="10"/>
                <w:color w:val="auto"/>
              </w:rPr>
              <w:t>Unlimited</w:t>
            </w:r>
          </w:p>
        </w:tc>
        <w:tc>
          <w:tcPr>
            <w:tcW w:w="9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2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2380" w:type="dxa"/>
            <w:vAlign w:val="bottom"/>
            <w:shd w:val="clear" w:color="auto" w:fill="CCEEFF"/>
          </w:tcPr>
          <w:p>
            <w:pPr>
              <w:jc w:val="center"/>
              <w:ind w:left="512"/>
              <w:spacing w:after="0" w:line="93" w:lineRule="exact"/>
              <w:rPr>
                <w:sz w:val="20"/>
                <w:szCs w:val="20"/>
                <w:color w:val="auto"/>
              </w:rPr>
            </w:pPr>
            <w:r>
              <w:rPr>
                <w:rFonts w:ascii="Arial" w:cs="Arial" w:eastAsia="Arial" w:hAnsi="Arial"/>
                <w:sz w:val="10"/>
                <w:szCs w:val="10"/>
                <w:color w:val="auto"/>
                <w:w w:val="89"/>
              </w:rPr>
              <w:t>Weatherford International, LLC</w:t>
            </w:r>
          </w:p>
        </w:tc>
        <w:tc>
          <w:tcPr>
            <w:tcW w:w="40" w:type="dxa"/>
            <w:vAlign w:val="bottom"/>
          </w:tcPr>
          <w:p>
            <w:pPr>
              <w:spacing w:after="0"/>
              <w:rPr>
                <w:sz w:val="8"/>
                <w:szCs w:val="8"/>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 L. Marshall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Danielle J.M. Nicholas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David Morris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Dean Bell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Ellen Chin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Etienne Roux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Jeff J. Lembcke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Lawrence Allen Sinor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Marco E. Boos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Hopmann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Marwan Sabah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Philip Scott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Robert McDonald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William Marchant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120" w:type="dxa"/>
            <w:vAlign w:val="bottom"/>
          </w:tcPr>
          <w:p>
            <w:pPr>
              <w:spacing w:after="0" w:line="93" w:lineRule="exact"/>
              <w:rPr>
                <w:sz w:val="20"/>
                <w:szCs w:val="20"/>
                <w:color w:val="auto"/>
              </w:rPr>
            </w:pPr>
            <w:r>
              <w:rPr>
                <w:rFonts w:ascii="Arial" w:cs="Arial" w:eastAsia="Arial" w:hAnsi="Arial"/>
                <w:sz w:val="10"/>
                <w:szCs w:val="10"/>
                <w:color w:val="auto"/>
              </w:rPr>
              <w:t>Weatherford Australia Pty Limited</w:t>
            </w:r>
          </w:p>
        </w:tc>
        <w:tc>
          <w:tcPr>
            <w:tcW w:w="1620" w:type="dxa"/>
            <w:vAlign w:val="bottom"/>
          </w:tcPr>
          <w:p>
            <w:pPr>
              <w:jc w:val="center"/>
              <w:ind w:left="92"/>
              <w:spacing w:after="0" w:line="93" w:lineRule="exact"/>
              <w:rPr>
                <w:sz w:val="20"/>
                <w:szCs w:val="20"/>
                <w:color w:val="auto"/>
              </w:rPr>
            </w:pPr>
            <w:r>
              <w:rPr>
                <w:rFonts w:ascii="Arial" w:cs="Arial" w:eastAsia="Arial" w:hAnsi="Arial"/>
                <w:sz w:val="10"/>
                <w:szCs w:val="10"/>
                <w:color w:val="auto"/>
                <w:w w:val="87"/>
              </w:rPr>
              <w:t>Ordinary Shares</w:t>
            </w:r>
          </w:p>
        </w:tc>
        <w:tc>
          <w:tcPr>
            <w:tcW w:w="1160" w:type="dxa"/>
            <w:vAlign w:val="bottom"/>
          </w:tcPr>
          <w:p>
            <w:pPr>
              <w:jc w:val="center"/>
              <w:spacing w:after="0" w:line="93" w:lineRule="exact"/>
              <w:rPr>
                <w:sz w:val="20"/>
                <w:szCs w:val="20"/>
                <w:color w:val="auto"/>
              </w:rPr>
            </w:pPr>
            <w:r>
              <w:rPr>
                <w:rFonts w:ascii="Arial" w:cs="Arial" w:eastAsia="Arial" w:hAnsi="Arial"/>
                <w:sz w:val="10"/>
                <w:szCs w:val="10"/>
                <w:color w:val="auto"/>
                <w:w w:val="89"/>
              </w:rPr>
              <w:t>1,746,760</w:t>
            </w:r>
          </w:p>
        </w:tc>
        <w:tc>
          <w:tcPr>
            <w:tcW w:w="900" w:type="dxa"/>
            <w:vAlign w:val="bottom"/>
          </w:tcPr>
          <w:p>
            <w:pPr>
              <w:ind w:left="440"/>
              <w:spacing w:after="0" w:line="93" w:lineRule="exact"/>
              <w:rPr>
                <w:sz w:val="20"/>
                <w:szCs w:val="20"/>
                <w:color w:val="auto"/>
              </w:rPr>
            </w:pPr>
            <w:r>
              <w:rPr>
                <w:rFonts w:ascii="Arial" w:cs="Arial" w:eastAsia="Arial" w:hAnsi="Arial"/>
                <w:sz w:val="10"/>
                <w:szCs w:val="10"/>
                <w:color w:val="auto"/>
              </w:rPr>
              <w:t>N/A</w:t>
            </w:r>
          </w:p>
        </w:tc>
        <w:tc>
          <w:tcPr>
            <w:tcW w:w="3280" w:type="dxa"/>
            <w:vAlign w:val="bottom"/>
          </w:tcPr>
          <w:p>
            <w:pPr>
              <w:ind w:left="240"/>
              <w:spacing w:after="0" w:line="93" w:lineRule="exact"/>
              <w:rPr>
                <w:sz w:val="20"/>
                <w:szCs w:val="20"/>
                <w:color w:val="auto"/>
              </w:rPr>
            </w:pPr>
            <w:r>
              <w:rPr>
                <w:rFonts w:ascii="Arial" w:cs="Arial" w:eastAsia="Arial" w:hAnsi="Arial"/>
                <w:sz w:val="10"/>
                <w:szCs w:val="10"/>
                <w:color w:val="auto"/>
              </w:rPr>
              <w:t>N/A</w:t>
            </w:r>
          </w:p>
        </w:tc>
        <w:tc>
          <w:tcPr>
            <w:tcW w:w="2380" w:type="dxa"/>
            <w:vAlign w:val="bottom"/>
          </w:tcPr>
          <w:p>
            <w:pPr>
              <w:jc w:val="center"/>
              <w:ind w:left="512"/>
              <w:spacing w:after="0" w:line="93" w:lineRule="exact"/>
              <w:rPr>
                <w:sz w:val="20"/>
                <w:szCs w:val="20"/>
                <w:color w:val="auto"/>
              </w:rPr>
            </w:pPr>
            <w:r>
              <w:rPr>
                <w:rFonts w:ascii="Arial" w:cs="Arial" w:eastAsia="Arial" w:hAnsi="Arial"/>
                <w:sz w:val="10"/>
                <w:szCs w:val="10"/>
                <w:color w:val="auto"/>
                <w:w w:val="95"/>
              </w:rPr>
              <w:t>Antonino Gullotti</w:t>
            </w:r>
          </w:p>
        </w:tc>
        <w:tc>
          <w:tcPr>
            <w:tcW w:w="40" w:type="dxa"/>
            <w:vAlign w:val="bottom"/>
          </w:tcPr>
          <w:p>
            <w:pPr>
              <w:spacing w:after="0"/>
              <w:rPr>
                <w:sz w:val="8"/>
                <w:szCs w:val="8"/>
                <w:color w:val="auto"/>
              </w:rPr>
            </w:pPr>
          </w:p>
        </w:tc>
      </w:tr>
      <w:tr>
        <w:trPr>
          <w:trHeight w:val="115"/>
        </w:trPr>
        <w:tc>
          <w:tcPr>
            <w:tcW w:w="2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380" w:type="dxa"/>
            <w:vAlign w:val="bottom"/>
          </w:tcPr>
          <w:p>
            <w:pPr>
              <w:jc w:val="center"/>
              <w:ind w:left="532"/>
              <w:spacing w:after="0"/>
              <w:rPr>
                <w:sz w:val="20"/>
                <w:szCs w:val="20"/>
                <w:color w:val="auto"/>
              </w:rPr>
            </w:pPr>
            <w:r>
              <w:rPr>
                <w:rFonts w:ascii="Arial" w:cs="Arial" w:eastAsia="Arial" w:hAnsi="Arial"/>
                <w:sz w:val="10"/>
                <w:szCs w:val="10"/>
                <w:color w:val="auto"/>
                <w:w w:val="88"/>
              </w:rPr>
              <w:t>Robert Antonio DeGasperis</w:t>
            </w:r>
          </w:p>
        </w:tc>
        <w:tc>
          <w:tcPr>
            <w:tcW w:w="40" w:type="dxa"/>
            <w:vAlign w:val="bottom"/>
          </w:tcPr>
          <w:p>
            <w:pPr>
              <w:spacing w:after="0"/>
              <w:rPr>
                <w:sz w:val="9"/>
                <w:szCs w:val="9"/>
                <w:color w:val="auto"/>
              </w:rPr>
            </w:pPr>
          </w:p>
        </w:tc>
      </w:tr>
      <w:tr>
        <w:trPr>
          <w:trHeight w:val="92"/>
        </w:trPr>
        <w:tc>
          <w:tcPr>
            <w:tcW w:w="21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Bermuda Holdings Ltd.</w:t>
            </w:r>
          </w:p>
        </w:tc>
        <w:tc>
          <w:tcPr>
            <w:tcW w:w="162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Common Stock</w:t>
            </w:r>
          </w:p>
        </w:tc>
        <w:tc>
          <w:tcPr>
            <w:tcW w:w="116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4"/>
              </w:rPr>
              <w:t>14,000</w:t>
            </w:r>
          </w:p>
        </w:tc>
        <w:tc>
          <w:tcPr>
            <w:tcW w:w="9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1"/>
              </w:rPr>
              <w:t>14,000</w:t>
            </w:r>
          </w:p>
        </w:tc>
        <w:tc>
          <w:tcPr>
            <w:tcW w:w="32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Stuart Fraser (Vice President)</w:t>
            </w:r>
          </w:p>
        </w:tc>
        <w:tc>
          <w:tcPr>
            <w:tcW w:w="2380" w:type="dxa"/>
            <w:vAlign w:val="bottom"/>
            <w:shd w:val="clear" w:color="auto" w:fill="CCEEFF"/>
          </w:tcPr>
          <w:p>
            <w:pPr>
              <w:jc w:val="center"/>
              <w:ind w:left="512"/>
              <w:spacing w:after="0" w:line="93" w:lineRule="exact"/>
              <w:rPr>
                <w:sz w:val="20"/>
                <w:szCs w:val="20"/>
                <w:color w:val="auto"/>
              </w:rPr>
            </w:pPr>
            <w:r>
              <w:rPr>
                <w:rFonts w:ascii="Arial" w:cs="Arial" w:eastAsia="Arial" w:hAnsi="Arial"/>
                <w:sz w:val="10"/>
                <w:szCs w:val="10"/>
                <w:color w:val="auto"/>
                <w:w w:val="89"/>
              </w:rPr>
              <w:t>Peter A. White</w:t>
            </w:r>
          </w:p>
        </w:tc>
        <w:tc>
          <w:tcPr>
            <w:tcW w:w="40" w:type="dxa"/>
            <w:vAlign w:val="bottom"/>
          </w:tcPr>
          <w:p>
            <w:pPr>
              <w:spacing w:after="0"/>
              <w:rPr>
                <w:sz w:val="8"/>
                <w:szCs w:val="8"/>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Peter A. White (Vice President)</w:t>
            </w:r>
          </w:p>
        </w:tc>
        <w:tc>
          <w:tcPr>
            <w:tcW w:w="2380" w:type="dxa"/>
            <w:vAlign w:val="bottom"/>
            <w:shd w:val="clear" w:color="auto" w:fill="CCEEFF"/>
          </w:tcPr>
          <w:p>
            <w:pPr>
              <w:jc w:val="center"/>
              <w:ind w:left="532"/>
              <w:spacing w:after="0" w:line="104"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Tan Kah Huan (Vice President)</w:t>
            </w:r>
          </w:p>
        </w:tc>
        <w:tc>
          <w:tcPr>
            <w:tcW w:w="2380" w:type="dxa"/>
            <w:vAlign w:val="bottom"/>
            <w:shd w:val="clear" w:color="auto" w:fill="CCEEFF"/>
          </w:tcPr>
          <w:p>
            <w:pPr>
              <w:jc w:val="center"/>
              <w:ind w:left="512"/>
              <w:spacing w:after="0" w:line="104" w:lineRule="exact"/>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Mohammed Dadhiwala (Vice President)</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Assistant Secretary)</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Mark Gregory (Secretary)</w:t>
            </w:r>
          </w:p>
        </w:tc>
        <w:tc>
          <w:tcPr>
            <w:tcW w:w="23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265"/>
        </w:trPr>
        <w:tc>
          <w:tcPr>
            <w:tcW w:w="2120" w:type="dxa"/>
            <w:vAlign w:val="bottom"/>
            <w:tcBorders>
              <w:bottom w:val="single" w:sz="8" w:color="808080"/>
            </w:tcBorders>
          </w:tcPr>
          <w:p>
            <w:pPr>
              <w:spacing w:after="0"/>
              <w:rPr>
                <w:sz w:val="23"/>
                <w:szCs w:val="23"/>
                <w:color w:val="auto"/>
              </w:rPr>
            </w:pPr>
          </w:p>
        </w:tc>
        <w:tc>
          <w:tcPr>
            <w:tcW w:w="162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900" w:type="dxa"/>
            <w:vAlign w:val="bottom"/>
            <w:tcBorders>
              <w:bottom w:val="single" w:sz="8" w:color="808080"/>
            </w:tcBorders>
          </w:tcPr>
          <w:p>
            <w:pPr>
              <w:spacing w:after="0"/>
              <w:rPr>
                <w:sz w:val="23"/>
                <w:szCs w:val="23"/>
                <w:color w:val="auto"/>
              </w:rPr>
            </w:pPr>
          </w:p>
        </w:tc>
        <w:tc>
          <w:tcPr>
            <w:tcW w:w="3280" w:type="dxa"/>
            <w:vAlign w:val="bottom"/>
            <w:tcBorders>
              <w:bottom w:val="single" w:sz="8" w:color="808080"/>
            </w:tcBorders>
          </w:tcPr>
          <w:p>
            <w:pPr>
              <w:spacing w:after="0"/>
              <w:rPr>
                <w:sz w:val="23"/>
                <w:szCs w:val="23"/>
                <w:color w:val="auto"/>
              </w:rPr>
            </w:pPr>
          </w:p>
        </w:tc>
        <w:tc>
          <w:tcPr>
            <w:tcW w:w="23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3" w:right="17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115"/>
        </w:trPr>
        <w:tc>
          <w:tcPr>
            <w:tcW w:w="23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Conyers Corporate Services (Bermuda) Limited (Assistant Secretary)</w:t>
            </w:r>
          </w:p>
        </w:tc>
        <w:tc>
          <w:tcPr>
            <w:tcW w:w="20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Canada Ltd.</w:t>
            </w:r>
          </w:p>
        </w:tc>
        <w:tc>
          <w:tcPr>
            <w:tcW w:w="146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95"/>
              </w:rPr>
              <w:t>Unlimited</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89"/>
              </w:rPr>
              <w:t>5,927,913</w:t>
            </w:r>
          </w:p>
        </w:tc>
        <w:tc>
          <w:tcPr>
            <w:tcW w:w="3560" w:type="dxa"/>
            <w:vAlign w:val="bottom"/>
          </w:tcPr>
          <w:p>
            <w:pPr>
              <w:ind w:left="200"/>
              <w:spacing w:after="0" w:line="93" w:lineRule="exact"/>
              <w:rPr>
                <w:sz w:val="20"/>
                <w:szCs w:val="20"/>
                <w:color w:val="auto"/>
              </w:rPr>
            </w:pPr>
            <w:r>
              <w:rPr>
                <w:rFonts w:ascii="Arial" w:cs="Arial" w:eastAsia="Arial" w:hAnsi="Arial"/>
                <w:sz w:val="10"/>
                <w:szCs w:val="10"/>
                <w:color w:val="auto"/>
              </w:rPr>
              <w:t>J. David Reed (Vice President)</w:t>
            </w:r>
          </w:p>
        </w:tc>
        <w:tc>
          <w:tcPr>
            <w:tcW w:w="20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85"/>
              </w:rPr>
              <w:t>J. David Reed</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60" w:type="dxa"/>
            <w:vAlign w:val="bottom"/>
          </w:tcPr>
          <w:p>
            <w:pPr>
              <w:jc w:val="center"/>
              <w:ind w:right="52"/>
              <w:spacing w:after="0" w:line="104" w:lineRule="exact"/>
              <w:rPr>
                <w:sz w:val="20"/>
                <w:szCs w:val="20"/>
                <w:color w:val="auto"/>
              </w:rPr>
            </w:pPr>
            <w:r>
              <w:rPr>
                <w:rFonts w:ascii="Arial" w:cs="Arial" w:eastAsia="Arial" w:hAnsi="Arial"/>
                <w:sz w:val="10"/>
                <w:szCs w:val="10"/>
                <w:color w:val="auto"/>
                <w:w w:val="86"/>
              </w:rPr>
              <w:t>Class A Preferred Stock</w:t>
            </w:r>
          </w:p>
        </w:tc>
        <w:tc>
          <w:tcPr>
            <w:tcW w:w="1100" w:type="dxa"/>
            <w:vAlign w:val="bottom"/>
          </w:tcPr>
          <w:p>
            <w:pPr>
              <w:jc w:val="center"/>
              <w:spacing w:after="0" w:line="104" w:lineRule="exact"/>
              <w:rPr>
                <w:sz w:val="20"/>
                <w:szCs w:val="20"/>
                <w:color w:val="auto"/>
              </w:rPr>
            </w:pPr>
            <w:r>
              <w:rPr>
                <w:rFonts w:ascii="Arial" w:cs="Arial" w:eastAsia="Arial" w:hAnsi="Arial"/>
                <w:sz w:val="10"/>
                <w:szCs w:val="10"/>
                <w:color w:val="auto"/>
                <w:w w:val="95"/>
              </w:rPr>
              <w:t>Unlimited</w:t>
            </w:r>
          </w:p>
        </w:tc>
        <w:tc>
          <w:tcPr>
            <w:tcW w:w="960" w:type="dxa"/>
            <w:vAlign w:val="bottom"/>
          </w:tcPr>
          <w:p>
            <w:pPr>
              <w:jc w:val="center"/>
              <w:ind w:left="72"/>
              <w:spacing w:after="0" w:line="104" w:lineRule="exact"/>
              <w:rPr>
                <w:sz w:val="20"/>
                <w:szCs w:val="20"/>
                <w:color w:val="auto"/>
              </w:rPr>
            </w:pPr>
            <w:r>
              <w:rPr>
                <w:rFonts w:ascii="Arial" w:cs="Arial" w:eastAsia="Arial" w:hAnsi="Arial"/>
                <w:sz w:val="10"/>
                <w:szCs w:val="10"/>
                <w:color w:val="auto"/>
                <w:w w:val="89"/>
              </w:rPr>
              <w:t>3,390,000</w:t>
            </w: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Pamela M. Webb (Vice President and Assistant Secretary)</w:t>
            </w:r>
          </w:p>
        </w:tc>
        <w:tc>
          <w:tcPr>
            <w:tcW w:w="20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5"/>
              </w:rPr>
              <w:t>Pamela M. Webb</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jc w:val="center"/>
              <w:ind w:right="52"/>
              <w:spacing w:after="0" w:line="104" w:lineRule="exact"/>
              <w:rPr>
                <w:sz w:val="20"/>
                <w:szCs w:val="20"/>
                <w:color w:val="auto"/>
              </w:rPr>
            </w:pPr>
            <w:r>
              <w:rPr>
                <w:rFonts w:ascii="Arial" w:cs="Arial" w:eastAsia="Arial" w:hAnsi="Arial"/>
                <w:sz w:val="10"/>
                <w:szCs w:val="10"/>
                <w:color w:val="auto"/>
                <w:w w:val="86"/>
              </w:rPr>
              <w:t>Class B Preferred Stock</w:t>
            </w: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Ryan Leskiw (Director Sales, Canada)</w:t>
            </w:r>
          </w:p>
        </w:tc>
        <w:tc>
          <w:tcPr>
            <w:tcW w:w="20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5"/>
              </w:rPr>
              <w:t>Shekhar Patel</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jc w:val="center"/>
              <w:spacing w:after="0" w:line="104" w:lineRule="exact"/>
              <w:rPr>
                <w:sz w:val="20"/>
                <w:szCs w:val="20"/>
                <w:color w:val="auto"/>
              </w:rPr>
            </w:pPr>
            <w:r>
              <w:rPr>
                <w:rFonts w:ascii="Arial" w:cs="Arial" w:eastAsia="Arial" w:hAnsi="Arial"/>
                <w:sz w:val="10"/>
                <w:szCs w:val="10"/>
                <w:color w:val="auto"/>
                <w:w w:val="89"/>
              </w:rPr>
              <w:t>1,000,000</w:t>
            </w: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(Secretary)</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Colombia Limited</w:t>
            </w:r>
          </w:p>
        </w:tc>
        <w:tc>
          <w:tcPr>
            <w:tcW w:w="146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4"/>
              </w:rPr>
              <w:t>50,000</w:t>
            </w:r>
          </w:p>
        </w:tc>
        <w:tc>
          <w:tcPr>
            <w:tcW w:w="960" w:type="dxa"/>
            <w:vAlign w:val="bottom"/>
            <w:shd w:val="clear" w:color="auto" w:fill="CCEEFF"/>
          </w:tcPr>
          <w:p>
            <w:pPr>
              <w:jc w:val="center"/>
              <w:ind w:left="52"/>
              <w:spacing w:after="0" w:line="93" w:lineRule="exact"/>
              <w:rPr>
                <w:sz w:val="20"/>
                <w:szCs w:val="20"/>
                <w:color w:val="auto"/>
              </w:rPr>
            </w:pPr>
            <w:r>
              <w:rPr>
                <w:rFonts w:ascii="Arial" w:cs="Arial" w:eastAsia="Arial" w:hAnsi="Arial"/>
                <w:sz w:val="10"/>
                <w:szCs w:val="10"/>
                <w:color w:val="auto"/>
                <w:w w:val="87"/>
              </w:rPr>
              <w:t>7,500</w:t>
            </w:r>
          </w:p>
        </w:tc>
        <w:tc>
          <w:tcPr>
            <w:tcW w:w="356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E. Kyle Chapman (President)</w:t>
            </w:r>
          </w:p>
        </w:tc>
        <w:tc>
          <w:tcPr>
            <w:tcW w:w="2060" w:type="dxa"/>
            <w:vAlign w:val="bottom"/>
            <w:shd w:val="clear" w:color="auto" w:fill="CCEEFF"/>
          </w:tcPr>
          <w:p>
            <w:pPr>
              <w:jc w:val="center"/>
              <w:ind w:left="19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Peter A. White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Tan Kah Huan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Mohammed Dadhiwala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Gustavo Torres Abraham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DISC Inc.</w:t>
            </w:r>
          </w:p>
        </w:tc>
        <w:tc>
          <w:tcPr>
            <w:tcW w:w="146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3"/>
              </w:rPr>
              <w:t>100</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95"/>
              </w:rPr>
              <w:t>100</w:t>
            </w:r>
          </w:p>
        </w:tc>
        <w:tc>
          <w:tcPr>
            <w:tcW w:w="3560" w:type="dxa"/>
            <w:vAlign w:val="bottom"/>
          </w:tcPr>
          <w:p>
            <w:pPr>
              <w:ind w:left="200"/>
              <w:spacing w:after="0" w:line="93" w:lineRule="exact"/>
              <w:rPr>
                <w:sz w:val="20"/>
                <w:szCs w:val="20"/>
                <w:color w:val="auto"/>
              </w:rPr>
            </w:pPr>
            <w:r>
              <w:rPr>
                <w:rFonts w:ascii="Arial" w:cs="Arial" w:eastAsia="Arial" w:hAnsi="Arial"/>
                <w:sz w:val="10"/>
                <w:szCs w:val="10"/>
                <w:color w:val="auto"/>
              </w:rPr>
              <w:t>E. Kyle Chapman (President)</w:t>
            </w:r>
          </w:p>
        </w:tc>
        <w:tc>
          <w:tcPr>
            <w:tcW w:w="20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Drilling International (BVI) Ltd.</w:t>
            </w:r>
          </w:p>
        </w:tc>
        <w:tc>
          <w:tcPr>
            <w:tcW w:w="146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71"/>
              </w:rPr>
              <w:t>1</w:t>
            </w:r>
          </w:p>
        </w:tc>
        <w:tc>
          <w:tcPr>
            <w:tcW w:w="960" w:type="dxa"/>
            <w:vAlign w:val="bottom"/>
            <w:shd w:val="clear" w:color="auto" w:fill="CCEEFF"/>
          </w:tcPr>
          <w:p>
            <w:pPr>
              <w:jc w:val="center"/>
              <w:ind w:left="72"/>
              <w:spacing w:after="0" w:line="93" w:lineRule="exact"/>
              <w:rPr>
                <w:sz w:val="20"/>
                <w:szCs w:val="20"/>
                <w:color w:val="auto"/>
              </w:rPr>
            </w:pPr>
            <w:r>
              <w:rPr>
                <w:rFonts w:ascii="Arial" w:cs="Arial" w:eastAsia="Arial" w:hAnsi="Arial"/>
                <w:sz w:val="10"/>
                <w:szCs w:val="10"/>
                <w:color w:val="auto"/>
                <w:w w:val="71"/>
              </w:rPr>
              <w:t>1</w:t>
            </w:r>
          </w:p>
        </w:tc>
        <w:tc>
          <w:tcPr>
            <w:tcW w:w="356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Andrew Gold (President)</w:t>
            </w:r>
          </w:p>
        </w:tc>
        <w:tc>
          <w:tcPr>
            <w:tcW w:w="2060" w:type="dxa"/>
            <w:vAlign w:val="bottom"/>
            <w:shd w:val="clear" w:color="auto" w:fill="CCEEFF"/>
          </w:tcPr>
          <w:p>
            <w:pPr>
              <w:jc w:val="center"/>
              <w:ind w:left="212"/>
              <w:spacing w:after="0" w:line="93"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Tan Kah Huan (Senior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Mohammed Dadhiwala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(Controller and Assistant Secretary)</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(Secretary)</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Drilling International Holdings (BVI)</w:t>
            </w:r>
          </w:p>
        </w:tc>
        <w:tc>
          <w:tcPr>
            <w:tcW w:w="146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4"/>
              </w:rPr>
              <w:t>50,000</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87"/>
              </w:rPr>
              <w:t>5,359.7478</w:t>
            </w:r>
          </w:p>
        </w:tc>
        <w:tc>
          <w:tcPr>
            <w:tcW w:w="3560" w:type="dxa"/>
            <w:vAlign w:val="bottom"/>
          </w:tcPr>
          <w:p>
            <w:pPr>
              <w:ind w:left="200"/>
              <w:spacing w:after="0" w:line="93" w:lineRule="exact"/>
              <w:rPr>
                <w:sz w:val="20"/>
                <w:szCs w:val="20"/>
                <w:color w:val="auto"/>
              </w:rPr>
            </w:pPr>
            <w:r>
              <w:rPr>
                <w:rFonts w:ascii="Arial" w:cs="Arial" w:eastAsia="Arial" w:hAnsi="Arial"/>
                <w:sz w:val="10"/>
                <w:szCs w:val="10"/>
                <w:color w:val="auto"/>
              </w:rPr>
              <w:t>Miguel Sanchez (Vice President)</w:t>
            </w:r>
          </w:p>
        </w:tc>
        <w:tc>
          <w:tcPr>
            <w:tcW w:w="20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89"/>
              </w:rPr>
              <w:t>Peter A. White</w:t>
            </w:r>
          </w:p>
        </w:tc>
        <w:tc>
          <w:tcPr>
            <w:tcW w:w="40" w:type="dxa"/>
            <w:vAlign w:val="bottom"/>
          </w:tcPr>
          <w:p>
            <w:pPr>
              <w:spacing w:after="0"/>
              <w:rPr>
                <w:sz w:val="8"/>
                <w:szCs w:val="8"/>
                <w:color w:val="auto"/>
              </w:rPr>
            </w:pPr>
          </w:p>
        </w:tc>
      </w:tr>
      <w:tr>
        <w:trPr>
          <w:trHeight w:val="104"/>
        </w:trPr>
        <w:tc>
          <w:tcPr>
            <w:tcW w:w="2320" w:type="dxa"/>
            <w:vAlign w:val="bottom"/>
          </w:tcPr>
          <w:p>
            <w:pPr>
              <w:spacing w:after="0" w:line="104" w:lineRule="exact"/>
              <w:rPr>
                <w:sz w:val="20"/>
                <w:szCs w:val="20"/>
                <w:color w:val="auto"/>
              </w:rPr>
            </w:pPr>
            <w:r>
              <w:rPr>
                <w:rFonts w:ascii="Arial" w:cs="Arial" w:eastAsia="Arial" w:hAnsi="Arial"/>
                <w:sz w:val="10"/>
                <w:szCs w:val="10"/>
                <w:color w:val="auto"/>
              </w:rPr>
              <w:t>Ltd.</w:t>
            </w: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Peter A. White (Vice President)</w:t>
            </w:r>
          </w:p>
        </w:tc>
        <w:tc>
          <w:tcPr>
            <w:tcW w:w="2060" w:type="dxa"/>
            <w:vAlign w:val="bottom"/>
          </w:tcPr>
          <w:p>
            <w:pPr>
              <w:jc w:val="center"/>
              <w:ind w:left="212"/>
              <w:spacing w:after="0" w:line="104"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Tan Kah Huan (Vice President)</w:t>
            </w:r>
          </w:p>
        </w:tc>
        <w:tc>
          <w:tcPr>
            <w:tcW w:w="20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Mohammed Dadhiwala (Vice President)</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Eurasia Limited</w:t>
            </w:r>
          </w:p>
        </w:tc>
        <w:tc>
          <w:tcPr>
            <w:tcW w:w="146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Ordinary Shares</w:t>
            </w:r>
          </w:p>
        </w:tc>
        <w:tc>
          <w:tcPr>
            <w:tcW w:w="110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7"/>
              </w:rPr>
              <w:t>97,650,438</w:t>
            </w:r>
          </w:p>
        </w:tc>
        <w:tc>
          <w:tcPr>
            <w:tcW w:w="960" w:type="dxa"/>
            <w:vAlign w:val="bottom"/>
            <w:shd w:val="clear" w:color="auto" w:fill="CCEEFF"/>
          </w:tcPr>
          <w:p>
            <w:pPr>
              <w:ind w:left="460"/>
              <w:spacing w:after="0" w:line="93" w:lineRule="exact"/>
              <w:rPr>
                <w:sz w:val="20"/>
                <w:szCs w:val="20"/>
                <w:color w:val="auto"/>
              </w:rPr>
            </w:pPr>
            <w:r>
              <w:rPr>
                <w:rFonts w:ascii="Arial" w:cs="Arial" w:eastAsia="Arial" w:hAnsi="Arial"/>
                <w:sz w:val="10"/>
                <w:szCs w:val="10"/>
                <w:color w:val="auto"/>
              </w:rPr>
              <w:t>N/A</w:t>
            </w:r>
          </w:p>
        </w:tc>
        <w:tc>
          <w:tcPr>
            <w:tcW w:w="356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N/A</w:t>
            </w:r>
          </w:p>
        </w:tc>
        <w:tc>
          <w:tcPr>
            <w:tcW w:w="2060" w:type="dxa"/>
            <w:vAlign w:val="bottom"/>
            <w:shd w:val="clear" w:color="auto" w:fill="CCEEFF"/>
          </w:tcPr>
          <w:p>
            <w:pPr>
              <w:jc w:val="center"/>
              <w:ind w:left="192"/>
              <w:spacing w:after="0" w:line="93" w:lineRule="exact"/>
              <w:rPr>
                <w:sz w:val="20"/>
                <w:szCs w:val="20"/>
                <w:color w:val="auto"/>
              </w:rPr>
            </w:pPr>
            <w:r>
              <w:rPr>
                <w:rFonts w:ascii="Arial" w:cs="Arial" w:eastAsia="Arial" w:hAnsi="Arial"/>
                <w:sz w:val="10"/>
                <w:szCs w:val="10"/>
                <w:color w:val="auto"/>
                <w:w w:val="85"/>
              </w:rPr>
              <w:t>Richard Strachan</w:t>
            </w:r>
          </w:p>
        </w:tc>
        <w:tc>
          <w:tcPr>
            <w:tcW w:w="40" w:type="dxa"/>
            <w:vAlign w:val="bottom"/>
          </w:tcPr>
          <w:p>
            <w:pPr>
              <w:spacing w:after="0"/>
              <w:rPr>
                <w:sz w:val="8"/>
                <w:szCs w:val="8"/>
                <w:color w:val="auto"/>
              </w:rPr>
            </w:pPr>
          </w:p>
        </w:tc>
      </w:tr>
      <w:tr>
        <w:trPr>
          <w:trHeight w:val="115"/>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spacing w:after="0"/>
              <w:rPr>
                <w:sz w:val="9"/>
                <w:szCs w:val="9"/>
                <w:color w:val="auto"/>
              </w:rPr>
            </w:pPr>
          </w:p>
        </w:tc>
        <w:tc>
          <w:tcPr>
            <w:tcW w:w="2060" w:type="dxa"/>
            <w:vAlign w:val="bottom"/>
            <w:shd w:val="clear" w:color="auto" w:fill="CCEEFF"/>
          </w:tcPr>
          <w:p>
            <w:pPr>
              <w:jc w:val="center"/>
              <w:ind w:left="212"/>
              <w:spacing w:after="0"/>
              <w:rPr>
                <w:sz w:val="20"/>
                <w:szCs w:val="20"/>
                <w:color w:val="auto"/>
              </w:rPr>
            </w:pPr>
            <w:r>
              <w:rPr>
                <w:rFonts w:ascii="Arial" w:cs="Arial" w:eastAsia="Arial" w:hAnsi="Arial"/>
                <w:sz w:val="10"/>
                <w:szCs w:val="10"/>
                <w:color w:val="auto"/>
                <w:w w:val="91"/>
              </w:rPr>
              <w:t>Neil MacLeod</w:t>
            </w: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w w:val="95"/>
              </w:rPr>
              <w:t>Weatherford European Holdings (Luxembourg) S.à r.l.</w:t>
            </w:r>
          </w:p>
        </w:tc>
        <w:tc>
          <w:tcPr>
            <w:tcW w:w="146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5"/>
              </w:rPr>
              <w:t>Common Shares</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9"/>
              </w:rPr>
              <w:t>1,308,755</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89"/>
              </w:rPr>
              <w:t>1,308,755</w:t>
            </w:r>
          </w:p>
        </w:tc>
        <w:tc>
          <w:tcPr>
            <w:tcW w:w="3560" w:type="dxa"/>
            <w:vAlign w:val="bottom"/>
          </w:tcPr>
          <w:p>
            <w:pPr>
              <w:ind w:left="200"/>
              <w:spacing w:after="0" w:line="93" w:lineRule="exact"/>
              <w:rPr>
                <w:sz w:val="20"/>
                <w:szCs w:val="20"/>
                <w:color w:val="auto"/>
              </w:rPr>
            </w:pPr>
            <w:r>
              <w:rPr>
                <w:rFonts w:ascii="Arial" w:cs="Arial" w:eastAsia="Arial" w:hAnsi="Arial"/>
                <w:sz w:val="10"/>
                <w:szCs w:val="10"/>
                <w:color w:val="auto"/>
              </w:rPr>
              <w:t>N/A</w:t>
            </w:r>
          </w:p>
        </w:tc>
        <w:tc>
          <w:tcPr>
            <w:tcW w:w="20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87"/>
              </w:rPr>
              <w:t>Dragos Cioaca</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060" w:type="dxa"/>
            <w:vAlign w:val="bottom"/>
          </w:tcPr>
          <w:p>
            <w:pPr>
              <w:jc w:val="center"/>
              <w:ind w:left="212"/>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0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8"/>
              </w:rPr>
              <w:t>Roberto Marchetti</w:t>
            </w: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060" w:type="dxa"/>
            <w:vAlign w:val="bottom"/>
          </w:tcPr>
          <w:p>
            <w:pPr>
              <w:jc w:val="center"/>
              <w:ind w:left="192"/>
              <w:spacing w:after="0"/>
              <w:rPr>
                <w:sz w:val="20"/>
                <w:szCs w:val="20"/>
                <w:color w:val="auto"/>
              </w:rPr>
            </w:pPr>
            <w:r>
              <w:rPr>
                <w:rFonts w:ascii="Arial" w:cs="Arial" w:eastAsia="Arial" w:hAnsi="Arial"/>
                <w:sz w:val="10"/>
                <w:szCs w:val="10"/>
                <w:color w:val="auto"/>
                <w:w w:val="86"/>
              </w:rPr>
              <w:t>Sebastien Francois</w:t>
            </w: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Global Services LLC</w:t>
            </w:r>
          </w:p>
        </w:tc>
        <w:tc>
          <w:tcPr>
            <w:tcW w:w="146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Membership Interest</w:t>
            </w:r>
          </w:p>
        </w:tc>
        <w:tc>
          <w:tcPr>
            <w:tcW w:w="110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5"/>
              </w:rPr>
              <w:t>N/A</w:t>
            </w:r>
          </w:p>
        </w:tc>
        <w:tc>
          <w:tcPr>
            <w:tcW w:w="960" w:type="dxa"/>
            <w:vAlign w:val="bottom"/>
            <w:shd w:val="clear" w:color="auto" w:fill="CCEEFF"/>
          </w:tcPr>
          <w:p>
            <w:pPr>
              <w:ind w:left="460"/>
              <w:spacing w:after="0" w:line="93" w:lineRule="exact"/>
              <w:rPr>
                <w:sz w:val="20"/>
                <w:szCs w:val="20"/>
                <w:color w:val="auto"/>
              </w:rPr>
            </w:pPr>
            <w:r>
              <w:rPr>
                <w:rFonts w:ascii="Arial" w:cs="Arial" w:eastAsia="Arial" w:hAnsi="Arial"/>
                <w:sz w:val="10"/>
                <w:szCs w:val="10"/>
                <w:color w:val="auto"/>
              </w:rPr>
              <w:t>N/A</w:t>
            </w:r>
          </w:p>
        </w:tc>
        <w:tc>
          <w:tcPr>
            <w:tcW w:w="356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E. Kyle Chapman (President)</w:t>
            </w:r>
          </w:p>
        </w:tc>
        <w:tc>
          <w:tcPr>
            <w:tcW w:w="2060" w:type="dxa"/>
            <w:vAlign w:val="bottom"/>
            <w:shd w:val="clear" w:color="auto" w:fill="CCEEFF"/>
          </w:tcPr>
          <w:p>
            <w:pPr>
              <w:jc w:val="center"/>
              <w:ind w:left="19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Stuart Fraser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Holdings (Bermuda) Ltd.</w:t>
            </w:r>
          </w:p>
        </w:tc>
        <w:tc>
          <w:tcPr>
            <w:tcW w:w="146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3"/>
              </w:rPr>
              <w:t>100</w:t>
            </w:r>
          </w:p>
        </w:tc>
        <w:tc>
          <w:tcPr>
            <w:tcW w:w="960" w:type="dxa"/>
            <w:vAlign w:val="bottom"/>
          </w:tcPr>
          <w:p>
            <w:pPr>
              <w:jc w:val="center"/>
              <w:ind w:left="52"/>
              <w:spacing w:after="0" w:line="93" w:lineRule="exact"/>
              <w:rPr>
                <w:sz w:val="20"/>
                <w:szCs w:val="20"/>
                <w:color w:val="auto"/>
              </w:rPr>
            </w:pPr>
            <w:r>
              <w:rPr>
                <w:rFonts w:ascii="Arial" w:cs="Arial" w:eastAsia="Arial" w:hAnsi="Arial"/>
                <w:sz w:val="10"/>
                <w:szCs w:val="10"/>
                <w:color w:val="auto"/>
                <w:w w:val="89"/>
              </w:rPr>
              <w:t>10</w:t>
            </w:r>
          </w:p>
        </w:tc>
        <w:tc>
          <w:tcPr>
            <w:tcW w:w="3560" w:type="dxa"/>
            <w:vAlign w:val="bottom"/>
          </w:tcPr>
          <w:p>
            <w:pPr>
              <w:ind w:left="200"/>
              <w:spacing w:after="0" w:line="93" w:lineRule="exact"/>
              <w:rPr>
                <w:sz w:val="20"/>
                <w:szCs w:val="20"/>
                <w:color w:val="auto"/>
              </w:rPr>
            </w:pPr>
            <w:r>
              <w:rPr>
                <w:rFonts w:ascii="Arial" w:cs="Arial" w:eastAsia="Arial" w:hAnsi="Arial"/>
                <w:sz w:val="10"/>
                <w:szCs w:val="10"/>
                <w:color w:val="auto"/>
              </w:rPr>
              <w:t>Stuart Fraser (Vice President)</w:t>
            </w:r>
          </w:p>
        </w:tc>
        <w:tc>
          <w:tcPr>
            <w:tcW w:w="20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89"/>
              </w:rPr>
              <w:t>Peter A. White</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Peter A. White (Vice President)</w:t>
            </w:r>
          </w:p>
        </w:tc>
        <w:tc>
          <w:tcPr>
            <w:tcW w:w="2060" w:type="dxa"/>
            <w:vAlign w:val="bottom"/>
          </w:tcPr>
          <w:p>
            <w:pPr>
              <w:jc w:val="center"/>
              <w:ind w:left="212"/>
              <w:spacing w:after="0" w:line="104"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Tan Kah Huan (Vice President)</w:t>
            </w:r>
          </w:p>
        </w:tc>
        <w:tc>
          <w:tcPr>
            <w:tcW w:w="20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Mohammed Dadhiwala (Vice President)</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(Vice President and Assistant Secretary)</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Mark Gregory (Secretary)</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line="104" w:lineRule="exact"/>
              <w:rPr>
                <w:sz w:val="20"/>
                <w:szCs w:val="20"/>
                <w:color w:val="auto"/>
              </w:rPr>
            </w:pPr>
            <w:r>
              <w:rPr>
                <w:rFonts w:ascii="Arial" w:cs="Arial" w:eastAsia="Arial" w:hAnsi="Arial"/>
                <w:sz w:val="10"/>
                <w:szCs w:val="10"/>
                <w:color w:val="auto"/>
              </w:rPr>
              <w:t>Conyers Corporate Services (Bermuda) Limited (Assistant Secretary)</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Holdings (BVI) Ltd.</w:t>
            </w:r>
          </w:p>
        </w:tc>
        <w:tc>
          <w:tcPr>
            <w:tcW w:w="146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4"/>
              </w:rPr>
              <w:t>10,000</w:t>
            </w:r>
          </w:p>
        </w:tc>
        <w:tc>
          <w:tcPr>
            <w:tcW w:w="960" w:type="dxa"/>
            <w:vAlign w:val="bottom"/>
            <w:shd w:val="clear" w:color="auto" w:fill="CCEEFF"/>
          </w:tcPr>
          <w:p>
            <w:pPr>
              <w:jc w:val="center"/>
              <w:ind w:left="52"/>
              <w:spacing w:after="0" w:line="93" w:lineRule="exact"/>
              <w:rPr>
                <w:sz w:val="20"/>
                <w:szCs w:val="20"/>
                <w:color w:val="auto"/>
              </w:rPr>
            </w:pPr>
            <w:r>
              <w:rPr>
                <w:rFonts w:ascii="Arial" w:cs="Arial" w:eastAsia="Arial" w:hAnsi="Arial"/>
                <w:sz w:val="10"/>
                <w:szCs w:val="10"/>
                <w:color w:val="auto"/>
                <w:w w:val="87"/>
              </w:rPr>
              <w:t>3,421</w:t>
            </w:r>
          </w:p>
        </w:tc>
        <w:tc>
          <w:tcPr>
            <w:tcW w:w="356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Tan Kah Huan (President and General Manager)</w:t>
            </w:r>
          </w:p>
        </w:tc>
        <w:tc>
          <w:tcPr>
            <w:tcW w:w="2060" w:type="dxa"/>
            <w:vAlign w:val="bottom"/>
            <w:shd w:val="clear" w:color="auto" w:fill="CCEEFF"/>
          </w:tcPr>
          <w:p>
            <w:pPr>
              <w:jc w:val="center"/>
              <w:ind w:left="212"/>
              <w:spacing w:after="0" w:line="93"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Mohammed Dadhiwala (Senior Vice President)</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(Secretary)</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Holdings (Switzerland) GmbH</w:t>
            </w:r>
          </w:p>
        </w:tc>
        <w:tc>
          <w:tcPr>
            <w:tcW w:w="146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6"/>
              </w:rPr>
              <w:t>Quotas</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3"/>
              </w:rPr>
              <w:t>200</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95"/>
              </w:rPr>
              <w:t>200</w:t>
            </w:r>
          </w:p>
        </w:tc>
        <w:tc>
          <w:tcPr>
            <w:tcW w:w="3560" w:type="dxa"/>
            <w:vAlign w:val="bottom"/>
          </w:tcPr>
          <w:p>
            <w:pPr>
              <w:ind w:left="200"/>
              <w:spacing w:after="0" w:line="93" w:lineRule="exact"/>
              <w:rPr>
                <w:sz w:val="20"/>
                <w:szCs w:val="20"/>
                <w:color w:val="auto"/>
              </w:rPr>
            </w:pPr>
            <w:r>
              <w:rPr>
                <w:rFonts w:ascii="Arial" w:cs="Arial" w:eastAsia="Arial" w:hAnsi="Arial"/>
                <w:sz w:val="10"/>
                <w:szCs w:val="10"/>
                <w:color w:val="auto"/>
              </w:rPr>
              <w:t>N/A</w:t>
            </w:r>
          </w:p>
        </w:tc>
        <w:tc>
          <w:tcPr>
            <w:tcW w:w="2060" w:type="dxa"/>
            <w:vAlign w:val="bottom"/>
          </w:tcPr>
          <w:p>
            <w:pPr>
              <w:jc w:val="center"/>
              <w:ind w:left="212"/>
              <w:spacing w:after="0" w:line="93" w:lineRule="exact"/>
              <w:rPr>
                <w:sz w:val="20"/>
                <w:szCs w:val="20"/>
                <w:color w:val="auto"/>
              </w:rPr>
            </w:pPr>
            <w:r>
              <w:rPr>
                <w:rFonts w:ascii="Arial" w:cs="Arial" w:eastAsia="Arial" w:hAnsi="Arial"/>
                <w:sz w:val="10"/>
                <w:szCs w:val="10"/>
                <w:color w:val="auto"/>
                <w:w w:val="87"/>
              </w:rPr>
              <w:t>Andrzej Puchala</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060" w:type="dxa"/>
            <w:vAlign w:val="bottom"/>
          </w:tcPr>
          <w:p>
            <w:pPr>
              <w:jc w:val="center"/>
              <w:ind w:left="212"/>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22"/>
        </w:trPr>
        <w:tc>
          <w:tcPr>
            <w:tcW w:w="2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60" w:type="dxa"/>
            <w:vAlign w:val="bottom"/>
          </w:tcPr>
          <w:p>
            <w:pPr>
              <w:jc w:val="center"/>
              <w:ind w:left="192"/>
              <w:spacing w:after="0"/>
              <w:rPr>
                <w:sz w:val="20"/>
                <w:szCs w:val="20"/>
                <w:color w:val="auto"/>
              </w:rPr>
            </w:pPr>
            <w:r>
              <w:rPr>
                <w:rFonts w:ascii="Arial" w:cs="Arial" w:eastAsia="Arial" w:hAnsi="Arial"/>
                <w:sz w:val="10"/>
                <w:szCs w:val="10"/>
                <w:color w:val="auto"/>
                <w:w w:val="91"/>
              </w:rPr>
              <w:t>Valentin Mueller</w:t>
            </w:r>
          </w:p>
        </w:tc>
        <w:tc>
          <w:tcPr>
            <w:tcW w:w="40" w:type="dxa"/>
            <w:vAlign w:val="bottom"/>
          </w:tcPr>
          <w:p>
            <w:pPr>
              <w:spacing w:after="0"/>
              <w:rPr>
                <w:sz w:val="10"/>
                <w:szCs w:val="10"/>
                <w:color w:val="auto"/>
              </w:rPr>
            </w:pPr>
          </w:p>
        </w:tc>
      </w:tr>
      <w:tr>
        <w:trPr>
          <w:trHeight w:val="258"/>
        </w:trPr>
        <w:tc>
          <w:tcPr>
            <w:tcW w:w="23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96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0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3" w:right="17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15"/>
        </w:trPr>
        <w:tc>
          <w:tcPr>
            <w:tcW w:w="2300" w:type="dxa"/>
            <w:vAlign w:val="bottom"/>
            <w:shd w:val="clear" w:color="auto" w:fill="CCEEFF"/>
          </w:tcPr>
          <w:p>
            <w:pPr>
              <w:spacing w:after="0"/>
              <w:rPr>
                <w:sz w:val="20"/>
                <w:szCs w:val="20"/>
                <w:color w:val="auto"/>
              </w:rPr>
            </w:pPr>
            <w:r>
              <w:rPr>
                <w:rFonts w:ascii="Arial" w:cs="Arial" w:eastAsia="Arial" w:hAnsi="Arial"/>
                <w:sz w:val="10"/>
                <w:szCs w:val="10"/>
                <w:color w:val="auto"/>
                <w:w w:val="96"/>
              </w:rPr>
              <w:t>Weatherford International (Luxembourg) Holdings S.à</w:t>
            </w:r>
          </w:p>
        </w:tc>
        <w:tc>
          <w:tcPr>
            <w:tcW w:w="1480" w:type="dxa"/>
            <w:vAlign w:val="bottom"/>
            <w:shd w:val="clear" w:color="auto" w:fill="CCEEFF"/>
          </w:tcPr>
          <w:p>
            <w:pPr>
              <w:jc w:val="center"/>
              <w:ind w:right="32"/>
              <w:spacing w:after="0"/>
              <w:rPr>
                <w:sz w:val="20"/>
                <w:szCs w:val="20"/>
                <w:color w:val="auto"/>
              </w:rPr>
            </w:pPr>
            <w:r>
              <w:rPr>
                <w:rFonts w:ascii="Arial" w:cs="Arial" w:eastAsia="Arial" w:hAnsi="Arial"/>
                <w:sz w:val="10"/>
                <w:szCs w:val="10"/>
                <w:color w:val="auto"/>
                <w:w w:val="89"/>
              </w:rPr>
              <w:t>Initial Shares</w:t>
            </w: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800</w:t>
            </w:r>
          </w:p>
        </w:tc>
        <w:tc>
          <w:tcPr>
            <w:tcW w:w="9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95"/>
              </w:rPr>
              <w:t>800</w:t>
            </w:r>
          </w:p>
        </w:tc>
        <w:tc>
          <w:tcPr>
            <w:tcW w:w="37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N/A</w:t>
            </w:r>
          </w:p>
        </w:tc>
        <w:tc>
          <w:tcPr>
            <w:tcW w:w="1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Dragos Cioaca</w:t>
            </w:r>
          </w:p>
        </w:tc>
        <w:tc>
          <w:tcPr>
            <w:tcW w:w="40" w:type="dxa"/>
            <w:vAlign w:val="bottom"/>
          </w:tcPr>
          <w:p>
            <w:pPr>
              <w:spacing w:after="0"/>
              <w:rPr>
                <w:sz w:val="10"/>
                <w:szCs w:val="10"/>
                <w:color w:val="auto"/>
              </w:rPr>
            </w:pPr>
          </w:p>
        </w:tc>
      </w:tr>
      <w:tr>
        <w:trPr>
          <w:trHeight w:val="104"/>
        </w:trPr>
        <w:tc>
          <w:tcPr>
            <w:tcW w:w="230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r.l.</w:t>
            </w: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4"/>
              </w:rPr>
              <w:t>Class A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jc w:val="center"/>
              <w:ind w:left="12"/>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4"/>
              </w:rPr>
              <w:t>Class B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8"/>
              </w:rPr>
              <w:t>Roberto Marchetti</w:t>
            </w: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3"/>
              </w:rPr>
              <w:t>Class C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6"/>
              </w:rPr>
              <w:t>Sebastien Francois</w:t>
            </w: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3"/>
              </w:rPr>
              <w:t>Class D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4"/>
              </w:rPr>
              <w:t>Class E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32"/>
              <w:spacing w:after="0" w:line="104" w:lineRule="exact"/>
              <w:rPr>
                <w:sz w:val="20"/>
                <w:szCs w:val="20"/>
                <w:color w:val="auto"/>
              </w:rPr>
            </w:pPr>
            <w:r>
              <w:rPr>
                <w:rFonts w:ascii="Arial" w:cs="Arial" w:eastAsia="Arial" w:hAnsi="Arial"/>
                <w:sz w:val="10"/>
                <w:szCs w:val="10"/>
                <w:color w:val="auto"/>
                <w:w w:val="81"/>
              </w:rPr>
              <w:t>Class F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2"/>
              </w:rPr>
              <w:t>Class G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3"/>
              </w:rPr>
              <w:t>Class H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82"/>
              </w:rPr>
              <w:t>Class I Shares</w:t>
            </w: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58,719</w:t>
            </w:r>
          </w:p>
        </w:tc>
        <w:tc>
          <w:tcPr>
            <w:tcW w:w="9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91"/>
              </w:rPr>
              <w:t>58,719</w:t>
            </w:r>
          </w:p>
        </w:tc>
        <w:tc>
          <w:tcPr>
            <w:tcW w:w="37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00" w:type="dxa"/>
            <w:vAlign w:val="bottom"/>
          </w:tcPr>
          <w:p>
            <w:pPr>
              <w:spacing w:after="0" w:line="93" w:lineRule="exact"/>
              <w:rPr>
                <w:sz w:val="20"/>
                <w:szCs w:val="20"/>
                <w:color w:val="auto"/>
              </w:rPr>
            </w:pPr>
            <w:r>
              <w:rPr>
                <w:rFonts w:ascii="Arial" w:cs="Arial" w:eastAsia="Arial" w:hAnsi="Arial"/>
                <w:sz w:val="10"/>
                <w:szCs w:val="10"/>
                <w:color w:val="auto"/>
              </w:rPr>
              <w:t>Weatherford International Holding (Bermuda) Ltd.</w:t>
            </w:r>
          </w:p>
        </w:tc>
        <w:tc>
          <w:tcPr>
            <w:tcW w:w="1480" w:type="dxa"/>
            <w:vAlign w:val="bottom"/>
          </w:tcPr>
          <w:p>
            <w:pPr>
              <w:jc w:val="center"/>
              <w:ind w:right="32"/>
              <w:spacing w:after="0" w:line="93" w:lineRule="exact"/>
              <w:rPr>
                <w:sz w:val="20"/>
                <w:szCs w:val="20"/>
                <w:color w:val="auto"/>
              </w:rPr>
            </w:pPr>
            <w:r>
              <w:rPr>
                <w:rFonts w:ascii="Arial" w:cs="Arial" w:eastAsia="Arial" w:hAnsi="Arial"/>
                <w:sz w:val="10"/>
                <w:szCs w:val="10"/>
                <w:color w:val="auto"/>
                <w:w w:val="87"/>
              </w:rPr>
              <w:t>Common Stock</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3"/>
              </w:rPr>
              <w:t>100</w:t>
            </w:r>
          </w:p>
        </w:tc>
        <w:tc>
          <w:tcPr>
            <w:tcW w:w="980" w:type="dxa"/>
            <w:vAlign w:val="bottom"/>
          </w:tcPr>
          <w:p>
            <w:pPr>
              <w:jc w:val="center"/>
              <w:ind w:left="32"/>
              <w:spacing w:after="0" w:line="93" w:lineRule="exact"/>
              <w:rPr>
                <w:sz w:val="20"/>
                <w:szCs w:val="20"/>
                <w:color w:val="auto"/>
              </w:rPr>
            </w:pPr>
            <w:r>
              <w:rPr>
                <w:rFonts w:ascii="Arial" w:cs="Arial" w:eastAsia="Arial" w:hAnsi="Arial"/>
                <w:sz w:val="10"/>
                <w:szCs w:val="10"/>
                <w:color w:val="auto"/>
                <w:w w:val="89"/>
              </w:rPr>
              <w:t>10</w:t>
            </w:r>
          </w:p>
        </w:tc>
        <w:tc>
          <w:tcPr>
            <w:tcW w:w="3740" w:type="dxa"/>
            <w:vAlign w:val="bottom"/>
          </w:tcPr>
          <w:p>
            <w:pPr>
              <w:ind w:left="180"/>
              <w:spacing w:after="0" w:line="93" w:lineRule="exact"/>
              <w:rPr>
                <w:sz w:val="20"/>
                <w:szCs w:val="20"/>
                <w:color w:val="auto"/>
              </w:rPr>
            </w:pPr>
            <w:r>
              <w:rPr>
                <w:rFonts w:ascii="Arial" w:cs="Arial" w:eastAsia="Arial" w:hAnsi="Arial"/>
                <w:sz w:val="10"/>
                <w:szCs w:val="10"/>
                <w:color w:val="auto"/>
              </w:rPr>
              <w:t>Stuart Fraser (Vice President)</w:t>
            </w:r>
          </w:p>
        </w:tc>
        <w:tc>
          <w:tcPr>
            <w:tcW w:w="1860" w:type="dxa"/>
            <w:vAlign w:val="bottom"/>
          </w:tcPr>
          <w:p>
            <w:pPr>
              <w:jc w:val="center"/>
              <w:spacing w:after="0" w:line="93" w:lineRule="exact"/>
              <w:rPr>
                <w:sz w:val="20"/>
                <w:szCs w:val="20"/>
                <w:color w:val="auto"/>
              </w:rPr>
            </w:pPr>
            <w:r>
              <w:rPr>
                <w:rFonts w:ascii="Arial" w:cs="Arial" w:eastAsia="Arial" w:hAnsi="Arial"/>
                <w:sz w:val="10"/>
                <w:szCs w:val="10"/>
                <w:color w:val="auto"/>
                <w:w w:val="89"/>
              </w:rPr>
              <w:t>Peter A. White</w:t>
            </w:r>
          </w:p>
        </w:tc>
        <w:tc>
          <w:tcPr>
            <w:tcW w:w="40" w:type="dxa"/>
            <w:vAlign w:val="bottom"/>
          </w:tcPr>
          <w:p>
            <w:pPr>
              <w:spacing w:after="0"/>
              <w:rPr>
                <w:sz w:val="8"/>
                <w:szCs w:val="8"/>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Peter A. White (Vice President)</w:t>
            </w:r>
          </w:p>
        </w:tc>
        <w:tc>
          <w:tcPr>
            <w:tcW w:w="1860" w:type="dxa"/>
            <w:vAlign w:val="bottom"/>
          </w:tcPr>
          <w:p>
            <w:pPr>
              <w:jc w:val="center"/>
              <w:ind w:left="12"/>
              <w:spacing w:after="0" w:line="104"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Tan Kah Huan (Vice President)</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Mohammed Dadhiwala (Vice President)</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Christine M. Morrison (Vice President and Assistant Secretary)</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Mark Gregory (Secretary)</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Conyers Corporate Services (Bermuda) Limited (Assistant Secretary)</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rPr>
                <w:sz w:val="20"/>
                <w:szCs w:val="20"/>
                <w:color w:val="auto"/>
              </w:rPr>
            </w:pPr>
            <w:r>
              <w:rPr>
                <w:rFonts w:ascii="Arial" w:cs="Arial" w:eastAsia="Arial" w:hAnsi="Arial"/>
                <w:sz w:val="10"/>
                <w:szCs w:val="10"/>
                <w:color w:val="auto"/>
              </w:rPr>
              <w:t>Joshua S. Silverman (Assistant Treasurer)</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International Ltd.</w:t>
            </w:r>
          </w:p>
        </w:tc>
        <w:tc>
          <w:tcPr>
            <w:tcW w:w="1480" w:type="dxa"/>
            <w:vAlign w:val="bottom"/>
            <w:shd w:val="clear" w:color="auto" w:fill="CCEEFF"/>
          </w:tcPr>
          <w:p>
            <w:pPr>
              <w:jc w:val="center"/>
              <w:ind w:right="32"/>
              <w:spacing w:after="0" w:line="93" w:lineRule="exact"/>
              <w:rPr>
                <w:sz w:val="20"/>
                <w:szCs w:val="20"/>
                <w:color w:val="auto"/>
              </w:rPr>
            </w:pPr>
            <w:r>
              <w:rPr>
                <w:rFonts w:ascii="Arial" w:cs="Arial" w:eastAsia="Arial" w:hAnsi="Arial"/>
                <w:sz w:val="10"/>
                <w:szCs w:val="10"/>
                <w:color w:val="auto"/>
                <w:w w:val="85"/>
              </w:rPr>
              <w:t>Common Shares</w:t>
            </w:r>
          </w:p>
        </w:tc>
        <w:tc>
          <w:tcPr>
            <w:tcW w:w="110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7"/>
              </w:rPr>
              <w:t>1,000,000,000</w:t>
            </w:r>
          </w:p>
        </w:tc>
        <w:tc>
          <w:tcPr>
            <w:tcW w:w="980" w:type="dxa"/>
            <w:vAlign w:val="bottom"/>
            <w:shd w:val="clear" w:color="auto" w:fill="CCEEFF"/>
          </w:tcPr>
          <w:p>
            <w:pPr>
              <w:jc w:val="center"/>
              <w:ind w:left="52"/>
              <w:spacing w:after="0" w:line="93" w:lineRule="exact"/>
              <w:rPr>
                <w:sz w:val="20"/>
                <w:szCs w:val="20"/>
                <w:color w:val="auto"/>
              </w:rPr>
            </w:pPr>
            <w:r>
              <w:rPr>
                <w:rFonts w:ascii="Arial" w:cs="Arial" w:eastAsia="Arial" w:hAnsi="Arial"/>
                <w:sz w:val="10"/>
                <w:szCs w:val="10"/>
                <w:color w:val="auto"/>
                <w:w w:val="86"/>
              </w:rPr>
              <w:t>481,001,513</w:t>
            </w:r>
          </w:p>
        </w:tc>
        <w:tc>
          <w:tcPr>
            <w:tcW w:w="3740" w:type="dxa"/>
            <w:vAlign w:val="bottom"/>
            <w:shd w:val="clear" w:color="auto" w:fill="CCEEFF"/>
          </w:tcPr>
          <w:p>
            <w:pPr>
              <w:ind w:left="180"/>
              <w:spacing w:after="0" w:line="93" w:lineRule="exact"/>
              <w:rPr>
                <w:sz w:val="20"/>
                <w:szCs w:val="20"/>
                <w:color w:val="auto"/>
              </w:rPr>
            </w:pPr>
            <w:r>
              <w:rPr>
                <w:rFonts w:ascii="Arial" w:cs="Arial" w:eastAsia="Arial" w:hAnsi="Arial"/>
                <w:sz w:val="10"/>
                <w:szCs w:val="10"/>
                <w:color w:val="auto"/>
              </w:rPr>
              <w:t>Christoph Bausch (President and Chief Financial Officer)</w:t>
            </w:r>
          </w:p>
        </w:tc>
        <w:tc>
          <w:tcPr>
            <w:tcW w:w="186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9"/>
              </w:rPr>
              <w:t>Peter A. White</w:t>
            </w:r>
          </w:p>
        </w:tc>
        <w:tc>
          <w:tcPr>
            <w:tcW w:w="40" w:type="dxa"/>
            <w:vAlign w:val="bottom"/>
          </w:tcPr>
          <w:p>
            <w:pPr>
              <w:spacing w:after="0"/>
              <w:rPr>
                <w:sz w:val="8"/>
                <w:szCs w:val="8"/>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jc w:val="center"/>
              <w:ind w:right="32"/>
              <w:spacing w:after="0" w:line="104" w:lineRule="exact"/>
              <w:rPr>
                <w:sz w:val="20"/>
                <w:szCs w:val="20"/>
                <w:color w:val="auto"/>
              </w:rPr>
            </w:pPr>
            <w:r>
              <w:rPr>
                <w:rFonts w:ascii="Arial" w:cs="Arial" w:eastAsia="Arial" w:hAnsi="Arial"/>
                <w:sz w:val="10"/>
                <w:szCs w:val="10"/>
                <w:color w:val="auto"/>
                <w:w w:val="83"/>
              </w:rPr>
              <w:t>Preferred Shares</w:t>
            </w:r>
          </w:p>
        </w:tc>
        <w:tc>
          <w:tcPr>
            <w:tcW w:w="11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7"/>
              </w:rPr>
              <w:t>10,000,000</w:t>
            </w:r>
          </w:p>
        </w:tc>
        <w:tc>
          <w:tcPr>
            <w:tcW w:w="980" w:type="dxa"/>
            <w:vAlign w:val="bottom"/>
            <w:shd w:val="clear" w:color="auto" w:fill="CCEEFF"/>
          </w:tcPr>
          <w:p>
            <w:pPr>
              <w:jc w:val="center"/>
              <w:ind w:left="52"/>
              <w:spacing w:after="0" w:line="104" w:lineRule="exact"/>
              <w:rPr>
                <w:sz w:val="20"/>
                <w:szCs w:val="20"/>
                <w:color w:val="auto"/>
              </w:rPr>
            </w:pPr>
            <w:r>
              <w:rPr>
                <w:rFonts w:ascii="Arial" w:cs="Arial" w:eastAsia="Arial" w:hAnsi="Arial"/>
                <w:sz w:val="10"/>
                <w:szCs w:val="10"/>
                <w:color w:val="auto"/>
                <w:w w:val="71"/>
              </w:rPr>
              <w:t>0</w:t>
            </w: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Stuart Fraser (Vice President and Chief Accounting Officer)</w:t>
            </w:r>
          </w:p>
        </w:tc>
        <w:tc>
          <w:tcPr>
            <w:tcW w:w="1860" w:type="dxa"/>
            <w:vAlign w:val="bottom"/>
            <w:shd w:val="clear" w:color="auto" w:fill="CCEEFF"/>
          </w:tcPr>
          <w:p>
            <w:pPr>
              <w:jc w:val="center"/>
              <w:ind w:left="12"/>
              <w:spacing w:after="0" w:line="104"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Peter A. White (Vice President)</w:t>
            </w:r>
          </w:p>
        </w:tc>
        <w:tc>
          <w:tcPr>
            <w:tcW w:w="186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Tan Kah Huan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Mohammed Dadhiwala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Christine M. Morrison (Vice President and Assistant Secretary)</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Mark Gregory (Secretary)</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Conyers Corporate Services (Bermuda) Limited (Assistant Secretary)</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Joshua S. Silverman (Assistant Treasurer)</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00" w:type="dxa"/>
            <w:vAlign w:val="bottom"/>
          </w:tcPr>
          <w:p>
            <w:pPr>
              <w:spacing w:after="0" w:line="93" w:lineRule="exact"/>
              <w:rPr>
                <w:sz w:val="20"/>
                <w:szCs w:val="20"/>
                <w:color w:val="auto"/>
              </w:rPr>
            </w:pPr>
            <w:r>
              <w:rPr>
                <w:rFonts w:ascii="Arial" w:cs="Arial" w:eastAsia="Arial" w:hAnsi="Arial"/>
                <w:sz w:val="10"/>
                <w:szCs w:val="10"/>
                <w:color w:val="auto"/>
              </w:rPr>
              <w:t>Weatherford International plc</w:t>
            </w:r>
          </w:p>
        </w:tc>
        <w:tc>
          <w:tcPr>
            <w:tcW w:w="1480" w:type="dxa"/>
            <w:vAlign w:val="bottom"/>
          </w:tcPr>
          <w:p>
            <w:pPr>
              <w:jc w:val="center"/>
              <w:ind w:right="32"/>
              <w:spacing w:after="0" w:line="93" w:lineRule="exact"/>
              <w:rPr>
                <w:sz w:val="20"/>
                <w:szCs w:val="20"/>
                <w:color w:val="auto"/>
              </w:rPr>
            </w:pPr>
            <w:r>
              <w:rPr>
                <w:rFonts w:ascii="Arial" w:cs="Arial" w:eastAsia="Arial" w:hAnsi="Arial"/>
                <w:sz w:val="10"/>
                <w:szCs w:val="10"/>
                <w:color w:val="auto"/>
                <w:w w:val="87"/>
              </w:rPr>
              <w:t>Deferred Ordinary Shares</w:t>
            </w:r>
          </w:p>
        </w:tc>
        <w:tc>
          <w:tcPr>
            <w:tcW w:w="1100" w:type="dxa"/>
            <w:vAlign w:val="bottom"/>
          </w:tcPr>
          <w:p>
            <w:pPr>
              <w:jc w:val="center"/>
              <w:spacing w:after="0" w:line="93" w:lineRule="exact"/>
              <w:rPr>
                <w:sz w:val="20"/>
                <w:szCs w:val="20"/>
                <w:color w:val="auto"/>
              </w:rPr>
            </w:pPr>
            <w:r>
              <w:rPr>
                <w:rFonts w:ascii="Arial" w:cs="Arial" w:eastAsia="Arial" w:hAnsi="Arial"/>
                <w:sz w:val="10"/>
                <w:szCs w:val="10"/>
                <w:color w:val="auto"/>
                <w:w w:val="84"/>
              </w:rPr>
              <w:t>40,000</w:t>
            </w:r>
          </w:p>
        </w:tc>
        <w:tc>
          <w:tcPr>
            <w:tcW w:w="980" w:type="dxa"/>
            <w:vAlign w:val="bottom"/>
          </w:tcPr>
          <w:p>
            <w:pPr>
              <w:jc w:val="center"/>
              <w:ind w:left="52"/>
              <w:spacing w:after="0" w:line="93" w:lineRule="exact"/>
              <w:rPr>
                <w:sz w:val="20"/>
                <w:szCs w:val="20"/>
                <w:color w:val="auto"/>
              </w:rPr>
            </w:pPr>
            <w:r>
              <w:rPr>
                <w:rFonts w:ascii="Arial" w:cs="Arial" w:eastAsia="Arial" w:hAnsi="Arial"/>
                <w:sz w:val="10"/>
                <w:szCs w:val="10"/>
                <w:color w:val="auto"/>
                <w:w w:val="71"/>
              </w:rPr>
              <w:t>0</w:t>
            </w:r>
          </w:p>
        </w:tc>
        <w:tc>
          <w:tcPr>
            <w:tcW w:w="3740" w:type="dxa"/>
            <w:vAlign w:val="bottom"/>
          </w:tcPr>
          <w:p>
            <w:pPr>
              <w:ind w:left="180"/>
              <w:spacing w:after="0" w:line="93" w:lineRule="exact"/>
              <w:rPr>
                <w:sz w:val="20"/>
                <w:szCs w:val="20"/>
                <w:color w:val="auto"/>
              </w:rPr>
            </w:pPr>
            <w:r>
              <w:rPr>
                <w:rFonts w:ascii="Arial" w:cs="Arial" w:eastAsia="Arial" w:hAnsi="Arial"/>
                <w:sz w:val="10"/>
                <w:szCs w:val="10"/>
                <w:color w:val="auto"/>
              </w:rPr>
              <w:t>Mark A. McCollum (President and Chief Executive Officer)</w:t>
            </w:r>
          </w:p>
        </w:tc>
        <w:tc>
          <w:tcPr>
            <w:tcW w:w="1860" w:type="dxa"/>
            <w:vAlign w:val="bottom"/>
          </w:tcPr>
          <w:p>
            <w:pPr>
              <w:jc w:val="center"/>
              <w:ind w:left="12"/>
              <w:spacing w:after="0" w:line="93" w:lineRule="exact"/>
              <w:rPr>
                <w:sz w:val="20"/>
                <w:szCs w:val="20"/>
                <w:color w:val="auto"/>
              </w:rPr>
            </w:pPr>
            <w:r>
              <w:rPr>
                <w:rFonts w:ascii="Arial" w:cs="Arial" w:eastAsia="Arial" w:hAnsi="Arial"/>
                <w:sz w:val="10"/>
                <w:szCs w:val="10"/>
                <w:color w:val="auto"/>
                <w:w w:val="89"/>
              </w:rPr>
              <w:t>Mohamed A. Awad</w:t>
            </w:r>
          </w:p>
        </w:tc>
        <w:tc>
          <w:tcPr>
            <w:tcW w:w="40" w:type="dxa"/>
            <w:vAlign w:val="bottom"/>
          </w:tcPr>
          <w:p>
            <w:pPr>
              <w:spacing w:after="0"/>
              <w:rPr>
                <w:sz w:val="8"/>
                <w:szCs w:val="8"/>
                <w:color w:val="auto"/>
              </w:rPr>
            </w:pPr>
          </w:p>
        </w:tc>
      </w:tr>
      <w:tr>
        <w:trPr>
          <w:trHeight w:val="104"/>
        </w:trPr>
        <w:tc>
          <w:tcPr>
            <w:tcW w:w="2300" w:type="dxa"/>
            <w:vAlign w:val="bottom"/>
          </w:tcPr>
          <w:p>
            <w:pPr>
              <w:spacing w:after="0"/>
              <w:rPr>
                <w:sz w:val="9"/>
                <w:szCs w:val="9"/>
                <w:color w:val="auto"/>
              </w:rPr>
            </w:pPr>
          </w:p>
        </w:tc>
        <w:tc>
          <w:tcPr>
            <w:tcW w:w="1480" w:type="dxa"/>
            <w:vAlign w:val="bottom"/>
          </w:tcPr>
          <w:p>
            <w:pPr>
              <w:jc w:val="center"/>
              <w:ind w:right="32"/>
              <w:spacing w:after="0" w:line="104" w:lineRule="exact"/>
              <w:rPr>
                <w:sz w:val="20"/>
                <w:szCs w:val="20"/>
                <w:color w:val="auto"/>
              </w:rPr>
            </w:pPr>
            <w:r>
              <w:rPr>
                <w:rFonts w:ascii="Arial" w:cs="Arial" w:eastAsia="Arial" w:hAnsi="Arial"/>
                <w:sz w:val="10"/>
                <w:szCs w:val="10"/>
                <w:color w:val="auto"/>
                <w:w w:val="87"/>
              </w:rPr>
              <w:t>Common Stock</w:t>
            </w: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Christoph Bausch (Executive Vice President and Chief Financial Officer)</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86"/>
              </w:rPr>
              <w:t>Roxanne J. Decyk</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jc w:val="center"/>
              <w:spacing w:after="0" w:line="104" w:lineRule="exact"/>
              <w:rPr>
                <w:sz w:val="20"/>
                <w:szCs w:val="20"/>
                <w:color w:val="auto"/>
              </w:rPr>
            </w:pPr>
            <w:r>
              <w:rPr>
                <w:rFonts w:ascii="Arial" w:cs="Arial" w:eastAsia="Arial" w:hAnsi="Arial"/>
                <w:sz w:val="10"/>
                <w:szCs w:val="10"/>
                <w:color w:val="auto"/>
                <w:w w:val="87"/>
              </w:rPr>
              <w:t>1,354,000,000</w:t>
            </w:r>
          </w:p>
        </w:tc>
        <w:tc>
          <w:tcPr>
            <w:tcW w:w="980" w:type="dxa"/>
            <w:vAlign w:val="bottom"/>
          </w:tcPr>
          <w:p>
            <w:pPr>
              <w:jc w:val="center"/>
              <w:ind w:left="52"/>
              <w:spacing w:after="0" w:line="104" w:lineRule="exact"/>
              <w:rPr>
                <w:sz w:val="20"/>
                <w:szCs w:val="20"/>
                <w:color w:val="auto"/>
              </w:rPr>
            </w:pPr>
            <w:r>
              <w:rPr>
                <w:rFonts w:ascii="Arial" w:cs="Arial" w:eastAsia="Arial" w:hAnsi="Arial"/>
                <w:sz w:val="10"/>
                <w:szCs w:val="10"/>
                <w:color w:val="auto"/>
                <w:w w:val="87"/>
              </w:rPr>
              <w:t>1,004,079,258</w:t>
            </w: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w w:val="95"/>
              </w:rPr>
              <w:t>Christina M. Ibrahim (Executive Vice President, General Counsel, Chief Compliance</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82"/>
              </w:rPr>
              <w:t>John D. Gass</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Officer and Corporate Secretary)</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88"/>
              </w:rPr>
              <w:t>Emyr Jones Parry</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Karl Blanchard (Executive Vice President and Chief Operating Officer)</w:t>
            </w:r>
          </w:p>
        </w:tc>
        <w:tc>
          <w:tcPr>
            <w:tcW w:w="1860" w:type="dxa"/>
            <w:vAlign w:val="bottom"/>
          </w:tcPr>
          <w:p>
            <w:pPr>
              <w:jc w:val="center"/>
              <w:ind w:left="12"/>
              <w:spacing w:after="0" w:line="104" w:lineRule="exact"/>
              <w:rPr>
                <w:sz w:val="20"/>
                <w:szCs w:val="20"/>
                <w:color w:val="auto"/>
              </w:rPr>
            </w:pPr>
            <w:r>
              <w:rPr>
                <w:rFonts w:ascii="Arial" w:cs="Arial" w:eastAsia="Arial" w:hAnsi="Arial"/>
                <w:sz w:val="10"/>
                <w:szCs w:val="10"/>
                <w:color w:val="auto"/>
                <w:w w:val="88"/>
              </w:rPr>
              <w:t>Francis S. Kalman</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Stuart Fraser (Vice President and Chief Accounting Officer)</w:t>
            </w:r>
          </w:p>
        </w:tc>
        <w:tc>
          <w:tcPr>
            <w:tcW w:w="1860" w:type="dxa"/>
            <w:vAlign w:val="bottom"/>
          </w:tcPr>
          <w:p>
            <w:pPr>
              <w:jc w:val="center"/>
              <w:ind w:left="12"/>
              <w:spacing w:after="0" w:line="104" w:lineRule="exact"/>
              <w:rPr>
                <w:sz w:val="20"/>
                <w:szCs w:val="20"/>
                <w:color w:val="auto"/>
              </w:rPr>
            </w:pPr>
            <w:r>
              <w:rPr>
                <w:rFonts w:ascii="Arial" w:cs="Arial" w:eastAsia="Arial" w:hAnsi="Arial"/>
                <w:sz w:val="10"/>
                <w:szCs w:val="10"/>
                <w:color w:val="auto"/>
                <w:w w:val="92"/>
              </w:rPr>
              <w:t>David S. King</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Karl Blanchard (Executive Vice President and Chief Operating Officer)</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91"/>
              </w:rPr>
              <w:t>William E. Macaulay</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Frederico Justus (President, Eastern Hemisphere)</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95"/>
              </w:rPr>
              <w:t>Mark A. McCollum</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Mark D. Swift (President, Western Hemisphere)</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90"/>
              </w:rPr>
              <w:t>Angela A. Minas</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E. Kyle Chapman (Vice President)</w:t>
            </w:r>
          </w:p>
        </w:tc>
        <w:tc>
          <w:tcPr>
            <w:tcW w:w="1860" w:type="dxa"/>
            <w:vAlign w:val="bottom"/>
          </w:tcPr>
          <w:p>
            <w:pPr>
              <w:jc w:val="center"/>
              <w:spacing w:after="0" w:line="104" w:lineRule="exact"/>
              <w:rPr>
                <w:sz w:val="20"/>
                <w:szCs w:val="20"/>
                <w:color w:val="auto"/>
              </w:rPr>
            </w:pPr>
            <w:r>
              <w:rPr>
                <w:rFonts w:ascii="Arial" w:cs="Arial" w:eastAsia="Arial" w:hAnsi="Arial"/>
                <w:sz w:val="10"/>
                <w:szCs w:val="10"/>
                <w:color w:val="auto"/>
                <w:w w:val="92"/>
              </w:rPr>
              <w:t>Guillermo Ortiz</w:t>
            </w: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Ellen Chin  Vice (Vice President)</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Steven F. Carvalho (Vice President)</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Valentin Mueller (Vice President)</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Karen David-Green (Vice President)</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line="104" w:lineRule="exact"/>
              <w:rPr>
                <w:sz w:val="20"/>
                <w:szCs w:val="20"/>
                <w:color w:val="auto"/>
              </w:rPr>
            </w:pPr>
            <w:r>
              <w:rPr>
                <w:rFonts w:ascii="Arial" w:cs="Arial" w:eastAsia="Arial" w:hAnsi="Arial"/>
                <w:sz w:val="10"/>
                <w:szCs w:val="10"/>
                <w:color w:val="auto"/>
              </w:rPr>
              <w:t>Christine M. Morrison (Assistant Secretary)</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ind w:left="180"/>
              <w:spacing w:after="0"/>
              <w:rPr>
                <w:sz w:val="20"/>
                <w:szCs w:val="20"/>
                <w:color w:val="auto"/>
              </w:rPr>
            </w:pPr>
            <w:r>
              <w:rPr>
                <w:rFonts w:ascii="Arial" w:cs="Arial" w:eastAsia="Arial" w:hAnsi="Arial"/>
                <w:sz w:val="10"/>
                <w:szCs w:val="10"/>
                <w:color w:val="auto"/>
              </w:rPr>
              <w:t>Joshua S. Silverman (Assistant Treasurer)</w:t>
            </w: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International, LLC</w:t>
            </w:r>
          </w:p>
        </w:tc>
        <w:tc>
          <w:tcPr>
            <w:tcW w:w="1480" w:type="dxa"/>
            <w:vAlign w:val="bottom"/>
            <w:shd w:val="clear" w:color="auto" w:fill="CCEEFF"/>
          </w:tcPr>
          <w:p>
            <w:pPr>
              <w:jc w:val="center"/>
              <w:ind w:right="32"/>
              <w:spacing w:after="0" w:line="93" w:lineRule="exact"/>
              <w:rPr>
                <w:sz w:val="20"/>
                <w:szCs w:val="20"/>
                <w:color w:val="auto"/>
              </w:rPr>
            </w:pPr>
            <w:r>
              <w:rPr>
                <w:rFonts w:ascii="Arial" w:cs="Arial" w:eastAsia="Arial" w:hAnsi="Arial"/>
                <w:sz w:val="10"/>
                <w:szCs w:val="10"/>
                <w:color w:val="auto"/>
                <w:w w:val="89"/>
              </w:rPr>
              <w:t>Membership Units</w:t>
            </w:r>
          </w:p>
        </w:tc>
        <w:tc>
          <w:tcPr>
            <w:tcW w:w="1100" w:type="dxa"/>
            <w:vAlign w:val="bottom"/>
            <w:shd w:val="clear" w:color="auto" w:fill="CCEEFF"/>
          </w:tcPr>
          <w:p>
            <w:pPr>
              <w:ind w:left="340"/>
              <w:spacing w:after="0" w:line="93" w:lineRule="exact"/>
              <w:rPr>
                <w:sz w:val="20"/>
                <w:szCs w:val="20"/>
                <w:color w:val="auto"/>
              </w:rPr>
            </w:pPr>
            <w:r>
              <w:rPr>
                <w:rFonts w:ascii="Arial" w:cs="Arial" w:eastAsia="Arial" w:hAnsi="Arial"/>
                <w:sz w:val="10"/>
                <w:szCs w:val="10"/>
                <w:color w:val="auto"/>
              </w:rPr>
              <w:t>Unlimited</w:t>
            </w:r>
          </w:p>
        </w:tc>
        <w:tc>
          <w:tcPr>
            <w:tcW w:w="980" w:type="dxa"/>
            <w:vAlign w:val="bottom"/>
            <w:shd w:val="clear" w:color="auto" w:fill="CCEEFF"/>
          </w:tcPr>
          <w:p>
            <w:pPr>
              <w:jc w:val="center"/>
              <w:ind w:left="52"/>
              <w:spacing w:after="0" w:line="93" w:lineRule="exact"/>
              <w:rPr>
                <w:sz w:val="20"/>
                <w:szCs w:val="20"/>
                <w:color w:val="auto"/>
              </w:rPr>
            </w:pPr>
            <w:r>
              <w:rPr>
                <w:rFonts w:ascii="Arial" w:cs="Arial" w:eastAsia="Arial" w:hAnsi="Arial"/>
                <w:sz w:val="10"/>
                <w:szCs w:val="10"/>
                <w:color w:val="auto"/>
                <w:w w:val="95"/>
              </w:rPr>
              <w:t>100</w:t>
            </w:r>
          </w:p>
        </w:tc>
        <w:tc>
          <w:tcPr>
            <w:tcW w:w="3740" w:type="dxa"/>
            <w:vAlign w:val="bottom"/>
            <w:shd w:val="clear" w:color="auto" w:fill="CCEEFF"/>
          </w:tcPr>
          <w:p>
            <w:pPr>
              <w:ind w:left="180"/>
              <w:spacing w:after="0" w:line="93" w:lineRule="exact"/>
              <w:rPr>
                <w:sz w:val="20"/>
                <w:szCs w:val="20"/>
                <w:color w:val="auto"/>
              </w:rPr>
            </w:pPr>
            <w:r>
              <w:rPr>
                <w:rFonts w:ascii="Arial" w:cs="Arial" w:eastAsia="Arial" w:hAnsi="Arial"/>
                <w:sz w:val="10"/>
                <w:szCs w:val="10"/>
                <w:color w:val="auto"/>
              </w:rPr>
              <w:t>E. Kyle Chapman (President)</w:t>
            </w:r>
          </w:p>
        </w:tc>
        <w:tc>
          <w:tcPr>
            <w:tcW w:w="1860" w:type="dxa"/>
            <w:vAlign w:val="bottom"/>
            <w:shd w:val="clear" w:color="auto" w:fill="CCEEFF"/>
          </w:tcPr>
          <w:p>
            <w:pPr>
              <w:jc w:val="center"/>
              <w:ind w:left="12"/>
              <w:spacing w:after="0" w:line="93" w:lineRule="exact"/>
              <w:rPr>
                <w:sz w:val="20"/>
                <w:szCs w:val="20"/>
                <w:color w:val="auto"/>
              </w:rPr>
            </w:pPr>
            <w:r>
              <w:rPr>
                <w:rFonts w:ascii="Arial" w:cs="Arial" w:eastAsia="Arial" w:hAnsi="Arial"/>
                <w:sz w:val="10"/>
                <w:szCs w:val="10"/>
                <w:color w:val="auto"/>
                <w:w w:val="89"/>
              </w:rPr>
              <w:t>Weatherford U.S. Holdings, L.L.C.</w:t>
            </w:r>
          </w:p>
        </w:tc>
        <w:tc>
          <w:tcPr>
            <w:tcW w:w="40" w:type="dxa"/>
            <w:vAlign w:val="bottom"/>
          </w:tcPr>
          <w:p>
            <w:pPr>
              <w:spacing w:after="0"/>
              <w:rPr>
                <w:sz w:val="8"/>
                <w:szCs w:val="8"/>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Chris L. Marshall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Danielle J.M. Nicholas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David Morris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Dean Bell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Ellen Chin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Etienne Roux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Jeff J. Lembcke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Lawrence Allen Sinor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Marco E. Boos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Mark Hopmann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Oscar Rivera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Philip Scott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Richard Warren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Steven F. Carvalho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William M. Imwalle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line="104" w:lineRule="exact"/>
              <w:rPr>
                <w:sz w:val="20"/>
                <w:szCs w:val="20"/>
                <w:color w:val="auto"/>
              </w:rPr>
            </w:pPr>
            <w:r>
              <w:rPr>
                <w:rFonts w:ascii="Arial" w:cs="Arial" w:eastAsia="Arial" w:hAnsi="Arial"/>
                <w:sz w:val="10"/>
                <w:szCs w:val="10"/>
                <w:color w:val="auto"/>
              </w:rPr>
              <w:t>William Marchant (Vice President)</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Stuart Fraser (Vice President and Chief Financial Officer)</w:t>
            </w:r>
          </w:p>
        </w:tc>
        <w:tc>
          <w:tcPr>
            <w:tcW w:w="1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265"/>
        </w:trPr>
        <w:tc>
          <w:tcPr>
            <w:tcW w:w="2300" w:type="dxa"/>
            <w:vAlign w:val="bottom"/>
            <w:tcBorders>
              <w:bottom w:val="single" w:sz="8" w:color="808080"/>
            </w:tcBorders>
          </w:tcPr>
          <w:p>
            <w:pPr>
              <w:spacing w:after="0"/>
              <w:rPr>
                <w:sz w:val="23"/>
                <w:szCs w:val="23"/>
                <w:color w:val="auto"/>
              </w:rPr>
            </w:pPr>
          </w:p>
        </w:tc>
        <w:tc>
          <w:tcPr>
            <w:tcW w:w="1480" w:type="dxa"/>
            <w:vAlign w:val="bottom"/>
            <w:tcBorders>
              <w:bottom w:val="single" w:sz="8" w:color="808080"/>
            </w:tcBorders>
          </w:tcPr>
          <w:p>
            <w:pPr>
              <w:spacing w:after="0"/>
              <w:rPr>
                <w:sz w:val="23"/>
                <w:szCs w:val="23"/>
                <w:color w:val="auto"/>
              </w:rPr>
            </w:pPr>
          </w:p>
        </w:tc>
        <w:tc>
          <w:tcPr>
            <w:tcW w:w="1100" w:type="dxa"/>
            <w:vAlign w:val="bottom"/>
            <w:tcBorders>
              <w:bottom w:val="single" w:sz="8" w:color="808080"/>
            </w:tcBorders>
          </w:tcPr>
          <w:p>
            <w:pPr>
              <w:spacing w:after="0"/>
              <w:rPr>
                <w:sz w:val="23"/>
                <w:szCs w:val="23"/>
                <w:color w:val="auto"/>
              </w:rPr>
            </w:pPr>
          </w:p>
        </w:tc>
        <w:tc>
          <w:tcPr>
            <w:tcW w:w="980" w:type="dxa"/>
            <w:vAlign w:val="bottom"/>
            <w:tcBorders>
              <w:bottom w:val="single" w:sz="8" w:color="808080"/>
            </w:tcBorders>
          </w:tcPr>
          <w:p>
            <w:pPr>
              <w:spacing w:after="0"/>
              <w:rPr>
                <w:sz w:val="23"/>
                <w:szCs w:val="23"/>
                <w:color w:val="auto"/>
              </w:rPr>
            </w:pPr>
          </w:p>
        </w:tc>
        <w:tc>
          <w:tcPr>
            <w:tcW w:w="3740" w:type="dxa"/>
            <w:vAlign w:val="bottom"/>
            <w:tcBorders>
              <w:bottom w:val="single" w:sz="8" w:color="808080"/>
            </w:tcBorders>
          </w:tcPr>
          <w:p>
            <w:pPr>
              <w:spacing w:after="0"/>
              <w:rPr>
                <w:sz w:val="23"/>
                <w:szCs w:val="23"/>
                <w:color w:val="auto"/>
              </w:rPr>
            </w:pPr>
          </w:p>
        </w:tc>
        <w:tc>
          <w:tcPr>
            <w:tcW w:w="18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3" w:right="17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15"/>
        </w:trPr>
        <w:tc>
          <w:tcPr>
            <w:tcW w:w="23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Christine M. Morrison (Vice President and Secretary)</w:t>
            </w:r>
          </w:p>
        </w:tc>
        <w:tc>
          <w:tcPr>
            <w:tcW w:w="19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Joe B. Dillard, Jr. (Manager)</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40" w:type="dxa"/>
            <w:vAlign w:val="bottom"/>
          </w:tcPr>
          <w:p>
            <w:pPr>
              <w:spacing w:after="0" w:line="93" w:lineRule="exact"/>
              <w:rPr>
                <w:sz w:val="20"/>
                <w:szCs w:val="20"/>
                <w:color w:val="auto"/>
              </w:rPr>
            </w:pPr>
            <w:r>
              <w:rPr>
                <w:rFonts w:ascii="Arial" w:cs="Arial" w:eastAsia="Arial" w:hAnsi="Arial"/>
                <w:sz w:val="10"/>
                <w:szCs w:val="10"/>
                <w:color w:val="auto"/>
              </w:rPr>
              <w:t>Weatherford Investment Inc.</w:t>
            </w:r>
          </w:p>
        </w:tc>
        <w:tc>
          <w:tcPr>
            <w:tcW w:w="142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87"/>
              </w:rPr>
              <w:t>5,000</w:t>
            </w:r>
          </w:p>
        </w:tc>
        <w:tc>
          <w:tcPr>
            <w:tcW w:w="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87"/>
              </w:rPr>
              <w:t>1,953.09</w:t>
            </w:r>
          </w:p>
        </w:tc>
        <w:tc>
          <w:tcPr>
            <w:tcW w:w="3700" w:type="dxa"/>
            <w:vAlign w:val="bottom"/>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1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w w:val="94"/>
              </w:rPr>
              <w:t>Maximiliano Alberto Kricorian Sanchez Moreno (Vice President and Chief Financial</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Officer)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Weatherford Irish Holdings Limited</w:t>
            </w:r>
          </w:p>
        </w:tc>
        <w:tc>
          <w:tcPr>
            <w:tcW w:w="1420" w:type="dxa"/>
            <w:vAlign w:val="bottom"/>
            <w:shd w:val="clear" w:color="auto" w:fill="CCEEFF"/>
          </w:tcPr>
          <w:p>
            <w:pPr>
              <w:jc w:val="center"/>
              <w:ind w:right="52"/>
              <w:spacing w:after="0" w:line="104" w:lineRule="exact"/>
              <w:rPr>
                <w:sz w:val="20"/>
                <w:szCs w:val="20"/>
                <w:color w:val="auto"/>
              </w:rPr>
            </w:pPr>
            <w:r>
              <w:rPr>
                <w:rFonts w:ascii="Arial" w:cs="Arial" w:eastAsia="Arial" w:hAnsi="Arial"/>
                <w:sz w:val="10"/>
                <w:szCs w:val="10"/>
                <w:color w:val="auto"/>
                <w:w w:val="87"/>
              </w:rPr>
              <w:t>Ordinary Shares</w:t>
            </w:r>
          </w:p>
        </w:tc>
        <w:tc>
          <w:tcPr>
            <w:tcW w:w="112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95"/>
              </w:rPr>
              <w:t>Unlimited</w:t>
            </w:r>
          </w:p>
        </w:tc>
        <w:tc>
          <w:tcPr>
            <w:tcW w:w="940" w:type="dxa"/>
            <w:vAlign w:val="bottom"/>
            <w:shd w:val="clear" w:color="auto" w:fill="CCEEFF"/>
          </w:tcPr>
          <w:p>
            <w:pPr>
              <w:jc w:val="center"/>
              <w:ind w:left="92"/>
              <w:spacing w:after="0" w:line="104" w:lineRule="exact"/>
              <w:rPr>
                <w:sz w:val="20"/>
                <w:szCs w:val="20"/>
                <w:color w:val="auto"/>
              </w:rPr>
            </w:pPr>
            <w:r>
              <w:rPr>
                <w:rFonts w:ascii="Arial" w:cs="Arial" w:eastAsia="Arial" w:hAnsi="Arial"/>
                <w:sz w:val="10"/>
                <w:szCs w:val="10"/>
                <w:color w:val="auto"/>
                <w:w w:val="71"/>
              </w:rPr>
              <w:t>2</w:t>
            </w: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N/A</w:t>
            </w:r>
          </w:p>
        </w:tc>
        <w:tc>
          <w:tcPr>
            <w:tcW w:w="1940" w:type="dxa"/>
            <w:vAlign w:val="bottom"/>
            <w:shd w:val="clear" w:color="auto" w:fill="CCEEFF"/>
          </w:tcPr>
          <w:p>
            <w:pPr>
              <w:jc w:val="center"/>
              <w:ind w:left="92"/>
              <w:spacing w:after="0" w:line="104" w:lineRule="exact"/>
              <w:rPr>
                <w:sz w:val="20"/>
                <w:szCs w:val="20"/>
                <w:color w:val="auto"/>
              </w:rPr>
            </w:pPr>
            <w:r>
              <w:rPr>
                <w:rFonts w:ascii="Arial" w:cs="Arial" w:eastAsia="Arial" w:hAnsi="Arial"/>
                <w:sz w:val="10"/>
                <w:szCs w:val="10"/>
                <w:color w:val="auto"/>
                <w:w w:val="90"/>
              </w:rPr>
              <w:t>Neil Alexander Macleod</w:t>
            </w:r>
          </w:p>
        </w:tc>
        <w:tc>
          <w:tcPr>
            <w:tcW w:w="40" w:type="dxa"/>
            <w:vAlign w:val="bottom"/>
          </w:tcPr>
          <w:p>
            <w:pPr>
              <w:spacing w:after="0"/>
              <w:rPr>
                <w:sz w:val="9"/>
                <w:szCs w:val="9"/>
                <w:color w:val="auto"/>
              </w:rPr>
            </w:pPr>
          </w:p>
        </w:tc>
      </w:tr>
      <w:tr>
        <w:trPr>
          <w:trHeight w:val="92"/>
        </w:trPr>
        <w:tc>
          <w:tcPr>
            <w:tcW w:w="2340" w:type="dxa"/>
            <w:vAlign w:val="bottom"/>
          </w:tcPr>
          <w:p>
            <w:pPr>
              <w:spacing w:after="0" w:line="93" w:lineRule="exact"/>
              <w:rPr>
                <w:sz w:val="20"/>
                <w:szCs w:val="20"/>
                <w:color w:val="auto"/>
              </w:rPr>
            </w:pPr>
            <w:r>
              <w:rPr>
                <w:rFonts w:ascii="Arial" w:cs="Arial" w:eastAsia="Arial" w:hAnsi="Arial"/>
                <w:sz w:val="10"/>
                <w:szCs w:val="10"/>
                <w:color w:val="auto"/>
              </w:rPr>
              <w:t>Weatherford Latin America LLC</w:t>
            </w:r>
          </w:p>
        </w:tc>
        <w:tc>
          <w:tcPr>
            <w:tcW w:w="142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Membership Interest</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95"/>
              </w:rPr>
              <w:t>N/A</w:t>
            </w:r>
          </w:p>
        </w:tc>
        <w:tc>
          <w:tcPr>
            <w:tcW w:w="940" w:type="dxa"/>
            <w:vAlign w:val="bottom"/>
          </w:tcPr>
          <w:p>
            <w:pPr>
              <w:ind w:left="460"/>
              <w:spacing w:after="0" w:line="93" w:lineRule="exact"/>
              <w:rPr>
                <w:sz w:val="20"/>
                <w:szCs w:val="20"/>
                <w:color w:val="auto"/>
              </w:rPr>
            </w:pPr>
            <w:r>
              <w:rPr>
                <w:rFonts w:ascii="Arial" w:cs="Arial" w:eastAsia="Arial" w:hAnsi="Arial"/>
                <w:sz w:val="10"/>
                <w:szCs w:val="10"/>
                <w:color w:val="auto"/>
              </w:rPr>
              <w:t>N/A</w:t>
            </w:r>
          </w:p>
        </w:tc>
        <w:tc>
          <w:tcPr>
            <w:tcW w:w="3700" w:type="dxa"/>
            <w:vAlign w:val="bottom"/>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1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88"/>
              </w:rPr>
              <w:t>Weatherford South America GmbH</w:t>
            </w:r>
          </w:p>
        </w:tc>
        <w:tc>
          <w:tcPr>
            <w:tcW w:w="40" w:type="dxa"/>
            <w:vAlign w:val="bottom"/>
          </w:tcPr>
          <w:p>
            <w:pPr>
              <w:spacing w:after="0"/>
              <w:rPr>
                <w:sz w:val="8"/>
                <w:szCs w:val="8"/>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Wesley Shields (Assistant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w w:val="97"/>
              </w:rPr>
              <w:t>Weatherford Management Company Switzerland Sàrl</w:t>
            </w:r>
          </w:p>
        </w:tc>
        <w:tc>
          <w:tcPr>
            <w:tcW w:w="142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6"/>
              </w:rPr>
              <w:t>Quotas</w:t>
            </w:r>
          </w:p>
        </w:tc>
        <w:tc>
          <w:tcPr>
            <w:tcW w:w="11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3"/>
              </w:rPr>
              <w:t>200</w:t>
            </w:r>
          </w:p>
        </w:tc>
        <w:tc>
          <w:tcPr>
            <w:tcW w:w="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200</w:t>
            </w:r>
          </w:p>
        </w:tc>
        <w:tc>
          <w:tcPr>
            <w:tcW w:w="370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1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Andrzej Puchala</w:t>
            </w:r>
          </w:p>
        </w:tc>
        <w:tc>
          <w:tcPr>
            <w:tcW w:w="40" w:type="dxa"/>
            <w:vAlign w:val="bottom"/>
          </w:tcPr>
          <w:p>
            <w:pPr>
              <w:spacing w:after="0"/>
              <w:rPr>
                <w:sz w:val="8"/>
                <w:szCs w:val="8"/>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w w:val="97"/>
              </w:rPr>
              <w:t>Christina M. Ibrahim (Executive Vice President, General Counsel and Secretary)</w:t>
            </w:r>
          </w:p>
        </w:tc>
        <w:tc>
          <w:tcPr>
            <w:tcW w:w="1940" w:type="dxa"/>
            <w:vAlign w:val="bottom"/>
            <w:shd w:val="clear" w:color="auto" w:fill="CCEEFF"/>
          </w:tcPr>
          <w:p>
            <w:pPr>
              <w:jc w:val="center"/>
              <w:ind w:left="92"/>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Karen David-Green (Vice President)</w:t>
            </w:r>
          </w:p>
        </w:tc>
        <w:tc>
          <w:tcPr>
            <w:tcW w:w="1940" w:type="dxa"/>
            <w:vAlign w:val="bottom"/>
            <w:shd w:val="clear" w:color="auto" w:fill="CCEEFF"/>
          </w:tcPr>
          <w:p>
            <w:pPr>
              <w:jc w:val="center"/>
              <w:ind w:left="72"/>
              <w:spacing w:after="0" w:line="104" w:lineRule="exact"/>
              <w:rPr>
                <w:sz w:val="20"/>
                <w:szCs w:val="20"/>
                <w:color w:val="auto"/>
              </w:rPr>
            </w:pPr>
            <w:r>
              <w:rPr>
                <w:rFonts w:ascii="Arial" w:cs="Arial" w:eastAsia="Arial" w:hAnsi="Arial"/>
                <w:sz w:val="10"/>
                <w:szCs w:val="10"/>
                <w:color w:val="auto"/>
                <w:w w:val="86"/>
              </w:rPr>
              <w:t>Steven F. Carvalho</w:t>
            </w: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940" w:type="dxa"/>
            <w:vAlign w:val="bottom"/>
            <w:shd w:val="clear" w:color="auto" w:fill="CCEEFF"/>
          </w:tcPr>
          <w:p>
            <w:pPr>
              <w:jc w:val="center"/>
              <w:ind w:left="72"/>
              <w:spacing w:after="0" w:line="104" w:lineRule="exact"/>
              <w:rPr>
                <w:sz w:val="20"/>
                <w:szCs w:val="20"/>
                <w:color w:val="auto"/>
              </w:rPr>
            </w:pPr>
            <w:r>
              <w:rPr>
                <w:rFonts w:ascii="Arial" w:cs="Arial" w:eastAsia="Arial" w:hAnsi="Arial"/>
                <w:sz w:val="10"/>
                <w:szCs w:val="10"/>
                <w:color w:val="auto"/>
                <w:w w:val="91"/>
              </w:rPr>
              <w:t>Valentin Mueller</w:t>
            </w:r>
          </w:p>
        </w:tc>
        <w:tc>
          <w:tcPr>
            <w:tcW w:w="40" w:type="dxa"/>
            <w:vAlign w:val="bottom"/>
          </w:tcPr>
          <w:p>
            <w:pPr>
              <w:spacing w:after="0"/>
              <w:rPr>
                <w:sz w:val="9"/>
                <w:szCs w:val="9"/>
                <w:color w:val="auto"/>
              </w:rPr>
            </w:pPr>
          </w:p>
        </w:tc>
      </w:tr>
      <w:tr>
        <w:trPr>
          <w:trHeight w:val="115"/>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40" w:type="dxa"/>
            <w:vAlign w:val="bottom"/>
          </w:tcPr>
          <w:p>
            <w:pPr>
              <w:spacing w:after="0" w:line="93" w:lineRule="exact"/>
              <w:rPr>
                <w:sz w:val="20"/>
                <w:szCs w:val="20"/>
                <w:color w:val="auto"/>
              </w:rPr>
            </w:pPr>
            <w:r>
              <w:rPr>
                <w:rFonts w:ascii="Arial" w:cs="Arial" w:eastAsia="Arial" w:hAnsi="Arial"/>
                <w:sz w:val="10"/>
                <w:szCs w:val="10"/>
                <w:color w:val="auto"/>
              </w:rPr>
              <w:t>Weatherford Management, LLC</w:t>
            </w:r>
          </w:p>
        </w:tc>
        <w:tc>
          <w:tcPr>
            <w:tcW w:w="142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9"/>
              </w:rPr>
              <w:t>Membership Units</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95"/>
              </w:rPr>
              <w:t>Unlimited</w:t>
            </w:r>
          </w:p>
        </w:tc>
        <w:tc>
          <w:tcPr>
            <w:tcW w:w="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700" w:type="dxa"/>
            <w:vAlign w:val="bottom"/>
          </w:tcPr>
          <w:p>
            <w:pPr>
              <w:ind w:left="220"/>
              <w:spacing w:after="0" w:line="93" w:lineRule="exact"/>
              <w:rPr>
                <w:sz w:val="20"/>
                <w:szCs w:val="20"/>
                <w:color w:val="auto"/>
              </w:rPr>
            </w:pPr>
            <w:r>
              <w:rPr>
                <w:rFonts w:ascii="Arial" w:cs="Arial" w:eastAsia="Arial" w:hAnsi="Arial"/>
                <w:sz w:val="10"/>
                <w:szCs w:val="10"/>
                <w:color w:val="auto"/>
              </w:rPr>
              <w:t>E. Kyle Chapman (President)</w:t>
            </w:r>
          </w:p>
        </w:tc>
        <w:tc>
          <w:tcPr>
            <w:tcW w:w="1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89"/>
              </w:rPr>
              <w:t>Weatherford International, LLC</w:t>
            </w:r>
          </w:p>
        </w:tc>
        <w:tc>
          <w:tcPr>
            <w:tcW w:w="40" w:type="dxa"/>
            <w:vAlign w:val="bottom"/>
          </w:tcPr>
          <w:p>
            <w:pPr>
              <w:spacing w:after="0"/>
              <w:rPr>
                <w:sz w:val="8"/>
                <w:szCs w:val="8"/>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 (Vice President)</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Netherlands B.V.</w:t>
            </w:r>
          </w:p>
        </w:tc>
        <w:tc>
          <w:tcPr>
            <w:tcW w:w="1420" w:type="dxa"/>
            <w:vAlign w:val="bottom"/>
            <w:shd w:val="clear" w:color="auto" w:fill="CCEEFF"/>
          </w:tcPr>
          <w:p>
            <w:pPr>
              <w:jc w:val="center"/>
              <w:ind w:right="72"/>
              <w:spacing w:after="0" w:line="93" w:lineRule="exact"/>
              <w:rPr>
                <w:sz w:val="20"/>
                <w:szCs w:val="20"/>
                <w:color w:val="auto"/>
              </w:rPr>
            </w:pPr>
            <w:r>
              <w:rPr>
                <w:rFonts w:ascii="Arial" w:cs="Arial" w:eastAsia="Arial" w:hAnsi="Arial"/>
                <w:sz w:val="10"/>
                <w:szCs w:val="10"/>
                <w:color w:val="auto"/>
                <w:w w:val="84"/>
              </w:rPr>
              <w:t>Registered Shares</w:t>
            </w:r>
          </w:p>
        </w:tc>
        <w:tc>
          <w:tcPr>
            <w:tcW w:w="11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3"/>
              </w:rPr>
              <w:t>900</w:t>
            </w:r>
          </w:p>
        </w:tc>
        <w:tc>
          <w:tcPr>
            <w:tcW w:w="940" w:type="dxa"/>
            <w:vAlign w:val="bottom"/>
            <w:shd w:val="clear" w:color="auto" w:fill="CCEEFF"/>
          </w:tcPr>
          <w:p>
            <w:pPr>
              <w:ind w:left="460"/>
              <w:spacing w:after="0" w:line="93" w:lineRule="exact"/>
              <w:rPr>
                <w:sz w:val="20"/>
                <w:szCs w:val="20"/>
                <w:color w:val="auto"/>
              </w:rPr>
            </w:pPr>
            <w:r>
              <w:rPr>
                <w:rFonts w:ascii="Arial" w:cs="Arial" w:eastAsia="Arial" w:hAnsi="Arial"/>
                <w:sz w:val="10"/>
                <w:szCs w:val="10"/>
                <w:color w:val="auto"/>
              </w:rPr>
              <w:t>N/A</w:t>
            </w:r>
          </w:p>
        </w:tc>
        <w:tc>
          <w:tcPr>
            <w:tcW w:w="370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N/A</w:t>
            </w:r>
          </w:p>
        </w:tc>
        <w:tc>
          <w:tcPr>
            <w:tcW w:w="1940" w:type="dxa"/>
            <w:vAlign w:val="bottom"/>
            <w:shd w:val="clear" w:color="auto" w:fill="CCEEFF"/>
          </w:tcPr>
          <w:p>
            <w:pPr>
              <w:jc w:val="center"/>
              <w:ind w:left="72"/>
              <w:spacing w:after="0" w:line="93" w:lineRule="exact"/>
              <w:rPr>
                <w:sz w:val="20"/>
                <w:szCs w:val="20"/>
                <w:color w:val="auto"/>
              </w:rPr>
            </w:pPr>
            <w:r>
              <w:rPr>
                <w:rFonts w:ascii="Arial" w:cs="Arial" w:eastAsia="Arial" w:hAnsi="Arial"/>
                <w:sz w:val="10"/>
                <w:szCs w:val="10"/>
                <w:color w:val="auto"/>
                <w:w w:val="88"/>
              </w:rPr>
              <w:t>August Willem Versteeg</w:t>
            </w:r>
          </w:p>
        </w:tc>
        <w:tc>
          <w:tcPr>
            <w:tcW w:w="40" w:type="dxa"/>
            <w:vAlign w:val="bottom"/>
          </w:tcPr>
          <w:p>
            <w:pPr>
              <w:spacing w:after="0"/>
              <w:rPr>
                <w:sz w:val="8"/>
                <w:szCs w:val="8"/>
                <w:color w:val="auto"/>
              </w:rPr>
            </w:pPr>
          </w:p>
        </w:tc>
      </w:tr>
      <w:tr>
        <w:trPr>
          <w:trHeight w:val="115"/>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spacing w:after="0"/>
              <w:rPr>
                <w:sz w:val="9"/>
                <w:szCs w:val="9"/>
                <w:color w:val="auto"/>
              </w:rPr>
            </w:pPr>
          </w:p>
        </w:tc>
        <w:tc>
          <w:tcPr>
            <w:tcW w:w="1940" w:type="dxa"/>
            <w:vAlign w:val="bottom"/>
            <w:shd w:val="clear" w:color="auto" w:fill="CCEEFF"/>
          </w:tcPr>
          <w:p>
            <w:pPr>
              <w:jc w:val="center"/>
              <w:ind w:left="72"/>
              <w:spacing w:after="0"/>
              <w:rPr>
                <w:sz w:val="20"/>
                <w:szCs w:val="20"/>
                <w:color w:val="auto"/>
              </w:rPr>
            </w:pPr>
            <w:r>
              <w:rPr>
                <w:rFonts w:ascii="Arial" w:cs="Arial" w:eastAsia="Arial" w:hAnsi="Arial"/>
                <w:sz w:val="10"/>
                <w:szCs w:val="10"/>
                <w:color w:val="auto"/>
                <w:w w:val="86"/>
              </w:rPr>
              <w:t>Marcus Johannes van Dijk</w:t>
            </w:r>
          </w:p>
        </w:tc>
        <w:tc>
          <w:tcPr>
            <w:tcW w:w="40" w:type="dxa"/>
            <w:vAlign w:val="bottom"/>
          </w:tcPr>
          <w:p>
            <w:pPr>
              <w:spacing w:after="0"/>
              <w:rPr>
                <w:sz w:val="9"/>
                <w:szCs w:val="9"/>
                <w:color w:val="auto"/>
              </w:rPr>
            </w:pPr>
          </w:p>
        </w:tc>
      </w:tr>
      <w:tr>
        <w:trPr>
          <w:trHeight w:val="92"/>
        </w:trPr>
        <w:tc>
          <w:tcPr>
            <w:tcW w:w="2340" w:type="dxa"/>
            <w:vAlign w:val="bottom"/>
          </w:tcPr>
          <w:p>
            <w:pPr>
              <w:spacing w:after="0" w:line="93" w:lineRule="exact"/>
              <w:rPr>
                <w:sz w:val="20"/>
                <w:szCs w:val="20"/>
                <w:color w:val="auto"/>
              </w:rPr>
            </w:pPr>
            <w:r>
              <w:rPr>
                <w:rFonts w:ascii="Arial" w:cs="Arial" w:eastAsia="Arial" w:hAnsi="Arial"/>
                <w:sz w:val="10"/>
                <w:szCs w:val="10"/>
                <w:color w:val="auto"/>
              </w:rPr>
              <w:t>Weatherford Norge AS</w:t>
            </w:r>
          </w:p>
        </w:tc>
        <w:tc>
          <w:tcPr>
            <w:tcW w:w="1420" w:type="dxa"/>
            <w:vAlign w:val="bottom"/>
          </w:tcPr>
          <w:p>
            <w:pPr>
              <w:jc w:val="center"/>
              <w:ind w:right="72"/>
              <w:spacing w:after="0" w:line="93" w:lineRule="exact"/>
              <w:rPr>
                <w:sz w:val="20"/>
                <w:szCs w:val="20"/>
                <w:color w:val="auto"/>
              </w:rPr>
            </w:pPr>
            <w:r>
              <w:rPr>
                <w:rFonts w:ascii="Arial" w:cs="Arial" w:eastAsia="Arial" w:hAnsi="Arial"/>
                <w:sz w:val="10"/>
                <w:szCs w:val="10"/>
                <w:color w:val="auto"/>
                <w:w w:val="84"/>
              </w:rPr>
              <w:t>Registered Shares</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87"/>
              </w:rPr>
              <w:t>3,385</w:t>
            </w:r>
          </w:p>
        </w:tc>
        <w:tc>
          <w:tcPr>
            <w:tcW w:w="940" w:type="dxa"/>
            <w:vAlign w:val="bottom"/>
          </w:tcPr>
          <w:p>
            <w:pPr>
              <w:ind w:left="460"/>
              <w:spacing w:after="0" w:line="93" w:lineRule="exact"/>
              <w:rPr>
                <w:sz w:val="20"/>
                <w:szCs w:val="20"/>
                <w:color w:val="auto"/>
              </w:rPr>
            </w:pPr>
            <w:r>
              <w:rPr>
                <w:rFonts w:ascii="Arial" w:cs="Arial" w:eastAsia="Arial" w:hAnsi="Arial"/>
                <w:sz w:val="10"/>
                <w:szCs w:val="10"/>
                <w:color w:val="auto"/>
              </w:rPr>
              <w:t>N/A</w:t>
            </w:r>
          </w:p>
        </w:tc>
        <w:tc>
          <w:tcPr>
            <w:tcW w:w="3700" w:type="dxa"/>
            <w:vAlign w:val="bottom"/>
          </w:tcPr>
          <w:p>
            <w:pPr>
              <w:ind w:left="220"/>
              <w:spacing w:after="0" w:line="93" w:lineRule="exact"/>
              <w:rPr>
                <w:sz w:val="20"/>
                <w:szCs w:val="20"/>
                <w:color w:val="auto"/>
              </w:rPr>
            </w:pPr>
            <w:r>
              <w:rPr>
                <w:rFonts w:ascii="Arial" w:cs="Arial" w:eastAsia="Arial" w:hAnsi="Arial"/>
                <w:sz w:val="10"/>
                <w:szCs w:val="10"/>
                <w:color w:val="auto"/>
              </w:rPr>
              <w:t>N/A</w:t>
            </w:r>
          </w:p>
        </w:tc>
        <w:tc>
          <w:tcPr>
            <w:tcW w:w="1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92"/>
              </w:rPr>
              <w:t>Geir Egil Moller Olsen</w:t>
            </w:r>
          </w:p>
        </w:tc>
        <w:tc>
          <w:tcPr>
            <w:tcW w:w="40" w:type="dxa"/>
            <w:vAlign w:val="bottom"/>
          </w:tcPr>
          <w:p>
            <w:pPr>
              <w:spacing w:after="0"/>
              <w:rPr>
                <w:sz w:val="8"/>
                <w:szCs w:val="8"/>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72"/>
              <w:spacing w:after="0" w:line="104" w:lineRule="exact"/>
              <w:rPr>
                <w:sz w:val="20"/>
                <w:szCs w:val="20"/>
                <w:color w:val="auto"/>
              </w:rPr>
            </w:pPr>
            <w:r>
              <w:rPr>
                <w:rFonts w:ascii="Arial" w:cs="Arial" w:eastAsia="Arial" w:hAnsi="Arial"/>
                <w:sz w:val="10"/>
                <w:szCs w:val="10"/>
                <w:color w:val="auto"/>
                <w:w w:val="89"/>
              </w:rPr>
              <w:t>Arve Eide Haraldsen</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72"/>
              <w:spacing w:after="0" w:line="104" w:lineRule="exact"/>
              <w:rPr>
                <w:sz w:val="20"/>
                <w:szCs w:val="20"/>
                <w:color w:val="auto"/>
              </w:rPr>
            </w:pPr>
            <w:r>
              <w:rPr>
                <w:rFonts w:ascii="Arial" w:cs="Arial" w:eastAsia="Arial" w:hAnsi="Arial"/>
                <w:sz w:val="10"/>
                <w:szCs w:val="10"/>
                <w:color w:val="auto"/>
                <w:w w:val="86"/>
              </w:rPr>
              <w:t>Hege Juul Bruheim</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72"/>
              <w:spacing w:after="0" w:line="104" w:lineRule="exact"/>
              <w:rPr>
                <w:sz w:val="20"/>
                <w:szCs w:val="20"/>
                <w:color w:val="auto"/>
              </w:rPr>
            </w:pPr>
            <w:r>
              <w:rPr>
                <w:rFonts w:ascii="Arial" w:cs="Arial" w:eastAsia="Arial" w:hAnsi="Arial"/>
                <w:sz w:val="10"/>
                <w:szCs w:val="10"/>
                <w:color w:val="auto"/>
                <w:w w:val="87"/>
              </w:rPr>
              <w:t>Aadne Aasheim Andersen</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9"/>
              </w:rPr>
              <w:t>Bernt Tore Lilleeng</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72"/>
              <w:spacing w:after="0" w:line="104" w:lineRule="exact"/>
              <w:rPr>
                <w:sz w:val="20"/>
                <w:szCs w:val="20"/>
                <w:color w:val="auto"/>
              </w:rPr>
            </w:pPr>
            <w:r>
              <w:rPr>
                <w:rFonts w:ascii="Arial" w:cs="Arial" w:eastAsia="Arial" w:hAnsi="Arial"/>
                <w:sz w:val="10"/>
                <w:szCs w:val="10"/>
                <w:color w:val="auto"/>
                <w:w w:val="85"/>
              </w:rPr>
              <w:t>Tore Simonsen</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6"/>
              </w:rPr>
              <w:t>Espen Sirevag</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72"/>
              <w:spacing w:after="0" w:line="104" w:lineRule="exact"/>
              <w:rPr>
                <w:sz w:val="20"/>
                <w:szCs w:val="20"/>
                <w:color w:val="auto"/>
              </w:rPr>
            </w:pPr>
            <w:r>
              <w:rPr>
                <w:rFonts w:ascii="Arial" w:cs="Arial" w:eastAsia="Arial" w:hAnsi="Arial"/>
                <w:sz w:val="10"/>
                <w:szCs w:val="10"/>
                <w:color w:val="auto"/>
                <w:w w:val="92"/>
              </w:rPr>
              <w:t>Stig Magne Eik</w:t>
            </w:r>
          </w:p>
        </w:tc>
        <w:tc>
          <w:tcPr>
            <w:tcW w:w="40" w:type="dxa"/>
            <w:vAlign w:val="bottom"/>
          </w:tcPr>
          <w:p>
            <w:pPr>
              <w:spacing w:after="0"/>
              <w:rPr>
                <w:sz w:val="9"/>
                <w:szCs w:val="9"/>
                <w:color w:val="auto"/>
              </w:rPr>
            </w:pPr>
          </w:p>
        </w:tc>
      </w:tr>
      <w:tr>
        <w:trPr>
          <w:trHeight w:val="115"/>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940" w:type="dxa"/>
            <w:vAlign w:val="bottom"/>
          </w:tcPr>
          <w:p>
            <w:pPr>
              <w:jc w:val="center"/>
              <w:ind w:left="72"/>
              <w:spacing w:after="0"/>
              <w:rPr>
                <w:sz w:val="20"/>
                <w:szCs w:val="20"/>
                <w:color w:val="auto"/>
              </w:rPr>
            </w:pPr>
            <w:r>
              <w:rPr>
                <w:rFonts w:ascii="Arial" w:cs="Arial" w:eastAsia="Arial" w:hAnsi="Arial"/>
                <w:sz w:val="10"/>
                <w:szCs w:val="10"/>
                <w:color w:val="auto"/>
                <w:w w:val="88"/>
              </w:rPr>
              <w:t>Terje Nysted</w:t>
            </w:r>
          </w:p>
        </w:tc>
        <w:tc>
          <w:tcPr>
            <w:tcW w:w="40" w:type="dxa"/>
            <w:vAlign w:val="bottom"/>
          </w:tcPr>
          <w:p>
            <w:pPr>
              <w:spacing w:after="0"/>
              <w:rPr>
                <w:sz w:val="9"/>
                <w:szCs w:val="9"/>
                <w:color w:val="auto"/>
              </w:rPr>
            </w:pPr>
          </w:p>
        </w:tc>
      </w:tr>
      <w:tr>
        <w:trPr>
          <w:trHeight w:val="92"/>
        </w:trPr>
        <w:tc>
          <w:tcPr>
            <w:tcW w:w="23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Oil Tool Middle East Limited</w:t>
            </w:r>
          </w:p>
        </w:tc>
        <w:tc>
          <w:tcPr>
            <w:tcW w:w="142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4"/>
              </w:rPr>
              <w:t>50,000</w:t>
            </w:r>
          </w:p>
        </w:tc>
        <w:tc>
          <w:tcPr>
            <w:tcW w:w="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1"/>
              </w:rPr>
              <w:t>10,000</w:t>
            </w:r>
          </w:p>
        </w:tc>
        <w:tc>
          <w:tcPr>
            <w:tcW w:w="370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Tan Kah Huan (President)</w:t>
            </w:r>
          </w:p>
        </w:tc>
        <w:tc>
          <w:tcPr>
            <w:tcW w:w="1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8"/>
                <w:szCs w:val="8"/>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Mohammed Dadhiwala (Senior Vice President)</w:t>
            </w:r>
          </w:p>
        </w:tc>
        <w:tc>
          <w:tcPr>
            <w:tcW w:w="1940" w:type="dxa"/>
            <w:vAlign w:val="bottom"/>
            <w:shd w:val="clear" w:color="auto" w:fill="CCEEFF"/>
          </w:tcPr>
          <w:p>
            <w:pPr>
              <w:jc w:val="center"/>
              <w:ind w:left="72"/>
              <w:spacing w:after="0" w:line="104" w:lineRule="exact"/>
              <w:rPr>
                <w:sz w:val="20"/>
                <w:szCs w:val="20"/>
                <w:color w:val="auto"/>
              </w:rPr>
            </w:pPr>
            <w:r>
              <w:rPr>
                <w:rFonts w:ascii="Arial" w:cs="Arial" w:eastAsia="Arial" w:hAnsi="Arial"/>
                <w:sz w:val="10"/>
                <w:szCs w:val="10"/>
                <w:color w:val="auto"/>
                <w:w w:val="90"/>
              </w:rPr>
              <w:t>Tony Azizi</w:t>
            </w: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Tony Azizi (Vice President)</w:t>
            </w:r>
          </w:p>
        </w:tc>
        <w:tc>
          <w:tcPr>
            <w:tcW w:w="1940" w:type="dxa"/>
            <w:vAlign w:val="bottom"/>
            <w:shd w:val="clear" w:color="auto" w:fill="CCEEFF"/>
          </w:tcPr>
          <w:p>
            <w:pPr>
              <w:jc w:val="center"/>
              <w:ind w:left="72"/>
              <w:spacing w:after="0" w:line="104" w:lineRule="exact"/>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Torman Limited (Secretary)</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Christine M. Morrison (Assistant Secretary)</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line="104" w:lineRule="exact"/>
              <w:rPr>
                <w:sz w:val="20"/>
                <w:szCs w:val="20"/>
                <w:color w:val="auto"/>
              </w:rPr>
            </w:pPr>
            <w:r>
              <w:rPr>
                <w:rFonts w:ascii="Arial" w:cs="Arial" w:eastAsia="Arial" w:hAnsi="Arial"/>
                <w:sz w:val="10"/>
                <w:szCs w:val="10"/>
                <w:color w:val="auto"/>
              </w:rPr>
              <w:t>Mark M. Rothleitner (Treasurer)</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40" w:type="dxa"/>
            <w:vAlign w:val="bottom"/>
          </w:tcPr>
          <w:p>
            <w:pPr>
              <w:spacing w:after="0" w:line="93" w:lineRule="exact"/>
              <w:rPr>
                <w:sz w:val="20"/>
                <w:szCs w:val="20"/>
                <w:color w:val="auto"/>
              </w:rPr>
            </w:pPr>
            <w:r>
              <w:rPr>
                <w:rFonts w:ascii="Arial" w:cs="Arial" w:eastAsia="Arial" w:hAnsi="Arial"/>
                <w:sz w:val="10"/>
                <w:szCs w:val="10"/>
                <w:color w:val="auto"/>
              </w:rPr>
              <w:t>Weatherford Pangaea Holdings Ltd.</w:t>
            </w:r>
          </w:p>
        </w:tc>
        <w:tc>
          <w:tcPr>
            <w:tcW w:w="142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7"/>
              </w:rPr>
              <w:t>Common Stock</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83"/>
              </w:rPr>
              <w:t>100</w:t>
            </w:r>
          </w:p>
        </w:tc>
        <w:tc>
          <w:tcPr>
            <w:tcW w:w="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700" w:type="dxa"/>
            <w:vAlign w:val="bottom"/>
          </w:tcPr>
          <w:p>
            <w:pPr>
              <w:ind w:left="220"/>
              <w:spacing w:after="0" w:line="93" w:lineRule="exact"/>
              <w:rPr>
                <w:sz w:val="20"/>
                <w:szCs w:val="20"/>
                <w:color w:val="auto"/>
              </w:rPr>
            </w:pPr>
            <w:r>
              <w:rPr>
                <w:rFonts w:ascii="Arial" w:cs="Arial" w:eastAsia="Arial" w:hAnsi="Arial"/>
                <w:sz w:val="10"/>
                <w:szCs w:val="10"/>
                <w:color w:val="auto"/>
              </w:rPr>
              <w:t>Miguel Sanchez (Vice President)</w:t>
            </w:r>
          </w:p>
        </w:tc>
        <w:tc>
          <w:tcPr>
            <w:tcW w:w="1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86"/>
              </w:rPr>
              <w:t>Tan Kah Huan</w:t>
            </w:r>
          </w:p>
        </w:tc>
        <w:tc>
          <w:tcPr>
            <w:tcW w:w="40" w:type="dxa"/>
            <w:vAlign w:val="bottom"/>
          </w:tcPr>
          <w:p>
            <w:pPr>
              <w:spacing w:after="0"/>
              <w:rPr>
                <w:sz w:val="8"/>
                <w:szCs w:val="8"/>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Peter A. White (Vice President)</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Tan Kah Huan (Vice President)</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Mohammed Dadhiwala (Vice President)</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Christine M. Morrison (Vice President and Assistant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Mark Gregory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Conyers Corporate Services (Bermuda) Limited (Secretary)</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rPr>
                <w:sz w:val="20"/>
                <w:szCs w:val="20"/>
                <w:color w:val="auto"/>
              </w:rPr>
            </w:pPr>
            <w:r>
              <w:rPr>
                <w:rFonts w:ascii="Arial" w:cs="Arial" w:eastAsia="Arial" w:hAnsi="Arial"/>
                <w:sz w:val="10"/>
                <w:szCs w:val="10"/>
                <w:color w:val="auto"/>
              </w:rPr>
              <w:t>Joshua S. Silverman (Assistant Treasurer)</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Products GmbH</w:t>
            </w:r>
          </w:p>
        </w:tc>
        <w:tc>
          <w:tcPr>
            <w:tcW w:w="1420" w:type="dxa"/>
            <w:vAlign w:val="bottom"/>
            <w:shd w:val="clear" w:color="auto" w:fill="CCEEFF"/>
          </w:tcPr>
          <w:p>
            <w:pPr>
              <w:jc w:val="center"/>
              <w:ind w:right="52"/>
              <w:spacing w:after="0" w:line="93" w:lineRule="exact"/>
              <w:rPr>
                <w:sz w:val="20"/>
                <w:szCs w:val="20"/>
                <w:color w:val="auto"/>
              </w:rPr>
            </w:pPr>
            <w:r>
              <w:rPr>
                <w:rFonts w:ascii="Arial" w:cs="Arial" w:eastAsia="Arial" w:hAnsi="Arial"/>
                <w:sz w:val="10"/>
                <w:szCs w:val="10"/>
                <w:color w:val="auto"/>
                <w:w w:val="86"/>
              </w:rPr>
              <w:t>Quotas</w:t>
            </w:r>
          </w:p>
        </w:tc>
        <w:tc>
          <w:tcPr>
            <w:tcW w:w="11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3"/>
              </w:rPr>
              <w:t>100</w:t>
            </w:r>
          </w:p>
        </w:tc>
        <w:tc>
          <w:tcPr>
            <w:tcW w:w="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700" w:type="dxa"/>
            <w:vAlign w:val="bottom"/>
            <w:shd w:val="clear" w:color="auto" w:fill="CCEEFF"/>
          </w:tcPr>
          <w:p>
            <w:pPr>
              <w:ind w:left="220"/>
              <w:spacing w:after="0" w:line="93" w:lineRule="exact"/>
              <w:rPr>
                <w:sz w:val="20"/>
                <w:szCs w:val="20"/>
                <w:color w:val="auto"/>
              </w:rPr>
            </w:pPr>
            <w:r>
              <w:rPr>
                <w:rFonts w:ascii="Arial" w:cs="Arial" w:eastAsia="Arial" w:hAnsi="Arial"/>
                <w:sz w:val="10"/>
                <w:szCs w:val="10"/>
                <w:color w:val="auto"/>
              </w:rPr>
              <w:t>N/A</w:t>
            </w:r>
          </w:p>
        </w:tc>
        <w:tc>
          <w:tcPr>
            <w:tcW w:w="194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87"/>
              </w:rPr>
              <w:t>Andrzej Puchala</w:t>
            </w:r>
          </w:p>
        </w:tc>
        <w:tc>
          <w:tcPr>
            <w:tcW w:w="40" w:type="dxa"/>
            <w:vAlign w:val="bottom"/>
          </w:tcPr>
          <w:p>
            <w:pPr>
              <w:spacing w:after="0"/>
              <w:rPr>
                <w:sz w:val="8"/>
                <w:szCs w:val="8"/>
                <w:color w:val="auto"/>
              </w:rPr>
            </w:pPr>
          </w:p>
        </w:tc>
      </w:tr>
      <w:tr>
        <w:trPr>
          <w:trHeight w:val="104"/>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spacing w:after="0"/>
              <w:rPr>
                <w:sz w:val="9"/>
                <w:szCs w:val="9"/>
                <w:color w:val="auto"/>
              </w:rPr>
            </w:pPr>
          </w:p>
        </w:tc>
        <w:tc>
          <w:tcPr>
            <w:tcW w:w="1940" w:type="dxa"/>
            <w:vAlign w:val="bottom"/>
            <w:shd w:val="clear" w:color="auto" w:fill="CCEEFF"/>
          </w:tcPr>
          <w:p>
            <w:pPr>
              <w:jc w:val="center"/>
              <w:ind w:left="92"/>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15"/>
        </w:trPr>
        <w:tc>
          <w:tcPr>
            <w:tcW w:w="23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700" w:type="dxa"/>
            <w:vAlign w:val="bottom"/>
            <w:shd w:val="clear" w:color="auto" w:fill="CCEEFF"/>
          </w:tcPr>
          <w:p>
            <w:pPr>
              <w:spacing w:after="0"/>
              <w:rPr>
                <w:sz w:val="9"/>
                <w:szCs w:val="9"/>
                <w:color w:val="auto"/>
              </w:rPr>
            </w:pPr>
          </w:p>
        </w:tc>
        <w:tc>
          <w:tcPr>
            <w:tcW w:w="1940" w:type="dxa"/>
            <w:vAlign w:val="bottom"/>
            <w:shd w:val="clear" w:color="auto" w:fill="CCEEFF"/>
          </w:tcPr>
          <w:p>
            <w:pPr>
              <w:jc w:val="center"/>
              <w:ind w:left="72"/>
              <w:spacing w:after="0"/>
              <w:rPr>
                <w:sz w:val="20"/>
                <w:szCs w:val="20"/>
                <w:color w:val="auto"/>
              </w:rPr>
            </w:pPr>
            <w:r>
              <w:rPr>
                <w:rFonts w:ascii="Arial" w:cs="Arial" w:eastAsia="Arial" w:hAnsi="Arial"/>
                <w:sz w:val="10"/>
                <w:szCs w:val="10"/>
                <w:color w:val="auto"/>
                <w:w w:val="86"/>
              </w:rPr>
              <w:t>Steven F. Carvalho</w:t>
            </w:r>
          </w:p>
        </w:tc>
        <w:tc>
          <w:tcPr>
            <w:tcW w:w="40" w:type="dxa"/>
            <w:vAlign w:val="bottom"/>
          </w:tcPr>
          <w:p>
            <w:pPr>
              <w:spacing w:after="0"/>
              <w:rPr>
                <w:sz w:val="9"/>
                <w:szCs w:val="9"/>
                <w:color w:val="auto"/>
              </w:rPr>
            </w:pPr>
          </w:p>
        </w:tc>
      </w:tr>
      <w:tr>
        <w:trPr>
          <w:trHeight w:val="92"/>
        </w:trPr>
        <w:tc>
          <w:tcPr>
            <w:tcW w:w="2340" w:type="dxa"/>
            <w:vAlign w:val="bottom"/>
          </w:tcPr>
          <w:p>
            <w:pPr>
              <w:spacing w:after="0" w:line="93" w:lineRule="exact"/>
              <w:rPr>
                <w:sz w:val="20"/>
                <w:szCs w:val="20"/>
                <w:color w:val="auto"/>
              </w:rPr>
            </w:pPr>
            <w:r>
              <w:rPr>
                <w:rFonts w:ascii="Arial" w:cs="Arial" w:eastAsia="Arial" w:hAnsi="Arial"/>
                <w:sz w:val="10"/>
                <w:szCs w:val="10"/>
                <w:color w:val="auto"/>
              </w:rPr>
              <w:t>Weatherford Services S. de R.L.</w:t>
            </w:r>
          </w:p>
        </w:tc>
        <w:tc>
          <w:tcPr>
            <w:tcW w:w="1420" w:type="dxa"/>
            <w:vAlign w:val="bottom"/>
          </w:tcPr>
          <w:p>
            <w:pPr>
              <w:jc w:val="center"/>
              <w:ind w:right="52"/>
              <w:spacing w:after="0" w:line="93" w:lineRule="exact"/>
              <w:rPr>
                <w:sz w:val="20"/>
                <w:szCs w:val="20"/>
                <w:color w:val="auto"/>
              </w:rPr>
            </w:pPr>
            <w:r>
              <w:rPr>
                <w:rFonts w:ascii="Arial" w:cs="Arial" w:eastAsia="Arial" w:hAnsi="Arial"/>
                <w:sz w:val="10"/>
                <w:szCs w:val="10"/>
                <w:color w:val="auto"/>
                <w:w w:val="86"/>
              </w:rPr>
              <w:t>Quotas</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84"/>
              </w:rPr>
              <w:t>50,000</w:t>
            </w:r>
          </w:p>
        </w:tc>
        <w:tc>
          <w:tcPr>
            <w:tcW w:w="940" w:type="dxa"/>
            <w:vAlign w:val="bottom"/>
          </w:tcPr>
          <w:p>
            <w:pPr>
              <w:jc w:val="center"/>
              <w:ind w:left="92"/>
              <w:spacing w:after="0" w:line="93" w:lineRule="exact"/>
              <w:rPr>
                <w:sz w:val="20"/>
                <w:szCs w:val="20"/>
                <w:color w:val="auto"/>
              </w:rPr>
            </w:pPr>
            <w:r>
              <w:rPr>
                <w:rFonts w:ascii="Arial" w:cs="Arial" w:eastAsia="Arial" w:hAnsi="Arial"/>
                <w:sz w:val="10"/>
                <w:szCs w:val="10"/>
                <w:color w:val="auto"/>
                <w:w w:val="91"/>
              </w:rPr>
              <w:t>50,000</w:t>
            </w:r>
          </w:p>
        </w:tc>
        <w:tc>
          <w:tcPr>
            <w:tcW w:w="3700" w:type="dxa"/>
            <w:vAlign w:val="bottom"/>
          </w:tcPr>
          <w:p>
            <w:pPr>
              <w:ind w:left="220"/>
              <w:spacing w:after="0" w:line="93" w:lineRule="exact"/>
              <w:rPr>
                <w:sz w:val="20"/>
                <w:szCs w:val="20"/>
                <w:color w:val="auto"/>
              </w:rPr>
            </w:pPr>
            <w:r>
              <w:rPr>
                <w:rFonts w:ascii="Arial" w:cs="Arial" w:eastAsia="Arial" w:hAnsi="Arial"/>
                <w:sz w:val="10"/>
                <w:szCs w:val="10"/>
                <w:color w:val="auto"/>
              </w:rPr>
              <w:t>Christine M. Morrison</w:t>
            </w:r>
          </w:p>
        </w:tc>
        <w:tc>
          <w:tcPr>
            <w:tcW w:w="1940" w:type="dxa"/>
            <w:vAlign w:val="bottom"/>
          </w:tcPr>
          <w:p>
            <w:pPr>
              <w:jc w:val="center"/>
              <w:ind w:left="72"/>
              <w:spacing w:after="0" w:line="93" w:lineRule="exact"/>
              <w:rPr>
                <w:sz w:val="20"/>
                <w:szCs w:val="20"/>
                <w:color w:val="auto"/>
              </w:rPr>
            </w:pPr>
            <w:r>
              <w:rPr>
                <w:rFonts w:ascii="Arial" w:cs="Arial" w:eastAsia="Arial" w:hAnsi="Arial"/>
                <w:sz w:val="10"/>
                <w:szCs w:val="10"/>
                <w:color w:val="auto"/>
                <w:w w:val="93"/>
              </w:rPr>
              <w:t>Weatherford Worldwide Holding GmbH &amp;</w:t>
            </w:r>
          </w:p>
        </w:tc>
        <w:tc>
          <w:tcPr>
            <w:tcW w:w="40" w:type="dxa"/>
            <w:vAlign w:val="bottom"/>
          </w:tcPr>
          <w:p>
            <w:pPr>
              <w:spacing w:after="0"/>
              <w:rPr>
                <w:sz w:val="8"/>
                <w:szCs w:val="8"/>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Mohammed Dadhiwala</w:t>
            </w:r>
          </w:p>
        </w:tc>
        <w:tc>
          <w:tcPr>
            <w:tcW w:w="1940" w:type="dxa"/>
            <w:vAlign w:val="bottom"/>
          </w:tcPr>
          <w:p>
            <w:pPr>
              <w:jc w:val="center"/>
              <w:ind w:left="92"/>
              <w:spacing w:after="0" w:line="104" w:lineRule="exact"/>
              <w:rPr>
                <w:sz w:val="20"/>
                <w:szCs w:val="20"/>
                <w:color w:val="auto"/>
              </w:rPr>
            </w:pPr>
            <w:r>
              <w:rPr>
                <w:rFonts w:ascii="Arial" w:cs="Arial" w:eastAsia="Arial" w:hAnsi="Arial"/>
                <w:sz w:val="10"/>
                <w:szCs w:val="10"/>
                <w:color w:val="auto"/>
                <w:w w:val="87"/>
              </w:rPr>
              <w:t>Weatherford Services, Ltd.</w:t>
            </w:r>
          </w:p>
        </w:tc>
        <w:tc>
          <w:tcPr>
            <w:tcW w:w="4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ind w:left="220"/>
              <w:spacing w:after="0" w:line="104" w:lineRule="exact"/>
              <w:rPr>
                <w:sz w:val="20"/>
                <w:szCs w:val="20"/>
                <w:color w:val="auto"/>
              </w:rPr>
            </w:pPr>
            <w:r>
              <w:rPr>
                <w:rFonts w:ascii="Arial" w:cs="Arial" w:eastAsia="Arial" w:hAnsi="Arial"/>
                <w:sz w:val="10"/>
                <w:szCs w:val="10"/>
                <w:color w:val="auto"/>
              </w:rPr>
              <w:t>Steven F. Carvalho</w:t>
            </w: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2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700" w:type="dxa"/>
            <w:vAlign w:val="bottom"/>
          </w:tcPr>
          <w:p>
            <w:pPr>
              <w:ind w:left="220"/>
              <w:spacing w:after="0"/>
              <w:rPr>
                <w:sz w:val="20"/>
                <w:szCs w:val="20"/>
                <w:color w:val="auto"/>
              </w:rPr>
            </w:pPr>
            <w:r>
              <w:rPr>
                <w:rFonts w:ascii="Arial" w:cs="Arial" w:eastAsia="Arial" w:hAnsi="Arial"/>
                <w:sz w:val="10"/>
                <w:szCs w:val="10"/>
                <w:color w:val="auto"/>
              </w:rPr>
              <w:t>Tan Kah Huan</w:t>
            </w: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8"/>
        </w:trPr>
        <w:tc>
          <w:tcPr>
            <w:tcW w:w="2340" w:type="dxa"/>
            <w:vAlign w:val="bottom"/>
            <w:tcBorders>
              <w:bottom w:val="single" w:sz="8" w:color="808080"/>
            </w:tcBorders>
          </w:tcPr>
          <w:p>
            <w:pPr>
              <w:spacing w:after="0"/>
              <w:rPr>
                <w:sz w:val="22"/>
                <w:szCs w:val="22"/>
                <w:color w:val="auto"/>
              </w:rPr>
            </w:pPr>
          </w:p>
        </w:tc>
        <w:tc>
          <w:tcPr>
            <w:tcW w:w="142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3700" w:type="dxa"/>
            <w:vAlign w:val="bottom"/>
            <w:tcBorders>
              <w:bottom w:val="single" w:sz="8" w:color="808080"/>
            </w:tcBorders>
          </w:tcPr>
          <w:p>
            <w:pPr>
              <w:spacing w:after="0"/>
              <w:rPr>
                <w:sz w:val="22"/>
                <w:szCs w:val="22"/>
                <w:color w:val="auto"/>
              </w:rPr>
            </w:pPr>
          </w:p>
        </w:tc>
        <w:tc>
          <w:tcPr>
            <w:tcW w:w="19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3" w:right="17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15"/>
        </w:trPr>
        <w:tc>
          <w:tcPr>
            <w:tcW w:w="2320" w:type="dxa"/>
            <w:vAlign w:val="bottom"/>
            <w:shd w:val="clear" w:color="auto" w:fill="CCEEFF"/>
          </w:tcPr>
          <w:p>
            <w:pPr>
              <w:spacing w:after="0"/>
              <w:rPr>
                <w:sz w:val="20"/>
                <w:szCs w:val="20"/>
                <w:color w:val="auto"/>
              </w:rPr>
            </w:pPr>
            <w:r>
              <w:rPr>
                <w:rFonts w:ascii="Arial" w:cs="Arial" w:eastAsia="Arial" w:hAnsi="Arial"/>
                <w:sz w:val="10"/>
                <w:szCs w:val="10"/>
                <w:color w:val="auto"/>
              </w:rPr>
              <w:t>Weatherford Services, Ltd.</w:t>
            </w:r>
          </w:p>
        </w:tc>
        <w:tc>
          <w:tcPr>
            <w:tcW w:w="1420" w:type="dxa"/>
            <w:vAlign w:val="bottom"/>
            <w:shd w:val="clear" w:color="auto" w:fill="CCEEFF"/>
          </w:tcPr>
          <w:p>
            <w:pPr>
              <w:jc w:val="center"/>
              <w:ind w:right="12"/>
              <w:spacing w:after="0"/>
              <w:rPr>
                <w:sz w:val="20"/>
                <w:szCs w:val="20"/>
                <w:color w:val="auto"/>
              </w:rPr>
            </w:pPr>
            <w:r>
              <w:rPr>
                <w:rFonts w:ascii="Arial" w:cs="Arial" w:eastAsia="Arial" w:hAnsi="Arial"/>
                <w:sz w:val="10"/>
                <w:szCs w:val="10"/>
                <w:color w:val="auto"/>
                <w:w w:val="87"/>
              </w:rPr>
              <w:t>Common Stock</w:t>
            </w:r>
          </w:p>
        </w:tc>
        <w:tc>
          <w:tcPr>
            <w:tcW w:w="11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1,012,000</w:t>
            </w:r>
          </w:p>
        </w:tc>
        <w:tc>
          <w:tcPr>
            <w:tcW w:w="900" w:type="dxa"/>
            <w:vAlign w:val="bottom"/>
            <w:shd w:val="clear" w:color="auto" w:fill="CCEEFF"/>
          </w:tcPr>
          <w:p>
            <w:pPr>
              <w:jc w:val="center"/>
              <w:ind w:left="92"/>
              <w:spacing w:after="0"/>
              <w:rPr>
                <w:sz w:val="20"/>
                <w:szCs w:val="20"/>
                <w:color w:val="auto"/>
              </w:rPr>
            </w:pPr>
            <w:r>
              <w:rPr>
                <w:rFonts w:ascii="Arial" w:cs="Arial" w:eastAsia="Arial" w:hAnsi="Arial"/>
                <w:sz w:val="10"/>
                <w:szCs w:val="10"/>
                <w:color w:val="auto"/>
                <w:w w:val="91"/>
              </w:rPr>
              <w:t>12,000</w:t>
            </w:r>
          </w:p>
        </w:tc>
        <w:tc>
          <w:tcPr>
            <w:tcW w:w="38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 Kyle Chapman (President)</w:t>
            </w:r>
          </w:p>
        </w:tc>
        <w:tc>
          <w:tcPr>
            <w:tcW w:w="1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Mohammed Dadhiwala</w:t>
            </w:r>
          </w:p>
        </w:tc>
        <w:tc>
          <w:tcPr>
            <w:tcW w:w="40" w:type="dxa"/>
            <w:vAlign w:val="bottom"/>
          </w:tcPr>
          <w:p>
            <w:pPr>
              <w:spacing w:after="0"/>
              <w:rPr>
                <w:sz w:val="10"/>
                <w:szCs w:val="10"/>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jc w:val="center"/>
              <w:ind w:right="12"/>
              <w:spacing w:after="0" w:line="104" w:lineRule="exact"/>
              <w:rPr>
                <w:sz w:val="20"/>
                <w:szCs w:val="20"/>
                <w:color w:val="auto"/>
              </w:rPr>
            </w:pPr>
            <w:r>
              <w:rPr>
                <w:rFonts w:ascii="Arial" w:cs="Arial" w:eastAsia="Arial" w:hAnsi="Arial"/>
                <w:sz w:val="10"/>
                <w:szCs w:val="10"/>
                <w:color w:val="auto"/>
                <w:w w:val="86"/>
              </w:rPr>
              <w:t>Preferred Stock</w:t>
            </w:r>
          </w:p>
        </w:tc>
        <w:tc>
          <w:tcPr>
            <w:tcW w:w="116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7"/>
              </w:rPr>
              <w:t>5,000</w:t>
            </w:r>
          </w:p>
        </w:tc>
        <w:tc>
          <w:tcPr>
            <w:tcW w:w="900" w:type="dxa"/>
            <w:vAlign w:val="bottom"/>
            <w:shd w:val="clear" w:color="auto" w:fill="CCEEFF"/>
          </w:tcPr>
          <w:p>
            <w:pPr>
              <w:jc w:val="center"/>
              <w:ind w:left="72"/>
              <w:spacing w:after="0" w:line="104" w:lineRule="exact"/>
              <w:rPr>
                <w:sz w:val="20"/>
                <w:szCs w:val="20"/>
                <w:color w:val="auto"/>
              </w:rPr>
            </w:pPr>
            <w:r>
              <w:rPr>
                <w:rFonts w:ascii="Arial" w:cs="Arial" w:eastAsia="Arial" w:hAnsi="Arial"/>
                <w:sz w:val="10"/>
                <w:szCs w:val="10"/>
                <w:color w:val="auto"/>
                <w:w w:val="87"/>
              </w:rPr>
              <w:t>5,000</w:t>
            </w: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Danielle J.M. Nicholas (Vice President)</w:t>
            </w:r>
          </w:p>
        </w:tc>
        <w:tc>
          <w:tcPr>
            <w:tcW w:w="178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9"/>
              </w:rPr>
              <w:t>Timothy J. Bryant</w:t>
            </w: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Frederico Justus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Timothy J. Bryant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Joshua S. Silverman (Assistant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w w:val="93"/>
              </w:rPr>
              <w:t>Conyers Corporate Services (Bermuda) Limited (Resident Representative and Assistant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Secretary)</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Switzerland Trading and Development</w:t>
            </w:r>
          </w:p>
        </w:tc>
        <w:tc>
          <w:tcPr>
            <w:tcW w:w="1420" w:type="dxa"/>
            <w:vAlign w:val="bottom"/>
          </w:tcPr>
          <w:p>
            <w:pPr>
              <w:jc w:val="center"/>
              <w:ind w:right="12"/>
              <w:spacing w:after="0" w:line="93" w:lineRule="exact"/>
              <w:rPr>
                <w:sz w:val="20"/>
                <w:szCs w:val="20"/>
                <w:color w:val="auto"/>
              </w:rPr>
            </w:pPr>
            <w:r>
              <w:rPr>
                <w:rFonts w:ascii="Arial" w:cs="Arial" w:eastAsia="Arial" w:hAnsi="Arial"/>
                <w:sz w:val="10"/>
                <w:szCs w:val="10"/>
                <w:color w:val="auto"/>
                <w:w w:val="86"/>
              </w:rPr>
              <w:t>Quotas</w:t>
            </w:r>
          </w:p>
        </w:tc>
        <w:tc>
          <w:tcPr>
            <w:tcW w:w="1160" w:type="dxa"/>
            <w:vAlign w:val="bottom"/>
          </w:tcPr>
          <w:p>
            <w:pPr>
              <w:jc w:val="center"/>
              <w:spacing w:after="0" w:line="93" w:lineRule="exact"/>
              <w:rPr>
                <w:sz w:val="20"/>
                <w:szCs w:val="20"/>
                <w:color w:val="auto"/>
              </w:rPr>
            </w:pPr>
            <w:r>
              <w:rPr>
                <w:rFonts w:ascii="Arial" w:cs="Arial" w:eastAsia="Arial" w:hAnsi="Arial"/>
                <w:sz w:val="10"/>
                <w:szCs w:val="10"/>
                <w:color w:val="auto"/>
                <w:w w:val="89"/>
              </w:rPr>
              <w:t>20</w:t>
            </w:r>
          </w:p>
        </w:tc>
        <w:tc>
          <w:tcPr>
            <w:tcW w:w="900" w:type="dxa"/>
            <w:vAlign w:val="bottom"/>
          </w:tcPr>
          <w:p>
            <w:pPr>
              <w:jc w:val="center"/>
              <w:ind w:left="72"/>
              <w:spacing w:after="0" w:line="93" w:lineRule="exact"/>
              <w:rPr>
                <w:sz w:val="20"/>
                <w:szCs w:val="20"/>
                <w:color w:val="auto"/>
              </w:rPr>
            </w:pPr>
            <w:r>
              <w:rPr>
                <w:rFonts w:ascii="Arial" w:cs="Arial" w:eastAsia="Arial" w:hAnsi="Arial"/>
                <w:sz w:val="10"/>
                <w:szCs w:val="10"/>
                <w:color w:val="auto"/>
                <w:w w:val="89"/>
              </w:rPr>
              <w:t>20</w:t>
            </w:r>
          </w:p>
        </w:tc>
        <w:tc>
          <w:tcPr>
            <w:tcW w:w="3880" w:type="dxa"/>
            <w:vAlign w:val="bottom"/>
          </w:tcPr>
          <w:p>
            <w:pPr>
              <w:ind w:left="240"/>
              <w:spacing w:after="0" w:line="93"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tcPr>
          <w:p>
            <w:pPr>
              <w:jc w:val="center"/>
              <w:spacing w:after="0" w:line="93" w:lineRule="exact"/>
              <w:rPr>
                <w:sz w:val="20"/>
                <w:szCs w:val="20"/>
                <w:color w:val="auto"/>
              </w:rPr>
            </w:pPr>
            <w:r>
              <w:rPr>
                <w:rFonts w:ascii="Arial" w:cs="Arial" w:eastAsia="Arial" w:hAnsi="Arial"/>
                <w:sz w:val="10"/>
                <w:szCs w:val="10"/>
                <w:color w:val="auto"/>
                <w:w w:val="87"/>
              </w:rPr>
              <w:t>Andrzej Puchala</w:t>
            </w:r>
          </w:p>
        </w:tc>
        <w:tc>
          <w:tcPr>
            <w:tcW w:w="40" w:type="dxa"/>
            <w:vAlign w:val="bottom"/>
          </w:tcPr>
          <w:p>
            <w:pPr>
              <w:spacing w:after="0"/>
              <w:rPr>
                <w:sz w:val="8"/>
                <w:szCs w:val="8"/>
                <w:color w:val="auto"/>
              </w:rPr>
            </w:pPr>
          </w:p>
        </w:tc>
      </w:tr>
      <w:tr>
        <w:trPr>
          <w:trHeight w:val="104"/>
        </w:trPr>
        <w:tc>
          <w:tcPr>
            <w:tcW w:w="2320" w:type="dxa"/>
            <w:vAlign w:val="bottom"/>
          </w:tcPr>
          <w:p>
            <w:pPr>
              <w:spacing w:after="0" w:line="104" w:lineRule="exact"/>
              <w:rPr>
                <w:sz w:val="20"/>
                <w:szCs w:val="20"/>
                <w:color w:val="auto"/>
              </w:rPr>
            </w:pPr>
            <w:r>
              <w:rPr>
                <w:rFonts w:ascii="Arial" w:cs="Arial" w:eastAsia="Arial" w:hAnsi="Arial"/>
                <w:sz w:val="10"/>
                <w:szCs w:val="10"/>
                <w:color w:val="auto"/>
              </w:rPr>
              <w:t>GmbH</w:t>
            </w: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Joshua S. Silverman (Assistant Treasurer)</w:t>
            </w:r>
          </w:p>
        </w:tc>
        <w:tc>
          <w:tcPr>
            <w:tcW w:w="1780" w:type="dxa"/>
            <w:vAlign w:val="bottom"/>
          </w:tcPr>
          <w:p>
            <w:pPr>
              <w:jc w:val="center"/>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780" w:type="dxa"/>
            <w:vAlign w:val="bottom"/>
          </w:tcPr>
          <w:p>
            <w:pPr>
              <w:jc w:val="center"/>
              <w:spacing w:after="0"/>
              <w:rPr>
                <w:sz w:val="20"/>
                <w:szCs w:val="20"/>
                <w:color w:val="auto"/>
              </w:rPr>
            </w:pPr>
            <w:r>
              <w:rPr>
                <w:rFonts w:ascii="Arial" w:cs="Arial" w:eastAsia="Arial" w:hAnsi="Arial"/>
                <w:sz w:val="10"/>
                <w:szCs w:val="10"/>
                <w:color w:val="auto"/>
                <w:w w:val="86"/>
              </w:rPr>
              <w:t>Steven F. Carvalho</w:t>
            </w: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Technology Holdings, LLC</w:t>
            </w:r>
          </w:p>
        </w:tc>
        <w:tc>
          <w:tcPr>
            <w:tcW w:w="1420" w:type="dxa"/>
            <w:vAlign w:val="bottom"/>
            <w:shd w:val="clear" w:color="auto" w:fill="CCEEFF"/>
          </w:tcPr>
          <w:p>
            <w:pPr>
              <w:jc w:val="center"/>
              <w:ind w:right="12"/>
              <w:spacing w:after="0" w:line="93" w:lineRule="exact"/>
              <w:rPr>
                <w:sz w:val="20"/>
                <w:szCs w:val="20"/>
                <w:color w:val="auto"/>
              </w:rPr>
            </w:pPr>
            <w:r>
              <w:rPr>
                <w:rFonts w:ascii="Arial" w:cs="Arial" w:eastAsia="Arial" w:hAnsi="Arial"/>
                <w:sz w:val="10"/>
                <w:szCs w:val="10"/>
                <w:color w:val="auto"/>
                <w:w w:val="89"/>
              </w:rPr>
              <w:t>Membership Units</w:t>
            </w:r>
          </w:p>
        </w:tc>
        <w:tc>
          <w:tcPr>
            <w:tcW w:w="1160" w:type="dxa"/>
            <w:vAlign w:val="bottom"/>
            <w:shd w:val="clear" w:color="auto" w:fill="CCEEFF"/>
          </w:tcPr>
          <w:p>
            <w:pPr>
              <w:ind w:left="380"/>
              <w:spacing w:after="0" w:line="93" w:lineRule="exact"/>
              <w:rPr>
                <w:sz w:val="20"/>
                <w:szCs w:val="20"/>
                <w:color w:val="auto"/>
              </w:rPr>
            </w:pPr>
            <w:r>
              <w:rPr>
                <w:rFonts w:ascii="Arial" w:cs="Arial" w:eastAsia="Arial" w:hAnsi="Arial"/>
                <w:sz w:val="10"/>
                <w:szCs w:val="10"/>
                <w:color w:val="auto"/>
              </w:rPr>
              <w:t>Unlimited</w:t>
            </w:r>
          </w:p>
        </w:tc>
        <w:tc>
          <w:tcPr>
            <w:tcW w:w="9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8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178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William M. Imwalle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U.K. Limited</w:t>
            </w:r>
          </w:p>
        </w:tc>
        <w:tc>
          <w:tcPr>
            <w:tcW w:w="1420" w:type="dxa"/>
            <w:vAlign w:val="bottom"/>
          </w:tcPr>
          <w:p>
            <w:pPr>
              <w:jc w:val="center"/>
              <w:ind w:right="12"/>
              <w:spacing w:after="0" w:line="93" w:lineRule="exact"/>
              <w:rPr>
                <w:sz w:val="20"/>
                <w:szCs w:val="20"/>
                <w:color w:val="auto"/>
              </w:rPr>
            </w:pPr>
            <w:r>
              <w:rPr>
                <w:rFonts w:ascii="Arial" w:cs="Arial" w:eastAsia="Arial" w:hAnsi="Arial"/>
                <w:sz w:val="10"/>
                <w:szCs w:val="10"/>
                <w:color w:val="auto"/>
                <w:w w:val="87"/>
              </w:rPr>
              <w:t>Ordinary Shares</w:t>
            </w:r>
          </w:p>
        </w:tc>
        <w:tc>
          <w:tcPr>
            <w:tcW w:w="1160" w:type="dxa"/>
            <w:vAlign w:val="bottom"/>
          </w:tcPr>
          <w:p>
            <w:pPr>
              <w:jc w:val="center"/>
              <w:spacing w:after="0" w:line="93" w:lineRule="exact"/>
              <w:rPr>
                <w:sz w:val="20"/>
                <w:szCs w:val="20"/>
                <w:color w:val="auto"/>
              </w:rPr>
            </w:pPr>
            <w:r>
              <w:rPr>
                <w:rFonts w:ascii="Arial" w:cs="Arial" w:eastAsia="Arial" w:hAnsi="Arial"/>
                <w:sz w:val="10"/>
                <w:szCs w:val="10"/>
                <w:color w:val="auto"/>
                <w:w w:val="87"/>
              </w:rPr>
              <w:t>1,000</w:t>
            </w:r>
          </w:p>
        </w:tc>
        <w:tc>
          <w:tcPr>
            <w:tcW w:w="900" w:type="dxa"/>
            <w:vAlign w:val="bottom"/>
          </w:tcPr>
          <w:p>
            <w:pPr>
              <w:ind w:left="440"/>
              <w:spacing w:after="0" w:line="93" w:lineRule="exact"/>
              <w:rPr>
                <w:sz w:val="20"/>
                <w:szCs w:val="20"/>
                <w:color w:val="auto"/>
              </w:rPr>
            </w:pPr>
            <w:r>
              <w:rPr>
                <w:rFonts w:ascii="Arial" w:cs="Arial" w:eastAsia="Arial" w:hAnsi="Arial"/>
                <w:sz w:val="10"/>
                <w:szCs w:val="10"/>
                <w:color w:val="auto"/>
              </w:rPr>
              <w:t>N/A</w:t>
            </w:r>
          </w:p>
        </w:tc>
        <w:tc>
          <w:tcPr>
            <w:tcW w:w="3880" w:type="dxa"/>
            <w:vAlign w:val="bottom"/>
          </w:tcPr>
          <w:p>
            <w:pPr>
              <w:ind w:left="240"/>
              <w:spacing w:after="0" w:line="93" w:lineRule="exact"/>
              <w:rPr>
                <w:sz w:val="20"/>
                <w:szCs w:val="20"/>
                <w:color w:val="auto"/>
              </w:rPr>
            </w:pPr>
            <w:r>
              <w:rPr>
                <w:rFonts w:ascii="Arial" w:cs="Arial" w:eastAsia="Arial" w:hAnsi="Arial"/>
                <w:sz w:val="10"/>
                <w:szCs w:val="10"/>
                <w:color w:val="auto"/>
              </w:rPr>
              <w:t>N/A</w:t>
            </w:r>
          </w:p>
        </w:tc>
        <w:tc>
          <w:tcPr>
            <w:tcW w:w="1780" w:type="dxa"/>
            <w:vAlign w:val="bottom"/>
          </w:tcPr>
          <w:p>
            <w:pPr>
              <w:jc w:val="center"/>
              <w:spacing w:after="0" w:line="93" w:lineRule="exact"/>
              <w:rPr>
                <w:sz w:val="20"/>
                <w:szCs w:val="20"/>
                <w:color w:val="auto"/>
              </w:rPr>
            </w:pPr>
            <w:r>
              <w:rPr>
                <w:rFonts w:ascii="Arial" w:cs="Arial" w:eastAsia="Arial" w:hAnsi="Arial"/>
                <w:sz w:val="10"/>
                <w:szCs w:val="10"/>
                <w:color w:val="auto"/>
                <w:w w:val="85"/>
              </w:rPr>
              <w:t>Richard Strachan</w:t>
            </w:r>
          </w:p>
        </w:tc>
        <w:tc>
          <w:tcPr>
            <w:tcW w:w="40" w:type="dxa"/>
            <w:vAlign w:val="bottom"/>
          </w:tcPr>
          <w:p>
            <w:pPr>
              <w:spacing w:after="0"/>
              <w:rPr>
                <w:sz w:val="8"/>
                <w:szCs w:val="8"/>
                <w:color w:val="auto"/>
              </w:rPr>
            </w:pPr>
          </w:p>
        </w:tc>
      </w:tr>
      <w:tr>
        <w:trPr>
          <w:trHeight w:val="115"/>
        </w:trPr>
        <w:tc>
          <w:tcPr>
            <w:tcW w:w="2320" w:type="dxa"/>
            <w:vAlign w:val="bottom"/>
          </w:tcPr>
          <w:p>
            <w:pPr>
              <w:spacing w:after="0"/>
              <w:rPr>
                <w:sz w:val="9"/>
                <w:szCs w:val="9"/>
                <w:color w:val="auto"/>
              </w:rPr>
            </w:pPr>
          </w:p>
        </w:tc>
        <w:tc>
          <w:tcPr>
            <w:tcW w:w="1420" w:type="dxa"/>
            <w:vAlign w:val="bottom"/>
          </w:tcPr>
          <w:p>
            <w:pPr>
              <w:jc w:val="center"/>
              <w:ind w:right="32"/>
              <w:spacing w:after="0"/>
              <w:rPr>
                <w:sz w:val="20"/>
                <w:szCs w:val="20"/>
                <w:color w:val="auto"/>
              </w:rPr>
            </w:pPr>
            <w:r>
              <w:rPr>
                <w:rFonts w:ascii="Arial" w:cs="Arial" w:eastAsia="Arial" w:hAnsi="Arial"/>
                <w:sz w:val="10"/>
                <w:szCs w:val="10"/>
                <w:color w:val="auto"/>
                <w:w w:val="83"/>
              </w:rPr>
              <w:t>Preference Shares</w:t>
            </w:r>
          </w:p>
        </w:tc>
        <w:tc>
          <w:tcPr>
            <w:tcW w:w="1160" w:type="dxa"/>
            <w:vAlign w:val="bottom"/>
          </w:tcPr>
          <w:p>
            <w:pPr>
              <w:jc w:val="center"/>
              <w:spacing w:after="0"/>
              <w:rPr>
                <w:sz w:val="20"/>
                <w:szCs w:val="20"/>
                <w:color w:val="auto"/>
              </w:rPr>
            </w:pPr>
            <w:r>
              <w:rPr>
                <w:rFonts w:ascii="Arial" w:cs="Arial" w:eastAsia="Arial" w:hAnsi="Arial"/>
                <w:sz w:val="10"/>
                <w:szCs w:val="10"/>
                <w:color w:val="auto"/>
                <w:w w:val="89"/>
              </w:rPr>
              <w:t>6,154,000</w:t>
            </w:r>
          </w:p>
        </w:tc>
        <w:tc>
          <w:tcPr>
            <w:tcW w:w="9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780" w:type="dxa"/>
            <w:vAlign w:val="bottom"/>
          </w:tcPr>
          <w:p>
            <w:pPr>
              <w:jc w:val="center"/>
              <w:spacing w:after="0"/>
              <w:rPr>
                <w:sz w:val="20"/>
                <w:szCs w:val="20"/>
                <w:color w:val="auto"/>
              </w:rPr>
            </w:pPr>
            <w:r>
              <w:rPr>
                <w:rFonts w:ascii="Arial" w:cs="Arial" w:eastAsia="Arial" w:hAnsi="Arial"/>
                <w:sz w:val="10"/>
                <w:szCs w:val="10"/>
                <w:color w:val="auto"/>
                <w:w w:val="88"/>
              </w:rPr>
              <w:t>Alexander Olsson</w:t>
            </w: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U.S., L.P.</w:t>
            </w:r>
          </w:p>
        </w:tc>
        <w:tc>
          <w:tcPr>
            <w:tcW w:w="1420" w:type="dxa"/>
            <w:vAlign w:val="bottom"/>
            <w:shd w:val="clear" w:color="auto" w:fill="CCEEFF"/>
          </w:tcPr>
          <w:p>
            <w:pPr>
              <w:jc w:val="center"/>
              <w:ind w:right="32"/>
              <w:spacing w:after="0" w:line="93" w:lineRule="exact"/>
              <w:rPr>
                <w:sz w:val="20"/>
                <w:szCs w:val="20"/>
                <w:color w:val="auto"/>
              </w:rPr>
            </w:pPr>
            <w:r>
              <w:rPr>
                <w:rFonts w:ascii="Arial" w:cs="Arial" w:eastAsia="Arial" w:hAnsi="Arial"/>
                <w:sz w:val="10"/>
                <w:szCs w:val="10"/>
                <w:color w:val="auto"/>
                <w:w w:val="89"/>
              </w:rPr>
              <w:t>Class A Units</w:t>
            </w:r>
          </w:p>
        </w:tc>
        <w:tc>
          <w:tcPr>
            <w:tcW w:w="116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9"/>
              </w:rPr>
              <w:t>10</w:t>
            </w:r>
          </w:p>
        </w:tc>
        <w:tc>
          <w:tcPr>
            <w:tcW w:w="9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71"/>
              </w:rPr>
              <w:t>1</w:t>
            </w:r>
          </w:p>
        </w:tc>
        <w:tc>
          <w:tcPr>
            <w:tcW w:w="38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178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jc w:val="center"/>
              <w:ind w:right="32"/>
              <w:spacing w:after="0" w:line="104" w:lineRule="exact"/>
              <w:rPr>
                <w:sz w:val="20"/>
                <w:szCs w:val="20"/>
                <w:color w:val="auto"/>
              </w:rPr>
            </w:pPr>
            <w:r>
              <w:rPr>
                <w:rFonts w:ascii="Arial" w:cs="Arial" w:eastAsia="Arial" w:hAnsi="Arial"/>
                <w:sz w:val="10"/>
                <w:szCs w:val="10"/>
                <w:color w:val="auto"/>
                <w:w w:val="89"/>
              </w:rPr>
              <w:t>Class B Units</w:t>
            </w:r>
          </w:p>
        </w:tc>
        <w:tc>
          <w:tcPr>
            <w:tcW w:w="116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8"/>
              </w:rPr>
              <w:t>100,000</w:t>
            </w: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Charles L. Miller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 L. Marshall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Danielle J.M. Nicholas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David Morris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Dean Bell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Ellen Chin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Etienne Roux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Jeff J. Lembcke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Lawrence Allen Sinor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Marco E. Boos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Hopmann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Maximiliano Alberto Kricorian Sanchez Moreno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Oscar Rivera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Philip Scott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Richard Warren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William M. Imwalle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William Marchant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Joe B. Dillard, Jr. (Manager)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 URS Holdings, LLC</w:t>
            </w:r>
          </w:p>
        </w:tc>
        <w:tc>
          <w:tcPr>
            <w:tcW w:w="1420" w:type="dxa"/>
            <w:vAlign w:val="bottom"/>
          </w:tcPr>
          <w:p>
            <w:pPr>
              <w:jc w:val="center"/>
              <w:ind w:right="12"/>
              <w:spacing w:after="0" w:line="93" w:lineRule="exact"/>
              <w:rPr>
                <w:sz w:val="20"/>
                <w:szCs w:val="20"/>
                <w:color w:val="auto"/>
              </w:rPr>
            </w:pPr>
            <w:r>
              <w:rPr>
                <w:rFonts w:ascii="Arial" w:cs="Arial" w:eastAsia="Arial" w:hAnsi="Arial"/>
                <w:sz w:val="10"/>
                <w:szCs w:val="10"/>
                <w:color w:val="auto"/>
                <w:w w:val="89"/>
              </w:rPr>
              <w:t>Membership Units</w:t>
            </w:r>
          </w:p>
        </w:tc>
        <w:tc>
          <w:tcPr>
            <w:tcW w:w="1160" w:type="dxa"/>
            <w:vAlign w:val="bottom"/>
          </w:tcPr>
          <w:p>
            <w:pPr>
              <w:ind w:left="380"/>
              <w:spacing w:after="0" w:line="93" w:lineRule="exact"/>
              <w:rPr>
                <w:sz w:val="20"/>
                <w:szCs w:val="20"/>
                <w:color w:val="auto"/>
              </w:rPr>
            </w:pPr>
            <w:r>
              <w:rPr>
                <w:rFonts w:ascii="Arial" w:cs="Arial" w:eastAsia="Arial" w:hAnsi="Arial"/>
                <w:sz w:val="10"/>
                <w:szCs w:val="10"/>
                <w:color w:val="auto"/>
              </w:rPr>
              <w:t>Unlimited</w:t>
            </w:r>
          </w:p>
        </w:tc>
        <w:tc>
          <w:tcPr>
            <w:tcW w:w="900" w:type="dxa"/>
            <w:vAlign w:val="bottom"/>
          </w:tcPr>
          <w:p>
            <w:pPr>
              <w:jc w:val="center"/>
              <w:ind w:left="72"/>
              <w:spacing w:after="0" w:line="93" w:lineRule="exact"/>
              <w:rPr>
                <w:sz w:val="20"/>
                <w:szCs w:val="20"/>
                <w:color w:val="auto"/>
              </w:rPr>
            </w:pPr>
            <w:r>
              <w:rPr>
                <w:rFonts w:ascii="Arial" w:cs="Arial" w:eastAsia="Arial" w:hAnsi="Arial"/>
                <w:sz w:val="10"/>
                <w:szCs w:val="10"/>
                <w:color w:val="auto"/>
                <w:w w:val="89"/>
              </w:rPr>
              <w:t>10</w:t>
            </w:r>
          </w:p>
        </w:tc>
        <w:tc>
          <w:tcPr>
            <w:tcW w:w="3880" w:type="dxa"/>
            <w:vAlign w:val="bottom"/>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1780" w:type="dxa"/>
            <w:vAlign w:val="bottom"/>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Weatherford Worldwide Holdings GmbH</w:t>
            </w:r>
          </w:p>
        </w:tc>
        <w:tc>
          <w:tcPr>
            <w:tcW w:w="1420" w:type="dxa"/>
            <w:vAlign w:val="bottom"/>
            <w:shd w:val="clear" w:color="auto" w:fill="CCEEFF"/>
          </w:tcPr>
          <w:p>
            <w:pPr>
              <w:jc w:val="center"/>
              <w:ind w:right="12"/>
              <w:spacing w:after="0" w:line="93" w:lineRule="exact"/>
              <w:rPr>
                <w:sz w:val="20"/>
                <w:szCs w:val="20"/>
                <w:color w:val="auto"/>
              </w:rPr>
            </w:pPr>
            <w:r>
              <w:rPr>
                <w:rFonts w:ascii="Arial" w:cs="Arial" w:eastAsia="Arial" w:hAnsi="Arial"/>
                <w:sz w:val="10"/>
                <w:szCs w:val="10"/>
                <w:color w:val="auto"/>
                <w:w w:val="86"/>
              </w:rPr>
              <w:t>Quotas</w:t>
            </w:r>
          </w:p>
        </w:tc>
        <w:tc>
          <w:tcPr>
            <w:tcW w:w="116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9"/>
              </w:rPr>
              <w:t>21</w:t>
            </w:r>
          </w:p>
        </w:tc>
        <w:tc>
          <w:tcPr>
            <w:tcW w:w="900" w:type="dxa"/>
            <w:vAlign w:val="bottom"/>
            <w:shd w:val="clear" w:color="auto" w:fill="CCEEFF"/>
          </w:tcPr>
          <w:p>
            <w:pPr>
              <w:jc w:val="center"/>
              <w:ind w:left="72"/>
              <w:spacing w:after="0" w:line="93" w:lineRule="exact"/>
              <w:rPr>
                <w:sz w:val="20"/>
                <w:szCs w:val="20"/>
                <w:color w:val="auto"/>
              </w:rPr>
            </w:pPr>
            <w:r>
              <w:rPr>
                <w:rFonts w:ascii="Arial" w:cs="Arial" w:eastAsia="Arial" w:hAnsi="Arial"/>
                <w:sz w:val="10"/>
                <w:szCs w:val="10"/>
                <w:color w:val="auto"/>
                <w:w w:val="89"/>
              </w:rPr>
              <w:t>21</w:t>
            </w:r>
          </w:p>
        </w:tc>
        <w:tc>
          <w:tcPr>
            <w:tcW w:w="38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91"/>
              </w:rPr>
              <w:t>Philipp Andermatt</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Joshua S. Silverman (Assistant Treasurer)</w:t>
            </w:r>
          </w:p>
        </w:tc>
        <w:tc>
          <w:tcPr>
            <w:tcW w:w="178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6"/>
              </w:rPr>
              <w:t>Mathias Neuenschwander</w:t>
            </w: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spacing w:after="0"/>
              <w:rPr>
                <w:sz w:val="9"/>
                <w:szCs w:val="9"/>
                <w:color w:val="auto"/>
              </w:rPr>
            </w:pPr>
          </w:p>
        </w:tc>
        <w:tc>
          <w:tcPr>
            <w:tcW w:w="178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6"/>
              </w:rPr>
              <w:t>Steven F. Carvalho</w:t>
            </w: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spacing w:after="0"/>
              <w:rPr>
                <w:sz w:val="9"/>
                <w:szCs w:val="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Valentin Mueller</w:t>
            </w:r>
          </w:p>
        </w:tc>
        <w:tc>
          <w:tcPr>
            <w:tcW w:w="40" w:type="dxa"/>
            <w:vAlign w:val="bottom"/>
          </w:tcPr>
          <w:p>
            <w:pPr>
              <w:spacing w:after="0"/>
              <w:rPr>
                <w:sz w:val="9"/>
                <w:szCs w:val="9"/>
                <w:color w:val="auto"/>
              </w:rPr>
            </w:pPr>
          </w:p>
        </w:tc>
      </w:tr>
      <w:tr>
        <w:trPr>
          <w:trHeight w:val="92"/>
        </w:trPr>
        <w:tc>
          <w:tcPr>
            <w:tcW w:w="2320" w:type="dxa"/>
            <w:vAlign w:val="bottom"/>
          </w:tcPr>
          <w:p>
            <w:pPr>
              <w:spacing w:after="0" w:line="93" w:lineRule="exact"/>
              <w:rPr>
                <w:sz w:val="20"/>
                <w:szCs w:val="20"/>
                <w:color w:val="auto"/>
              </w:rPr>
            </w:pPr>
            <w:r>
              <w:rPr>
                <w:rFonts w:ascii="Arial" w:cs="Arial" w:eastAsia="Arial" w:hAnsi="Arial"/>
                <w:sz w:val="10"/>
                <w:szCs w:val="10"/>
                <w:color w:val="auto"/>
              </w:rPr>
              <w:t>Weatherford/Lamb, Inc.</w:t>
            </w:r>
          </w:p>
        </w:tc>
        <w:tc>
          <w:tcPr>
            <w:tcW w:w="1420" w:type="dxa"/>
            <w:vAlign w:val="bottom"/>
          </w:tcPr>
          <w:p>
            <w:pPr>
              <w:jc w:val="center"/>
              <w:ind w:right="12"/>
              <w:spacing w:after="0" w:line="93" w:lineRule="exact"/>
              <w:rPr>
                <w:sz w:val="20"/>
                <w:szCs w:val="20"/>
                <w:color w:val="auto"/>
              </w:rPr>
            </w:pPr>
            <w:r>
              <w:rPr>
                <w:rFonts w:ascii="Arial" w:cs="Arial" w:eastAsia="Arial" w:hAnsi="Arial"/>
                <w:sz w:val="10"/>
                <w:szCs w:val="10"/>
                <w:color w:val="auto"/>
                <w:w w:val="87"/>
              </w:rPr>
              <w:t>Common Stock</w:t>
            </w:r>
          </w:p>
        </w:tc>
        <w:tc>
          <w:tcPr>
            <w:tcW w:w="1160" w:type="dxa"/>
            <w:vAlign w:val="bottom"/>
          </w:tcPr>
          <w:p>
            <w:pPr>
              <w:jc w:val="center"/>
              <w:spacing w:after="0" w:line="93" w:lineRule="exact"/>
              <w:rPr>
                <w:sz w:val="20"/>
                <w:szCs w:val="20"/>
                <w:color w:val="auto"/>
              </w:rPr>
            </w:pPr>
            <w:r>
              <w:rPr>
                <w:rFonts w:ascii="Arial" w:cs="Arial" w:eastAsia="Arial" w:hAnsi="Arial"/>
                <w:sz w:val="10"/>
                <w:szCs w:val="10"/>
                <w:color w:val="auto"/>
                <w:w w:val="88"/>
              </w:rPr>
              <w:t>200,000</w:t>
            </w:r>
          </w:p>
        </w:tc>
        <w:tc>
          <w:tcPr>
            <w:tcW w:w="900" w:type="dxa"/>
            <w:vAlign w:val="bottom"/>
          </w:tcPr>
          <w:p>
            <w:pPr>
              <w:jc w:val="center"/>
              <w:ind w:left="92"/>
              <w:spacing w:after="0" w:line="93" w:lineRule="exact"/>
              <w:rPr>
                <w:sz w:val="20"/>
                <w:szCs w:val="20"/>
                <w:color w:val="auto"/>
              </w:rPr>
            </w:pPr>
            <w:r>
              <w:rPr>
                <w:rFonts w:ascii="Arial" w:cs="Arial" w:eastAsia="Arial" w:hAnsi="Arial"/>
                <w:sz w:val="10"/>
                <w:szCs w:val="10"/>
                <w:color w:val="auto"/>
                <w:w w:val="88"/>
              </w:rPr>
              <w:t>184,522</w:t>
            </w:r>
          </w:p>
        </w:tc>
        <w:tc>
          <w:tcPr>
            <w:tcW w:w="3880" w:type="dxa"/>
            <w:vAlign w:val="bottom"/>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1780" w:type="dxa"/>
            <w:vAlign w:val="bottom"/>
          </w:tcPr>
          <w:p>
            <w:pPr>
              <w:jc w:val="center"/>
              <w:spacing w:after="0" w:line="93" w:lineRule="exact"/>
              <w:rPr>
                <w:sz w:val="20"/>
                <w:szCs w:val="20"/>
                <w:color w:val="auto"/>
              </w:rPr>
            </w:pPr>
            <w:r>
              <w:rPr>
                <w:rFonts w:ascii="Arial" w:cs="Arial" w:eastAsia="Arial" w:hAnsi="Arial"/>
                <w:sz w:val="10"/>
                <w:szCs w:val="10"/>
                <w:color w:val="auto"/>
                <w:w w:val="90"/>
              </w:rPr>
              <w:t>Christine M. Morrison</w:t>
            </w:r>
          </w:p>
        </w:tc>
        <w:tc>
          <w:tcPr>
            <w:tcW w:w="40" w:type="dxa"/>
            <w:vAlign w:val="bottom"/>
          </w:tcPr>
          <w:p>
            <w:pPr>
              <w:spacing w:after="0"/>
              <w:rPr>
                <w:sz w:val="8"/>
                <w:szCs w:val="8"/>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Danielle J.M. Nicholas (Vice President)</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William M. Imwalle (Vice President)</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Christine M. Morrison (Vice President, Secretary and Assistant Secretary)</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3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WEUS Holding, LLC</w:t>
            </w:r>
          </w:p>
        </w:tc>
        <w:tc>
          <w:tcPr>
            <w:tcW w:w="1420" w:type="dxa"/>
            <w:vAlign w:val="bottom"/>
            <w:shd w:val="clear" w:color="auto" w:fill="CCEEFF"/>
          </w:tcPr>
          <w:p>
            <w:pPr>
              <w:jc w:val="center"/>
              <w:ind w:right="12"/>
              <w:spacing w:after="0" w:line="93" w:lineRule="exact"/>
              <w:rPr>
                <w:sz w:val="20"/>
                <w:szCs w:val="20"/>
                <w:color w:val="auto"/>
              </w:rPr>
            </w:pPr>
            <w:r>
              <w:rPr>
                <w:rFonts w:ascii="Arial" w:cs="Arial" w:eastAsia="Arial" w:hAnsi="Arial"/>
                <w:sz w:val="10"/>
                <w:szCs w:val="10"/>
                <w:color w:val="auto"/>
                <w:w w:val="89"/>
              </w:rPr>
              <w:t>Membership Units</w:t>
            </w:r>
          </w:p>
        </w:tc>
        <w:tc>
          <w:tcPr>
            <w:tcW w:w="1160" w:type="dxa"/>
            <w:vAlign w:val="bottom"/>
            <w:shd w:val="clear" w:color="auto" w:fill="CCEEFF"/>
          </w:tcPr>
          <w:p>
            <w:pPr>
              <w:ind w:left="380"/>
              <w:spacing w:after="0" w:line="93" w:lineRule="exact"/>
              <w:rPr>
                <w:sz w:val="20"/>
                <w:szCs w:val="20"/>
                <w:color w:val="auto"/>
              </w:rPr>
            </w:pPr>
            <w:r>
              <w:rPr>
                <w:rFonts w:ascii="Arial" w:cs="Arial" w:eastAsia="Arial" w:hAnsi="Arial"/>
                <w:sz w:val="10"/>
                <w:szCs w:val="10"/>
                <w:color w:val="auto"/>
              </w:rPr>
              <w:t>Unlimited</w:t>
            </w:r>
          </w:p>
        </w:tc>
        <w:tc>
          <w:tcPr>
            <w:tcW w:w="900" w:type="dxa"/>
            <w:vAlign w:val="bottom"/>
            <w:shd w:val="clear" w:color="auto" w:fill="CCEEFF"/>
          </w:tcPr>
          <w:p>
            <w:pPr>
              <w:jc w:val="center"/>
              <w:ind w:left="92"/>
              <w:spacing w:after="0" w:line="93" w:lineRule="exact"/>
              <w:rPr>
                <w:sz w:val="20"/>
                <w:szCs w:val="20"/>
                <w:color w:val="auto"/>
              </w:rPr>
            </w:pPr>
            <w:r>
              <w:rPr>
                <w:rFonts w:ascii="Arial" w:cs="Arial" w:eastAsia="Arial" w:hAnsi="Arial"/>
                <w:sz w:val="10"/>
                <w:szCs w:val="10"/>
                <w:color w:val="auto"/>
                <w:w w:val="95"/>
              </w:rPr>
              <w:t>100</w:t>
            </w:r>
          </w:p>
        </w:tc>
        <w:tc>
          <w:tcPr>
            <w:tcW w:w="3880" w:type="dxa"/>
            <w:vAlign w:val="bottom"/>
            <w:shd w:val="clear" w:color="auto" w:fill="CCEEFF"/>
          </w:tcPr>
          <w:p>
            <w:pPr>
              <w:ind w:left="240"/>
              <w:spacing w:after="0" w:line="93" w:lineRule="exact"/>
              <w:rPr>
                <w:sz w:val="20"/>
                <w:szCs w:val="20"/>
                <w:color w:val="auto"/>
              </w:rPr>
            </w:pPr>
            <w:r>
              <w:rPr>
                <w:rFonts w:ascii="Arial" w:cs="Arial" w:eastAsia="Arial" w:hAnsi="Arial"/>
                <w:sz w:val="10"/>
                <w:szCs w:val="10"/>
                <w:color w:val="auto"/>
              </w:rPr>
              <w:t>E. Kyle Chapman (President)</w:t>
            </w:r>
          </w:p>
        </w:tc>
        <w:tc>
          <w:tcPr>
            <w:tcW w:w="178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9"/>
              </w:rPr>
              <w:t>Weatherford International, LLC</w:t>
            </w:r>
          </w:p>
        </w:tc>
        <w:tc>
          <w:tcPr>
            <w:tcW w:w="40" w:type="dxa"/>
            <w:vAlign w:val="bottom"/>
          </w:tcPr>
          <w:p>
            <w:pPr>
              <w:spacing w:after="0"/>
              <w:rPr>
                <w:sz w:val="8"/>
                <w:szCs w:val="8"/>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Steven F. Carvalho (Vice President)</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2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Joshua S. Silverman (Assistant Treasurer)</w:t>
            </w:r>
          </w:p>
        </w:tc>
        <w:tc>
          <w:tcPr>
            <w:tcW w:w="1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265"/>
        </w:trPr>
        <w:tc>
          <w:tcPr>
            <w:tcW w:w="2320" w:type="dxa"/>
            <w:vAlign w:val="bottom"/>
            <w:tcBorders>
              <w:bottom w:val="single" w:sz="8" w:color="808080"/>
            </w:tcBorders>
          </w:tcPr>
          <w:p>
            <w:pPr>
              <w:spacing w:after="0"/>
              <w:rPr>
                <w:sz w:val="23"/>
                <w:szCs w:val="23"/>
                <w:color w:val="auto"/>
              </w:rPr>
            </w:pPr>
          </w:p>
        </w:tc>
        <w:tc>
          <w:tcPr>
            <w:tcW w:w="142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900" w:type="dxa"/>
            <w:vAlign w:val="bottom"/>
            <w:tcBorders>
              <w:bottom w:val="single" w:sz="8" w:color="808080"/>
            </w:tcBorders>
          </w:tcPr>
          <w:p>
            <w:pPr>
              <w:spacing w:after="0"/>
              <w:rPr>
                <w:sz w:val="23"/>
                <w:szCs w:val="23"/>
                <w:color w:val="auto"/>
              </w:rPr>
            </w:pPr>
          </w:p>
        </w:tc>
        <w:tc>
          <w:tcPr>
            <w:tcW w:w="3880" w:type="dxa"/>
            <w:vAlign w:val="bottom"/>
            <w:tcBorders>
              <w:bottom w:val="single" w:sz="8" w:color="808080"/>
            </w:tcBorders>
          </w:tcPr>
          <w:p>
            <w:pPr>
              <w:spacing w:after="0"/>
              <w:rPr>
                <w:sz w:val="23"/>
                <w:szCs w:val="23"/>
                <w:color w:val="auto"/>
              </w:rPr>
            </w:pPr>
          </w:p>
        </w:tc>
        <w:tc>
          <w:tcPr>
            <w:tcW w:w="1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3" w:right="17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15"/>
        </w:trPr>
        <w:tc>
          <w:tcPr>
            <w:tcW w:w="2000" w:type="dxa"/>
            <w:vAlign w:val="bottom"/>
            <w:shd w:val="clear" w:color="auto" w:fill="CCEEFF"/>
          </w:tcPr>
          <w:p>
            <w:pPr>
              <w:spacing w:after="0"/>
              <w:rPr>
                <w:sz w:val="20"/>
                <w:szCs w:val="20"/>
                <w:color w:val="auto"/>
              </w:rPr>
            </w:pPr>
            <w:r>
              <w:rPr>
                <w:rFonts w:ascii="Arial" w:cs="Arial" w:eastAsia="Arial" w:hAnsi="Arial"/>
                <w:sz w:val="10"/>
                <w:szCs w:val="10"/>
                <w:color w:val="auto"/>
              </w:rPr>
              <w:t>WIHBV LLC</w:t>
            </w:r>
          </w:p>
        </w:tc>
        <w:tc>
          <w:tcPr>
            <w:tcW w:w="1760" w:type="dxa"/>
            <w:vAlign w:val="bottom"/>
            <w:shd w:val="clear" w:color="auto" w:fill="CCEEFF"/>
          </w:tcPr>
          <w:p>
            <w:pPr>
              <w:jc w:val="center"/>
              <w:ind w:left="192"/>
              <w:spacing w:after="0"/>
              <w:rPr>
                <w:sz w:val="20"/>
                <w:szCs w:val="20"/>
                <w:color w:val="auto"/>
              </w:rPr>
            </w:pPr>
            <w:r>
              <w:rPr>
                <w:rFonts w:ascii="Arial" w:cs="Arial" w:eastAsia="Arial" w:hAnsi="Arial"/>
                <w:sz w:val="10"/>
                <w:szCs w:val="10"/>
                <w:color w:val="auto"/>
                <w:w w:val="87"/>
              </w:rPr>
              <w:t>Membership Interests</w:t>
            </w:r>
          </w:p>
        </w:tc>
        <w:tc>
          <w:tcPr>
            <w:tcW w:w="1120" w:type="dxa"/>
            <w:vAlign w:val="bottom"/>
            <w:shd w:val="clear" w:color="auto" w:fill="CCEEFF"/>
          </w:tcPr>
          <w:p>
            <w:pPr>
              <w:ind w:left="480"/>
              <w:spacing w:after="0"/>
              <w:rPr>
                <w:sz w:val="20"/>
                <w:szCs w:val="20"/>
                <w:color w:val="auto"/>
              </w:rPr>
            </w:pPr>
            <w:r>
              <w:rPr>
                <w:rFonts w:ascii="Arial" w:cs="Arial" w:eastAsia="Arial" w:hAnsi="Arial"/>
                <w:sz w:val="10"/>
                <w:szCs w:val="10"/>
                <w:color w:val="auto"/>
              </w:rPr>
              <w:t>N/A</w:t>
            </w:r>
          </w:p>
        </w:tc>
        <w:tc>
          <w:tcPr>
            <w:tcW w:w="960" w:type="dxa"/>
            <w:vAlign w:val="bottom"/>
            <w:shd w:val="clear" w:color="auto" w:fill="CCEEFF"/>
          </w:tcPr>
          <w:p>
            <w:pPr>
              <w:ind w:left="460"/>
              <w:spacing w:after="0"/>
              <w:rPr>
                <w:sz w:val="20"/>
                <w:szCs w:val="20"/>
                <w:color w:val="auto"/>
              </w:rPr>
            </w:pPr>
            <w:r>
              <w:rPr>
                <w:rFonts w:ascii="Arial" w:cs="Arial" w:eastAsia="Arial" w:hAnsi="Arial"/>
                <w:sz w:val="10"/>
                <w:szCs w:val="10"/>
                <w:color w:val="auto"/>
              </w:rPr>
              <w:t>N/A</w:t>
            </w:r>
          </w:p>
        </w:tc>
        <w:tc>
          <w:tcPr>
            <w:tcW w:w="37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E. Kyle Chapman (President)</w:t>
            </w:r>
          </w:p>
        </w:tc>
        <w:tc>
          <w:tcPr>
            <w:tcW w:w="1880" w:type="dxa"/>
            <w:vAlign w:val="bottom"/>
            <w:shd w:val="clear" w:color="auto" w:fill="CCEEFF"/>
          </w:tcPr>
          <w:p>
            <w:pPr>
              <w:jc w:val="center"/>
              <w:ind w:left="12"/>
              <w:spacing w:after="0"/>
              <w:rPr>
                <w:sz w:val="20"/>
                <w:szCs w:val="20"/>
                <w:color w:val="auto"/>
              </w:rPr>
            </w:pPr>
            <w:r>
              <w:rPr>
                <w:rFonts w:ascii="Arial" w:cs="Arial" w:eastAsia="Arial" w:hAnsi="Arial"/>
                <w:sz w:val="10"/>
                <w:szCs w:val="10"/>
                <w:color w:val="auto"/>
                <w:w w:val="90"/>
              </w:rPr>
              <w:t>Christine M. Morrison</w:t>
            </w:r>
          </w:p>
        </w:tc>
      </w:tr>
      <w:tr>
        <w:trPr>
          <w:trHeight w:val="104"/>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w w:val="95"/>
              </w:rPr>
              <w:t>Maximiliano Alberto Kricorian Sanchez Moreno (Vice President and Chief Financial</w:t>
            </w:r>
          </w:p>
        </w:tc>
        <w:tc>
          <w:tcPr>
            <w:tcW w:w="1880" w:type="dxa"/>
            <w:vAlign w:val="bottom"/>
            <w:shd w:val="clear" w:color="auto" w:fill="CCEEFF"/>
          </w:tcPr>
          <w:p>
            <w:pPr>
              <w:spacing w:after="0"/>
              <w:rPr>
                <w:sz w:val="9"/>
                <w:szCs w:val="9"/>
                <w:color w:val="auto"/>
              </w:rPr>
            </w:pPr>
          </w:p>
        </w:tc>
      </w:tr>
      <w:tr>
        <w:trPr>
          <w:trHeight w:val="104"/>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Officer)</w:t>
            </w:r>
          </w:p>
        </w:tc>
        <w:tc>
          <w:tcPr>
            <w:tcW w:w="1880" w:type="dxa"/>
            <w:vAlign w:val="bottom"/>
            <w:shd w:val="clear" w:color="auto" w:fill="CCEEFF"/>
          </w:tcPr>
          <w:p>
            <w:pPr>
              <w:spacing w:after="0"/>
              <w:rPr>
                <w:sz w:val="9"/>
                <w:szCs w:val="9"/>
                <w:color w:val="auto"/>
              </w:rPr>
            </w:pPr>
          </w:p>
        </w:tc>
      </w:tr>
      <w:tr>
        <w:trPr>
          <w:trHeight w:val="104"/>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1880" w:type="dxa"/>
            <w:vAlign w:val="bottom"/>
            <w:shd w:val="clear" w:color="auto" w:fill="CCEEFF"/>
          </w:tcPr>
          <w:p>
            <w:pPr>
              <w:spacing w:after="0"/>
              <w:rPr>
                <w:sz w:val="9"/>
                <w:szCs w:val="9"/>
                <w:color w:val="auto"/>
              </w:rPr>
            </w:pPr>
          </w:p>
        </w:tc>
      </w:tr>
      <w:tr>
        <w:trPr>
          <w:trHeight w:val="104"/>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Christine M. Morrison (Vice President and Secretary)</w:t>
            </w:r>
          </w:p>
        </w:tc>
        <w:tc>
          <w:tcPr>
            <w:tcW w:w="1880" w:type="dxa"/>
            <w:vAlign w:val="bottom"/>
            <w:shd w:val="clear" w:color="auto" w:fill="CCEEFF"/>
          </w:tcPr>
          <w:p>
            <w:pPr>
              <w:spacing w:after="0"/>
              <w:rPr>
                <w:sz w:val="9"/>
                <w:szCs w:val="9"/>
                <w:color w:val="auto"/>
              </w:rPr>
            </w:pPr>
          </w:p>
        </w:tc>
      </w:tr>
      <w:tr>
        <w:trPr>
          <w:trHeight w:val="104"/>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ind w:left="200"/>
              <w:spacing w:after="0" w:line="104" w:lineRule="exact"/>
              <w:rPr>
                <w:sz w:val="20"/>
                <w:szCs w:val="20"/>
                <w:color w:val="auto"/>
              </w:rPr>
            </w:pPr>
            <w:r>
              <w:rPr>
                <w:rFonts w:ascii="Arial" w:cs="Arial" w:eastAsia="Arial" w:hAnsi="Arial"/>
                <w:sz w:val="10"/>
                <w:szCs w:val="10"/>
                <w:color w:val="auto"/>
              </w:rPr>
              <w:t>Mark M. Rothleitner (Vice President and Treasurer)</w:t>
            </w:r>
          </w:p>
        </w:tc>
        <w:tc>
          <w:tcPr>
            <w:tcW w:w="1880" w:type="dxa"/>
            <w:vAlign w:val="bottom"/>
            <w:shd w:val="clear" w:color="auto" w:fill="CCEEFF"/>
          </w:tcPr>
          <w:p>
            <w:pPr>
              <w:spacing w:after="0"/>
              <w:rPr>
                <w:sz w:val="9"/>
                <w:szCs w:val="9"/>
                <w:color w:val="auto"/>
              </w:rPr>
            </w:pPr>
          </w:p>
        </w:tc>
      </w:tr>
      <w:tr>
        <w:trPr>
          <w:trHeight w:val="115"/>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1880" w:type="dxa"/>
            <w:vAlign w:val="bottom"/>
            <w:shd w:val="clear" w:color="auto" w:fill="CCEEFF"/>
          </w:tcPr>
          <w:p>
            <w:pPr>
              <w:spacing w:after="0"/>
              <w:rPr>
                <w:sz w:val="9"/>
                <w:szCs w:val="9"/>
                <w:color w:val="auto"/>
              </w:rPr>
            </w:pPr>
          </w:p>
        </w:tc>
      </w:tr>
      <w:tr>
        <w:trPr>
          <w:trHeight w:val="92"/>
        </w:trPr>
        <w:tc>
          <w:tcPr>
            <w:tcW w:w="2000" w:type="dxa"/>
            <w:vAlign w:val="bottom"/>
          </w:tcPr>
          <w:p>
            <w:pPr>
              <w:spacing w:after="0" w:line="93" w:lineRule="exact"/>
              <w:rPr>
                <w:sz w:val="20"/>
                <w:szCs w:val="20"/>
                <w:color w:val="auto"/>
              </w:rPr>
            </w:pPr>
            <w:r>
              <w:rPr>
                <w:rFonts w:ascii="Arial" w:cs="Arial" w:eastAsia="Arial" w:hAnsi="Arial"/>
                <w:sz w:val="10"/>
                <w:szCs w:val="10"/>
                <w:color w:val="auto"/>
              </w:rPr>
              <w:t>WOFS Assurance Limited</w:t>
            </w:r>
          </w:p>
        </w:tc>
        <w:tc>
          <w:tcPr>
            <w:tcW w:w="17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87"/>
              </w:rPr>
              <w:t>Common Stock</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87"/>
              </w:rPr>
              <w:t>12,000,000</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87"/>
              </w:rPr>
              <w:t>12,000,000</w:t>
            </w:r>
          </w:p>
        </w:tc>
        <w:tc>
          <w:tcPr>
            <w:tcW w:w="3740" w:type="dxa"/>
            <w:vAlign w:val="bottom"/>
          </w:tcPr>
          <w:p>
            <w:pPr>
              <w:ind w:left="200"/>
              <w:spacing w:after="0" w:line="93" w:lineRule="exact"/>
              <w:rPr>
                <w:sz w:val="20"/>
                <w:szCs w:val="20"/>
                <w:color w:val="auto"/>
              </w:rPr>
            </w:pPr>
            <w:r>
              <w:rPr>
                <w:rFonts w:ascii="Arial" w:cs="Arial" w:eastAsia="Arial" w:hAnsi="Arial"/>
                <w:sz w:val="10"/>
                <w:szCs w:val="10"/>
                <w:color w:val="auto"/>
              </w:rPr>
              <w:t>Neil Alexander MacLeod (President)</w:t>
            </w:r>
          </w:p>
        </w:tc>
        <w:tc>
          <w:tcPr>
            <w:tcW w:w="1880" w:type="dxa"/>
            <w:vAlign w:val="bottom"/>
          </w:tcPr>
          <w:p>
            <w:pPr>
              <w:jc w:val="center"/>
              <w:ind w:left="32"/>
              <w:spacing w:after="0" w:line="93" w:lineRule="exact"/>
              <w:rPr>
                <w:sz w:val="20"/>
                <w:szCs w:val="20"/>
                <w:color w:val="auto"/>
              </w:rPr>
            </w:pPr>
            <w:r>
              <w:rPr>
                <w:rFonts w:ascii="Arial" w:cs="Arial" w:eastAsia="Arial" w:hAnsi="Arial"/>
                <w:sz w:val="10"/>
                <w:szCs w:val="10"/>
                <w:color w:val="auto"/>
                <w:w w:val="91"/>
              </w:rPr>
              <w:t>Mark M. Rothleitner</w:t>
            </w: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Stuart Fraser (Chief Financial Officer)</w:t>
            </w:r>
          </w:p>
        </w:tc>
        <w:tc>
          <w:tcPr>
            <w:tcW w:w="1880" w:type="dxa"/>
            <w:vAlign w:val="bottom"/>
          </w:tcPr>
          <w:p>
            <w:pPr>
              <w:jc w:val="center"/>
              <w:ind w:left="12"/>
              <w:spacing w:after="0" w:line="104" w:lineRule="exact"/>
              <w:rPr>
                <w:sz w:val="20"/>
                <w:szCs w:val="20"/>
                <w:color w:val="auto"/>
              </w:rPr>
            </w:pPr>
            <w:r>
              <w:rPr>
                <w:rFonts w:ascii="Arial" w:cs="Arial" w:eastAsia="Arial" w:hAnsi="Arial"/>
                <w:sz w:val="10"/>
                <w:szCs w:val="10"/>
                <w:color w:val="auto"/>
                <w:w w:val="89"/>
              </w:rPr>
              <w:t>Neil Alexander MacLeod</w:t>
            </w: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Javier B Garcia (Vice President)</w:t>
            </w:r>
          </w:p>
        </w:tc>
        <w:tc>
          <w:tcPr>
            <w:tcW w:w="1880" w:type="dxa"/>
            <w:vAlign w:val="bottom"/>
          </w:tcPr>
          <w:p>
            <w:pPr>
              <w:jc w:val="center"/>
              <w:ind w:left="32"/>
              <w:spacing w:after="0" w:line="104" w:lineRule="exact"/>
              <w:rPr>
                <w:sz w:val="20"/>
                <w:szCs w:val="20"/>
                <w:color w:val="auto"/>
              </w:rPr>
            </w:pPr>
            <w:r>
              <w:rPr>
                <w:rFonts w:ascii="Arial" w:cs="Arial" w:eastAsia="Arial" w:hAnsi="Arial"/>
                <w:sz w:val="10"/>
                <w:szCs w:val="10"/>
                <w:color w:val="auto"/>
                <w:w w:val="87"/>
              </w:rPr>
              <w:t>Javier B Garcia</w:t>
            </w: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Mohammed Dadhiwala (Vice President)</w:t>
            </w:r>
          </w:p>
        </w:tc>
        <w:tc>
          <w:tcPr>
            <w:tcW w:w="1880" w:type="dxa"/>
            <w:vAlign w:val="bottom"/>
          </w:tcPr>
          <w:p>
            <w:pPr>
              <w:jc w:val="center"/>
              <w:ind w:left="12"/>
              <w:spacing w:after="0" w:line="104" w:lineRule="exact"/>
              <w:rPr>
                <w:sz w:val="20"/>
                <w:szCs w:val="20"/>
                <w:color w:val="auto"/>
              </w:rPr>
            </w:pPr>
            <w:r>
              <w:rPr>
                <w:rFonts w:ascii="Arial" w:cs="Arial" w:eastAsia="Arial" w:hAnsi="Arial"/>
                <w:sz w:val="10"/>
                <w:szCs w:val="10"/>
                <w:color w:val="auto"/>
                <w:w w:val="86"/>
              </w:rPr>
              <w:t>Sophia Greaves</w:t>
            </w: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Tan Kah Huan (Vice President)</w:t>
            </w:r>
          </w:p>
        </w:tc>
        <w:tc>
          <w:tcPr>
            <w:tcW w:w="1880" w:type="dxa"/>
            <w:vAlign w:val="bottom"/>
          </w:tcPr>
          <w:p>
            <w:pPr>
              <w:spacing w:after="0"/>
              <w:rPr>
                <w:sz w:val="9"/>
                <w:szCs w:val="9"/>
                <w:color w:val="auto"/>
              </w:rPr>
            </w:pP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Conyers Corporate Services (Bermuda) Limited (Secretary)</w:t>
            </w:r>
          </w:p>
        </w:tc>
        <w:tc>
          <w:tcPr>
            <w:tcW w:w="1880" w:type="dxa"/>
            <w:vAlign w:val="bottom"/>
          </w:tcPr>
          <w:p>
            <w:pPr>
              <w:jc w:val="center"/>
              <w:ind w:left="12"/>
              <w:spacing w:after="0" w:line="104" w:lineRule="exact"/>
              <w:rPr>
                <w:sz w:val="20"/>
                <w:szCs w:val="20"/>
                <w:color w:val="auto"/>
              </w:rPr>
            </w:pPr>
            <w:r>
              <w:rPr>
                <w:rFonts w:ascii="Arial" w:cs="Arial" w:eastAsia="Arial" w:hAnsi="Arial"/>
                <w:sz w:val="10"/>
                <w:szCs w:val="10"/>
                <w:color w:val="auto"/>
                <w:w w:val="91"/>
              </w:rPr>
              <w:t>William Cooper (Alternate Director)</w:t>
            </w: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Christine M. Morrison (Assistant Secretary)</w:t>
            </w:r>
          </w:p>
        </w:tc>
        <w:tc>
          <w:tcPr>
            <w:tcW w:w="1880" w:type="dxa"/>
            <w:vAlign w:val="bottom"/>
          </w:tcPr>
          <w:p>
            <w:pPr>
              <w:spacing w:after="0"/>
              <w:rPr>
                <w:sz w:val="9"/>
                <w:szCs w:val="9"/>
                <w:color w:val="auto"/>
              </w:rPr>
            </w:pP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Mark M. Rothleitner (Treasurer)</w:t>
            </w:r>
          </w:p>
        </w:tc>
        <w:tc>
          <w:tcPr>
            <w:tcW w:w="1880" w:type="dxa"/>
            <w:vAlign w:val="bottom"/>
          </w:tcPr>
          <w:p>
            <w:pPr>
              <w:spacing w:after="0"/>
              <w:rPr>
                <w:sz w:val="9"/>
                <w:szCs w:val="9"/>
                <w:color w:val="auto"/>
              </w:rPr>
            </w:pPr>
          </w:p>
        </w:tc>
      </w:tr>
      <w:tr>
        <w:trPr>
          <w:trHeight w:val="115"/>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rPr>
                <w:sz w:val="20"/>
                <w:szCs w:val="20"/>
                <w:color w:val="auto"/>
              </w:rPr>
            </w:pPr>
            <w:r>
              <w:rPr>
                <w:rFonts w:ascii="Arial" w:cs="Arial" w:eastAsia="Arial" w:hAnsi="Arial"/>
                <w:sz w:val="10"/>
                <w:szCs w:val="10"/>
                <w:color w:val="auto"/>
              </w:rPr>
              <w:t>Joshua S. Silverman (Assistant Treasurer)</w:t>
            </w:r>
          </w:p>
        </w:tc>
        <w:tc>
          <w:tcPr>
            <w:tcW w:w="1880" w:type="dxa"/>
            <w:vAlign w:val="bottom"/>
          </w:tcPr>
          <w:p>
            <w:pPr>
              <w:spacing w:after="0"/>
              <w:rPr>
                <w:sz w:val="9"/>
                <w:szCs w:val="9"/>
                <w:color w:val="auto"/>
              </w:rPr>
            </w:pPr>
          </w:p>
        </w:tc>
      </w:tr>
      <w:tr>
        <w:trPr>
          <w:trHeight w:val="92"/>
        </w:trPr>
        <w:tc>
          <w:tcPr>
            <w:tcW w:w="200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WOFS International Finance GmbH</w:t>
            </w:r>
          </w:p>
        </w:tc>
        <w:tc>
          <w:tcPr>
            <w:tcW w:w="1760" w:type="dxa"/>
            <w:vAlign w:val="bottom"/>
            <w:shd w:val="clear" w:color="auto" w:fill="CCEEFF"/>
          </w:tcPr>
          <w:p>
            <w:pPr>
              <w:jc w:val="center"/>
              <w:ind w:left="192"/>
              <w:spacing w:after="0" w:line="93" w:lineRule="exact"/>
              <w:rPr>
                <w:sz w:val="20"/>
                <w:szCs w:val="20"/>
                <w:color w:val="auto"/>
              </w:rPr>
            </w:pPr>
            <w:r>
              <w:rPr>
                <w:rFonts w:ascii="Arial" w:cs="Arial" w:eastAsia="Arial" w:hAnsi="Arial"/>
                <w:sz w:val="10"/>
                <w:szCs w:val="10"/>
                <w:color w:val="auto"/>
                <w:w w:val="86"/>
              </w:rPr>
              <w:t>Quotas</w:t>
            </w:r>
          </w:p>
        </w:tc>
        <w:tc>
          <w:tcPr>
            <w:tcW w:w="1120" w:type="dxa"/>
            <w:vAlign w:val="bottom"/>
            <w:shd w:val="clear" w:color="auto" w:fill="CCEEFF"/>
          </w:tcPr>
          <w:p>
            <w:pPr>
              <w:jc w:val="center"/>
              <w:spacing w:after="0" w:line="93" w:lineRule="exact"/>
              <w:rPr>
                <w:sz w:val="20"/>
                <w:szCs w:val="20"/>
                <w:color w:val="auto"/>
              </w:rPr>
            </w:pPr>
            <w:r>
              <w:rPr>
                <w:rFonts w:ascii="Arial" w:cs="Arial" w:eastAsia="Arial" w:hAnsi="Arial"/>
                <w:sz w:val="10"/>
                <w:szCs w:val="10"/>
                <w:color w:val="auto"/>
                <w:w w:val="83"/>
              </w:rPr>
              <w:t>200</w:t>
            </w:r>
          </w:p>
        </w:tc>
        <w:tc>
          <w:tcPr>
            <w:tcW w:w="960" w:type="dxa"/>
            <w:vAlign w:val="bottom"/>
            <w:shd w:val="clear" w:color="auto" w:fill="CCEEFF"/>
          </w:tcPr>
          <w:p>
            <w:pPr>
              <w:jc w:val="center"/>
              <w:ind w:left="72"/>
              <w:spacing w:after="0" w:line="93" w:lineRule="exact"/>
              <w:rPr>
                <w:sz w:val="20"/>
                <w:szCs w:val="20"/>
                <w:color w:val="auto"/>
              </w:rPr>
            </w:pPr>
            <w:r>
              <w:rPr>
                <w:rFonts w:ascii="Arial" w:cs="Arial" w:eastAsia="Arial" w:hAnsi="Arial"/>
                <w:sz w:val="10"/>
                <w:szCs w:val="10"/>
                <w:color w:val="auto"/>
                <w:w w:val="95"/>
              </w:rPr>
              <w:t>200</w:t>
            </w:r>
          </w:p>
        </w:tc>
        <w:tc>
          <w:tcPr>
            <w:tcW w:w="3740" w:type="dxa"/>
            <w:vAlign w:val="bottom"/>
            <w:shd w:val="clear" w:color="auto" w:fill="CCEEFF"/>
          </w:tcPr>
          <w:p>
            <w:pPr>
              <w:ind w:left="200"/>
              <w:spacing w:after="0" w:line="93" w:lineRule="exact"/>
              <w:rPr>
                <w:sz w:val="20"/>
                <w:szCs w:val="20"/>
                <w:color w:val="auto"/>
              </w:rPr>
            </w:pPr>
            <w:r>
              <w:rPr>
                <w:rFonts w:ascii="Arial" w:cs="Arial" w:eastAsia="Arial" w:hAnsi="Arial"/>
                <w:sz w:val="10"/>
                <w:szCs w:val="10"/>
                <w:color w:val="auto"/>
              </w:rPr>
              <w:t>N/A</w:t>
            </w:r>
          </w:p>
        </w:tc>
        <w:tc>
          <w:tcPr>
            <w:tcW w:w="1880" w:type="dxa"/>
            <w:vAlign w:val="bottom"/>
            <w:shd w:val="clear" w:color="auto" w:fill="CCEEFF"/>
          </w:tcPr>
          <w:p>
            <w:pPr>
              <w:jc w:val="center"/>
              <w:ind w:left="32"/>
              <w:spacing w:after="0" w:line="93" w:lineRule="exact"/>
              <w:rPr>
                <w:sz w:val="20"/>
                <w:szCs w:val="20"/>
                <w:color w:val="auto"/>
              </w:rPr>
            </w:pPr>
            <w:r>
              <w:rPr>
                <w:rFonts w:ascii="Arial" w:cs="Arial" w:eastAsia="Arial" w:hAnsi="Arial"/>
                <w:sz w:val="10"/>
                <w:szCs w:val="10"/>
                <w:color w:val="auto"/>
                <w:w w:val="87"/>
              </w:rPr>
              <w:t>Andrzej Puchala</w:t>
            </w:r>
          </w:p>
        </w:tc>
      </w:tr>
      <w:tr>
        <w:trPr>
          <w:trHeight w:val="104"/>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spacing w:after="0"/>
              <w:rPr>
                <w:sz w:val="9"/>
                <w:szCs w:val="9"/>
                <w:color w:val="auto"/>
              </w:rPr>
            </w:pPr>
          </w:p>
        </w:tc>
        <w:tc>
          <w:tcPr>
            <w:tcW w:w="1880" w:type="dxa"/>
            <w:vAlign w:val="bottom"/>
            <w:shd w:val="clear" w:color="auto" w:fill="CCEEFF"/>
          </w:tcPr>
          <w:p>
            <w:pPr>
              <w:jc w:val="center"/>
              <w:ind w:left="32"/>
              <w:spacing w:after="0" w:line="104" w:lineRule="exact"/>
              <w:rPr>
                <w:sz w:val="20"/>
                <w:szCs w:val="20"/>
                <w:color w:val="auto"/>
              </w:rPr>
            </w:pPr>
            <w:r>
              <w:rPr>
                <w:rFonts w:ascii="Arial" w:cs="Arial" w:eastAsia="Arial" w:hAnsi="Arial"/>
                <w:sz w:val="10"/>
                <w:szCs w:val="10"/>
                <w:color w:val="auto"/>
                <w:w w:val="86"/>
              </w:rPr>
              <w:t>Mathias Neuenschwander</w:t>
            </w:r>
          </w:p>
        </w:tc>
      </w:tr>
      <w:tr>
        <w:trPr>
          <w:trHeight w:val="115"/>
        </w:trPr>
        <w:tc>
          <w:tcPr>
            <w:tcW w:w="20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740" w:type="dxa"/>
            <w:vAlign w:val="bottom"/>
            <w:shd w:val="clear" w:color="auto" w:fill="CCEEFF"/>
          </w:tcPr>
          <w:p>
            <w:pPr>
              <w:spacing w:after="0"/>
              <w:rPr>
                <w:sz w:val="9"/>
                <w:szCs w:val="9"/>
                <w:color w:val="auto"/>
              </w:rPr>
            </w:pPr>
          </w:p>
        </w:tc>
        <w:tc>
          <w:tcPr>
            <w:tcW w:w="1880" w:type="dxa"/>
            <w:vAlign w:val="bottom"/>
            <w:shd w:val="clear" w:color="auto" w:fill="CCEEFF"/>
          </w:tcPr>
          <w:p>
            <w:pPr>
              <w:jc w:val="center"/>
              <w:ind w:left="12"/>
              <w:spacing w:after="0"/>
              <w:rPr>
                <w:sz w:val="20"/>
                <w:szCs w:val="20"/>
                <w:color w:val="auto"/>
              </w:rPr>
            </w:pPr>
            <w:r>
              <w:rPr>
                <w:rFonts w:ascii="Arial" w:cs="Arial" w:eastAsia="Arial" w:hAnsi="Arial"/>
                <w:sz w:val="10"/>
                <w:szCs w:val="10"/>
                <w:color w:val="auto"/>
                <w:w w:val="86"/>
              </w:rPr>
              <w:t>Steven F. Carvalho</w:t>
            </w:r>
          </w:p>
        </w:tc>
      </w:tr>
      <w:tr>
        <w:trPr>
          <w:trHeight w:val="92"/>
        </w:trPr>
        <w:tc>
          <w:tcPr>
            <w:tcW w:w="2000" w:type="dxa"/>
            <w:vAlign w:val="bottom"/>
          </w:tcPr>
          <w:p>
            <w:pPr>
              <w:spacing w:after="0" w:line="93" w:lineRule="exact"/>
              <w:rPr>
                <w:sz w:val="20"/>
                <w:szCs w:val="20"/>
                <w:color w:val="auto"/>
              </w:rPr>
            </w:pPr>
            <w:r>
              <w:rPr>
                <w:rFonts w:ascii="Arial" w:cs="Arial" w:eastAsia="Arial" w:hAnsi="Arial"/>
                <w:sz w:val="10"/>
                <w:szCs w:val="10"/>
                <w:color w:val="auto"/>
              </w:rPr>
              <w:t>WOFS Swiss Finance GmbH</w:t>
            </w:r>
          </w:p>
        </w:tc>
        <w:tc>
          <w:tcPr>
            <w:tcW w:w="1760" w:type="dxa"/>
            <w:vAlign w:val="bottom"/>
          </w:tcPr>
          <w:p>
            <w:pPr>
              <w:jc w:val="center"/>
              <w:ind w:left="192"/>
              <w:spacing w:after="0" w:line="93" w:lineRule="exact"/>
              <w:rPr>
                <w:sz w:val="20"/>
                <w:szCs w:val="20"/>
                <w:color w:val="auto"/>
              </w:rPr>
            </w:pPr>
            <w:r>
              <w:rPr>
                <w:rFonts w:ascii="Arial" w:cs="Arial" w:eastAsia="Arial" w:hAnsi="Arial"/>
                <w:sz w:val="10"/>
                <w:szCs w:val="10"/>
                <w:color w:val="auto"/>
                <w:w w:val="86"/>
              </w:rPr>
              <w:t>Class A Quotas</w:t>
            </w:r>
          </w:p>
        </w:tc>
        <w:tc>
          <w:tcPr>
            <w:tcW w:w="1120" w:type="dxa"/>
            <w:vAlign w:val="bottom"/>
          </w:tcPr>
          <w:p>
            <w:pPr>
              <w:jc w:val="center"/>
              <w:spacing w:after="0" w:line="93" w:lineRule="exact"/>
              <w:rPr>
                <w:sz w:val="20"/>
                <w:szCs w:val="20"/>
                <w:color w:val="auto"/>
              </w:rPr>
            </w:pPr>
            <w:r>
              <w:rPr>
                <w:rFonts w:ascii="Arial" w:cs="Arial" w:eastAsia="Arial" w:hAnsi="Arial"/>
                <w:sz w:val="10"/>
                <w:szCs w:val="10"/>
                <w:color w:val="auto"/>
                <w:w w:val="83"/>
              </w:rPr>
              <w:t>298</w:t>
            </w:r>
          </w:p>
        </w:tc>
        <w:tc>
          <w:tcPr>
            <w:tcW w:w="960" w:type="dxa"/>
            <w:vAlign w:val="bottom"/>
          </w:tcPr>
          <w:p>
            <w:pPr>
              <w:jc w:val="center"/>
              <w:ind w:left="72"/>
              <w:spacing w:after="0" w:line="93" w:lineRule="exact"/>
              <w:rPr>
                <w:sz w:val="20"/>
                <w:szCs w:val="20"/>
                <w:color w:val="auto"/>
              </w:rPr>
            </w:pPr>
            <w:r>
              <w:rPr>
                <w:rFonts w:ascii="Arial" w:cs="Arial" w:eastAsia="Arial" w:hAnsi="Arial"/>
                <w:sz w:val="10"/>
                <w:szCs w:val="10"/>
                <w:color w:val="auto"/>
                <w:w w:val="95"/>
              </w:rPr>
              <w:t>298</w:t>
            </w:r>
          </w:p>
        </w:tc>
        <w:tc>
          <w:tcPr>
            <w:tcW w:w="3740" w:type="dxa"/>
            <w:vAlign w:val="bottom"/>
          </w:tcPr>
          <w:p>
            <w:pPr>
              <w:ind w:left="200"/>
              <w:spacing w:after="0" w:line="93" w:lineRule="exact"/>
              <w:rPr>
                <w:sz w:val="20"/>
                <w:szCs w:val="20"/>
                <w:color w:val="auto"/>
              </w:rPr>
            </w:pPr>
            <w:r>
              <w:rPr>
                <w:rFonts w:ascii="Arial" w:cs="Arial" w:eastAsia="Arial" w:hAnsi="Arial"/>
                <w:sz w:val="10"/>
                <w:szCs w:val="10"/>
                <w:color w:val="auto"/>
              </w:rPr>
              <w:t>N/A</w:t>
            </w:r>
          </w:p>
        </w:tc>
        <w:tc>
          <w:tcPr>
            <w:tcW w:w="1880" w:type="dxa"/>
            <w:vAlign w:val="bottom"/>
          </w:tcPr>
          <w:p>
            <w:pPr>
              <w:jc w:val="center"/>
              <w:ind w:left="12"/>
              <w:spacing w:after="0" w:line="93" w:lineRule="exact"/>
              <w:rPr>
                <w:sz w:val="20"/>
                <w:szCs w:val="20"/>
                <w:color w:val="auto"/>
              </w:rPr>
            </w:pPr>
            <w:r>
              <w:rPr>
                <w:rFonts w:ascii="Arial" w:cs="Arial" w:eastAsia="Arial" w:hAnsi="Arial"/>
                <w:sz w:val="10"/>
                <w:szCs w:val="10"/>
                <w:color w:val="auto"/>
                <w:w w:val="88"/>
              </w:rPr>
              <w:t>Arjana Cabariu-Truong</w:t>
            </w:r>
          </w:p>
        </w:tc>
      </w:tr>
      <w:tr>
        <w:trPr>
          <w:trHeight w:val="104"/>
        </w:trPr>
        <w:tc>
          <w:tcPr>
            <w:tcW w:w="2000" w:type="dxa"/>
            <w:vAlign w:val="bottom"/>
          </w:tcPr>
          <w:p>
            <w:pPr>
              <w:spacing w:after="0"/>
              <w:rPr>
                <w:sz w:val="9"/>
                <w:szCs w:val="9"/>
                <w:color w:val="auto"/>
              </w:rPr>
            </w:pPr>
          </w:p>
        </w:tc>
        <w:tc>
          <w:tcPr>
            <w:tcW w:w="17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6"/>
              </w:rPr>
              <w:t>Class B Quotas</w:t>
            </w:r>
          </w:p>
        </w:tc>
        <w:tc>
          <w:tcPr>
            <w:tcW w:w="1120" w:type="dxa"/>
            <w:vAlign w:val="bottom"/>
          </w:tcPr>
          <w:p>
            <w:pPr>
              <w:jc w:val="center"/>
              <w:spacing w:after="0" w:line="104" w:lineRule="exact"/>
              <w:rPr>
                <w:sz w:val="20"/>
                <w:szCs w:val="20"/>
                <w:color w:val="auto"/>
              </w:rPr>
            </w:pPr>
            <w:r>
              <w:rPr>
                <w:rFonts w:ascii="Arial" w:cs="Arial" w:eastAsia="Arial" w:hAnsi="Arial"/>
                <w:sz w:val="10"/>
                <w:szCs w:val="10"/>
                <w:color w:val="auto"/>
                <w:w w:val="83"/>
              </w:rPr>
              <w:t>287</w:t>
            </w:r>
          </w:p>
        </w:tc>
        <w:tc>
          <w:tcPr>
            <w:tcW w:w="960" w:type="dxa"/>
            <w:vAlign w:val="bottom"/>
          </w:tcPr>
          <w:p>
            <w:pPr>
              <w:jc w:val="center"/>
              <w:ind w:left="72"/>
              <w:spacing w:after="0" w:line="104" w:lineRule="exact"/>
              <w:rPr>
                <w:sz w:val="20"/>
                <w:szCs w:val="20"/>
                <w:color w:val="auto"/>
              </w:rPr>
            </w:pPr>
            <w:r>
              <w:rPr>
                <w:rFonts w:ascii="Arial" w:cs="Arial" w:eastAsia="Arial" w:hAnsi="Arial"/>
                <w:sz w:val="10"/>
                <w:szCs w:val="10"/>
                <w:color w:val="auto"/>
                <w:w w:val="95"/>
              </w:rPr>
              <w:t>287</w:t>
            </w:r>
          </w:p>
        </w:tc>
        <w:tc>
          <w:tcPr>
            <w:tcW w:w="3740" w:type="dxa"/>
            <w:vAlign w:val="bottom"/>
          </w:tcPr>
          <w:p>
            <w:pPr>
              <w:spacing w:after="0"/>
              <w:rPr>
                <w:sz w:val="9"/>
                <w:szCs w:val="9"/>
                <w:color w:val="auto"/>
              </w:rPr>
            </w:pPr>
          </w:p>
        </w:tc>
        <w:tc>
          <w:tcPr>
            <w:tcW w:w="1880" w:type="dxa"/>
            <w:vAlign w:val="bottom"/>
          </w:tcPr>
          <w:p>
            <w:pPr>
              <w:jc w:val="center"/>
              <w:ind w:left="32"/>
              <w:spacing w:after="0" w:line="104" w:lineRule="exact"/>
              <w:rPr>
                <w:sz w:val="20"/>
                <w:szCs w:val="20"/>
                <w:color w:val="auto"/>
              </w:rPr>
            </w:pPr>
            <w:r>
              <w:rPr>
                <w:rFonts w:ascii="Arial" w:cs="Arial" w:eastAsia="Arial" w:hAnsi="Arial"/>
                <w:sz w:val="10"/>
                <w:szCs w:val="10"/>
                <w:color w:val="auto"/>
                <w:w w:val="91"/>
              </w:rPr>
              <w:t>Philipp Andermatt</w:t>
            </w:r>
          </w:p>
        </w:tc>
      </w:tr>
      <w:tr>
        <w:trPr>
          <w:trHeight w:val="104"/>
        </w:trPr>
        <w:tc>
          <w:tcPr>
            <w:tcW w:w="2000" w:type="dxa"/>
            <w:vAlign w:val="bottom"/>
          </w:tcPr>
          <w:p>
            <w:pPr>
              <w:spacing w:after="0" w:line="104" w:lineRule="exact"/>
              <w:rPr>
                <w:sz w:val="20"/>
                <w:szCs w:val="20"/>
                <w:color w:val="auto"/>
              </w:rPr>
            </w:pPr>
            <w:r>
              <w:rPr>
                <w:rFonts w:ascii="Arial" w:cs="Arial" w:eastAsia="Arial" w:hAnsi="Arial"/>
                <w:sz w:val="10"/>
                <w:szCs w:val="10"/>
                <w:color w:val="auto"/>
              </w:rPr>
              <w:t>WUS Holding, L.L.C.</w:t>
            </w:r>
          </w:p>
        </w:tc>
        <w:tc>
          <w:tcPr>
            <w:tcW w:w="1760" w:type="dxa"/>
            <w:vAlign w:val="bottom"/>
          </w:tcPr>
          <w:p>
            <w:pPr>
              <w:jc w:val="center"/>
              <w:ind w:left="192"/>
              <w:spacing w:after="0" w:line="104" w:lineRule="exact"/>
              <w:rPr>
                <w:sz w:val="20"/>
                <w:szCs w:val="20"/>
                <w:color w:val="auto"/>
              </w:rPr>
            </w:pPr>
            <w:r>
              <w:rPr>
                <w:rFonts w:ascii="Arial" w:cs="Arial" w:eastAsia="Arial" w:hAnsi="Arial"/>
                <w:sz w:val="10"/>
                <w:szCs w:val="10"/>
                <w:color w:val="auto"/>
                <w:w w:val="87"/>
              </w:rPr>
              <w:t>Membership Interests</w:t>
            </w:r>
          </w:p>
        </w:tc>
        <w:tc>
          <w:tcPr>
            <w:tcW w:w="1120" w:type="dxa"/>
            <w:vAlign w:val="bottom"/>
          </w:tcPr>
          <w:p>
            <w:pPr>
              <w:jc w:val="center"/>
              <w:spacing w:after="0" w:line="104" w:lineRule="exact"/>
              <w:rPr>
                <w:sz w:val="20"/>
                <w:szCs w:val="20"/>
                <w:color w:val="auto"/>
              </w:rPr>
            </w:pPr>
            <w:r>
              <w:rPr>
                <w:rFonts w:ascii="Arial" w:cs="Arial" w:eastAsia="Arial" w:hAnsi="Arial"/>
                <w:sz w:val="10"/>
                <w:szCs w:val="10"/>
                <w:color w:val="auto"/>
                <w:w w:val="83"/>
              </w:rPr>
              <w:t>100</w:t>
            </w:r>
          </w:p>
        </w:tc>
        <w:tc>
          <w:tcPr>
            <w:tcW w:w="960" w:type="dxa"/>
            <w:vAlign w:val="bottom"/>
          </w:tcPr>
          <w:p>
            <w:pPr>
              <w:jc w:val="center"/>
              <w:ind w:left="72"/>
              <w:spacing w:after="0" w:line="104" w:lineRule="exact"/>
              <w:rPr>
                <w:sz w:val="20"/>
                <w:szCs w:val="20"/>
                <w:color w:val="auto"/>
              </w:rPr>
            </w:pPr>
            <w:r>
              <w:rPr>
                <w:rFonts w:ascii="Arial" w:cs="Arial" w:eastAsia="Arial" w:hAnsi="Arial"/>
                <w:sz w:val="10"/>
                <w:szCs w:val="10"/>
                <w:color w:val="auto"/>
                <w:w w:val="95"/>
              </w:rPr>
              <w:t>100</w:t>
            </w: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E. Kyle Chapman (President)</w:t>
            </w:r>
          </w:p>
        </w:tc>
        <w:tc>
          <w:tcPr>
            <w:tcW w:w="1880" w:type="dxa"/>
            <w:vAlign w:val="bottom"/>
          </w:tcPr>
          <w:p>
            <w:pPr>
              <w:jc w:val="center"/>
              <w:ind w:left="12"/>
              <w:spacing w:after="0" w:line="104" w:lineRule="exact"/>
              <w:rPr>
                <w:sz w:val="20"/>
                <w:szCs w:val="20"/>
                <w:color w:val="auto"/>
              </w:rPr>
            </w:pPr>
            <w:r>
              <w:rPr>
                <w:rFonts w:ascii="Arial" w:cs="Arial" w:eastAsia="Arial" w:hAnsi="Arial"/>
                <w:sz w:val="10"/>
                <w:szCs w:val="10"/>
                <w:color w:val="auto"/>
                <w:w w:val="94"/>
              </w:rPr>
              <w:t>WEUS Holding, LLC</w:t>
            </w: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Danielle J.M. Nicholas (Vice President)</w:t>
            </w:r>
          </w:p>
        </w:tc>
        <w:tc>
          <w:tcPr>
            <w:tcW w:w="1880" w:type="dxa"/>
            <w:vAlign w:val="bottom"/>
          </w:tcPr>
          <w:p>
            <w:pPr>
              <w:spacing w:after="0"/>
              <w:rPr>
                <w:sz w:val="9"/>
                <w:szCs w:val="9"/>
                <w:color w:val="auto"/>
              </w:rPr>
            </w:pPr>
          </w:p>
        </w:tc>
      </w:tr>
      <w:tr>
        <w:trPr>
          <w:trHeight w:val="104"/>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04" w:lineRule="exact"/>
              <w:rPr>
                <w:sz w:val="20"/>
                <w:szCs w:val="20"/>
                <w:color w:val="auto"/>
              </w:rPr>
            </w:pPr>
            <w:r>
              <w:rPr>
                <w:rFonts w:ascii="Arial" w:cs="Arial" w:eastAsia="Arial" w:hAnsi="Arial"/>
                <w:sz w:val="10"/>
                <w:szCs w:val="10"/>
                <w:color w:val="auto"/>
              </w:rPr>
              <w:t>Steven F. Carvalho (Vice President)</w:t>
            </w:r>
          </w:p>
        </w:tc>
        <w:tc>
          <w:tcPr>
            <w:tcW w:w="1880" w:type="dxa"/>
            <w:vAlign w:val="bottom"/>
          </w:tcPr>
          <w:p>
            <w:pPr>
              <w:spacing w:after="0"/>
              <w:rPr>
                <w:sz w:val="9"/>
                <w:szCs w:val="9"/>
                <w:color w:val="auto"/>
              </w:rPr>
            </w:pPr>
          </w:p>
        </w:tc>
      </w:tr>
      <w:tr>
        <w:trPr>
          <w:trHeight w:val="112"/>
        </w:trPr>
        <w:tc>
          <w:tcPr>
            <w:tcW w:w="2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40" w:type="dxa"/>
            <w:vAlign w:val="bottom"/>
          </w:tcPr>
          <w:p>
            <w:pPr>
              <w:ind w:left="200"/>
              <w:spacing w:after="0" w:line="112" w:lineRule="exact"/>
              <w:rPr>
                <w:sz w:val="20"/>
                <w:szCs w:val="20"/>
                <w:color w:val="auto"/>
              </w:rPr>
            </w:pPr>
            <w:r>
              <w:rPr>
                <w:rFonts w:ascii="Arial" w:cs="Arial" w:eastAsia="Arial" w:hAnsi="Arial"/>
                <w:sz w:val="10"/>
                <w:szCs w:val="10"/>
                <w:color w:val="auto"/>
              </w:rPr>
              <w:t>Christine M. Morrison (Vice President and Secretary)</w:t>
            </w:r>
          </w:p>
        </w:tc>
        <w:tc>
          <w:tcPr>
            <w:tcW w:w="18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7278370" cy="3949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8370" cy="394970"/>
                    </a:xfrm>
                    <a:prstGeom prst="rect">
                      <a:avLst/>
                    </a:prstGeom>
                    <a:noFill/>
                  </pic:spPr>
                </pic:pic>
              </a:graphicData>
            </a:graphic>
          </wp:anchor>
        </w:drawing>
      </w:r>
    </w:p>
    <w:p>
      <w:pPr>
        <w:ind w:left="6040"/>
        <w:spacing w:after="0" w:line="216" w:lineRule="auto"/>
        <w:rPr>
          <w:sz w:val="20"/>
          <w:szCs w:val="20"/>
          <w:color w:val="auto"/>
        </w:rPr>
      </w:pPr>
      <w:r>
        <w:rPr>
          <w:rFonts w:ascii="Arial" w:cs="Arial" w:eastAsia="Arial" w:hAnsi="Arial"/>
          <w:sz w:val="10"/>
          <w:szCs w:val="10"/>
          <w:color w:val="auto"/>
        </w:rPr>
        <w:t>Mark M. Rothleitner (Vice President and Treasurer)</w:t>
      </w:r>
    </w:p>
    <w:p>
      <w:pPr>
        <w:ind w:left="6040"/>
        <w:spacing w:after="0"/>
        <w:rPr>
          <w:sz w:val="20"/>
          <w:szCs w:val="20"/>
          <w:color w:val="auto"/>
        </w:rPr>
      </w:pPr>
      <w:r>
        <w:rPr>
          <w:rFonts w:ascii="Arial" w:cs="Arial" w:eastAsia="Arial" w:hAnsi="Arial"/>
          <w:sz w:val="10"/>
          <w:szCs w:val="10"/>
          <w:color w:val="auto"/>
        </w:rPr>
        <w:t>Joshua S. Silverman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149860</wp:posOffset>
            </wp:positionV>
            <wp:extent cx="7297420"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284" w:name="page285"/>
    <w:bookmarkEnd w:id="284"/>
    <w:p>
      <w:pPr>
        <w:ind w:left="10760"/>
        <w:spacing w:after="0"/>
        <w:rPr>
          <w:sz w:val="20"/>
          <w:szCs w:val="20"/>
          <w:color w:val="auto"/>
        </w:rPr>
      </w:pPr>
      <w:r>
        <w:rPr>
          <w:rFonts w:ascii="Arial" w:cs="Arial" w:eastAsia="Arial" w:hAnsi="Arial"/>
          <w:sz w:val="13"/>
          <w:szCs w:val="13"/>
          <w:b w:val="1"/>
          <w:bCs w:val="1"/>
          <w:color w:val="auto"/>
        </w:rPr>
        <w:t>Exhibit 99.3</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Principal Ownership of Voting Securities of each Applicant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w w:val="89"/>
              </w:rPr>
              <w:t>Percentage of Voting</w:t>
            </w:r>
          </w:p>
        </w:tc>
        <w:tc>
          <w:tcPr>
            <w:tcW w:w="40" w:type="dxa"/>
            <w:vAlign w:val="bottom"/>
          </w:tcPr>
          <w:p>
            <w:pPr>
              <w:spacing w:after="0"/>
              <w:rPr>
                <w:sz w:val="10"/>
                <w:szCs w:val="10"/>
                <w:color w:val="auto"/>
              </w:rPr>
            </w:pPr>
          </w:p>
        </w:tc>
      </w:tr>
      <w:tr>
        <w:trPr>
          <w:trHeight w:val="131"/>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Name of Guarantor</w:t>
            </w:r>
          </w:p>
        </w:tc>
        <w:tc>
          <w:tcPr>
            <w:tcW w:w="2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Record Owner</w:t>
            </w:r>
          </w:p>
        </w:tc>
        <w:tc>
          <w:tcPr>
            <w:tcW w:w="2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Title of Class Owned</w:t>
            </w:r>
          </w:p>
        </w:tc>
        <w:tc>
          <w:tcPr>
            <w:tcW w:w="1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Amount Owned</w:t>
            </w: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w w:val="88"/>
              </w:rPr>
              <w:t>Securities Owned</w:t>
            </w:r>
          </w:p>
        </w:tc>
        <w:tc>
          <w:tcPr>
            <w:tcW w:w="40" w:type="dxa"/>
            <w:vAlign w:val="bottom"/>
          </w:tcPr>
          <w:p>
            <w:pPr>
              <w:spacing w:after="0"/>
              <w:rPr>
                <w:sz w:val="11"/>
                <w:szCs w:val="11"/>
                <w:color w:val="auto"/>
              </w:rPr>
            </w:pPr>
          </w:p>
        </w:tc>
      </w:tr>
      <w:tr>
        <w:trPr>
          <w:trHeight w:val="156"/>
        </w:trPr>
        <w:tc>
          <w:tcPr>
            <w:tcW w:w="30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Advantage R&amp;D, Inc.</w:t>
            </w:r>
          </w:p>
        </w:tc>
        <w:tc>
          <w:tcPr>
            <w:tcW w:w="220" w:type="dxa"/>
            <w:vAlign w:val="bottom"/>
            <w:tcBorders>
              <w:top w:val="single" w:sz="8" w:color="CCEEFF"/>
            </w:tcBorders>
            <w:shd w:val="clear" w:color="auto" w:fill="CCEEFF"/>
          </w:tcPr>
          <w:p>
            <w:pPr>
              <w:spacing w:after="0"/>
              <w:rPr>
                <w:sz w:val="13"/>
                <w:szCs w:val="13"/>
                <w:color w:val="auto"/>
              </w:rPr>
            </w:pPr>
          </w:p>
        </w:tc>
        <w:tc>
          <w:tcPr>
            <w:tcW w:w="23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Precision Energy Services, Inc.</w:t>
            </w:r>
          </w:p>
        </w:tc>
        <w:tc>
          <w:tcPr>
            <w:tcW w:w="22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Common Stock</w:t>
            </w: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5"/>
              </w:rPr>
              <w:t>1,000</w:t>
            </w:r>
          </w:p>
        </w:tc>
        <w:tc>
          <w:tcPr>
            <w:tcW w:w="2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Benmore In-Depth Corp.</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Holdings U.S. LLC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1,000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Case Services,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eProduction Solutions, LLC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Colombia Petroleum Services Corp.</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Weatherford U.S., L.P.</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1,000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Oilfield Supply,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PD Holdings (USA), L.P.</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Datalog Acquisition, LLC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Membership Units</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Discovery Logging,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International Logging LLC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2,500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Edinburgh Petroleum Services Americas</w:t>
            </w:r>
          </w:p>
        </w:tc>
        <w:tc>
          <w:tcPr>
            <w:tcW w:w="254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1"/>
              </w:rPr>
              <w:t>Weatherford Holdings U.S. LLC</w:t>
            </w:r>
          </w:p>
        </w:tc>
        <w:tc>
          <w:tcPr>
            <w:tcW w:w="228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85"/>
              </w:rPr>
              <w:t>1,000</w:t>
            </w:r>
          </w:p>
        </w:tc>
        <w:tc>
          <w:tcPr>
            <w:tcW w:w="220" w:type="dxa"/>
            <w:vAlign w:val="bottom"/>
          </w:tcPr>
          <w:p>
            <w:pPr>
              <w:spacing w:after="0"/>
              <w:rPr>
                <w:sz w:val="13"/>
                <w:szCs w:val="13"/>
                <w:color w:val="auto"/>
              </w:rPr>
            </w:pPr>
          </w:p>
        </w:tc>
        <w:tc>
          <w:tcPr>
            <w:tcW w:w="182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6"/>
        </w:trPr>
        <w:tc>
          <w:tcPr>
            <w:tcW w:w="3220" w:type="dxa"/>
            <w:vAlign w:val="bottom"/>
            <w:gridSpan w:val="2"/>
          </w:tcPr>
          <w:p>
            <w:pPr>
              <w:spacing w:after="0"/>
              <w:rPr>
                <w:sz w:val="20"/>
                <w:szCs w:val="20"/>
                <w:color w:val="auto"/>
              </w:rPr>
            </w:pPr>
            <w:r>
              <w:rPr>
                <w:rFonts w:ascii="Arial" w:cs="Arial" w:eastAsia="Arial" w:hAnsi="Arial"/>
                <w:sz w:val="14"/>
                <w:szCs w:val="14"/>
                <w:color w:val="auto"/>
              </w:rPr>
              <w:t>Incorporated</w:t>
            </w: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7"/>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eProduction Solutions, LLC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3"/>
              </w:rPr>
              <w:t>Weatherford Artificial Lift Systems, LLC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0"/>
              </w:rPr>
              <w:t>Membership Units</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High Pressure Integrity, Inc.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125</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In-Depth Systems,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Benmore In-Depth Corp.</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1,545,827</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International Logging LLC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Membership Units</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Logging S.A., LLC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International Logging LLC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0"/>
              </w:rPr>
              <w:t>Membership Units</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Key International Drilling Company Limited</w:t>
            </w:r>
          </w:p>
        </w:tc>
        <w:tc>
          <w:tcPr>
            <w:tcW w:w="254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w w:val="92"/>
              </w:rPr>
              <w:t>Weatherford Drilling International</w:t>
            </w:r>
          </w:p>
        </w:tc>
        <w:tc>
          <w:tcPr>
            <w:tcW w:w="228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88"/>
              </w:rPr>
              <w:t>12,000</w:t>
            </w:r>
          </w:p>
        </w:tc>
        <w:tc>
          <w:tcPr>
            <w:tcW w:w="220" w:type="dxa"/>
            <w:vAlign w:val="bottom"/>
          </w:tcPr>
          <w:p>
            <w:pPr>
              <w:spacing w:after="0"/>
              <w:rPr>
                <w:sz w:val="13"/>
                <w:szCs w:val="13"/>
                <w:color w:val="auto"/>
              </w:rPr>
            </w:pPr>
          </w:p>
        </w:tc>
        <w:tc>
          <w:tcPr>
            <w:tcW w:w="182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6"/>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Holdings (BVI) Ltd.</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7"/>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PD Holdings (USA), L.P.</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Partnership Interests</w:t>
            </w:r>
          </w:p>
        </w:tc>
        <w:tc>
          <w:tcPr>
            <w:tcW w:w="16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Precision Drilling GP, LLC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Membership Units</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3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Precision Energy International Ltd.</w:t>
            </w:r>
          </w:p>
        </w:tc>
        <w:tc>
          <w:tcPr>
            <w:tcW w:w="254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0"/>
              </w:rPr>
              <w:t>Precision Energy Services ULC</w:t>
            </w:r>
          </w:p>
        </w:tc>
        <w:tc>
          <w:tcPr>
            <w:tcW w:w="228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76"/>
              </w:rPr>
              <w:t>1</w:t>
            </w:r>
          </w:p>
        </w:tc>
        <w:tc>
          <w:tcPr>
            <w:tcW w:w="22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7"/>
        </w:trPr>
        <w:tc>
          <w:tcPr>
            <w:tcW w:w="3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Precision Energy Services Colombia Ltd.</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Weatherford Canada Ltd.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3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Precision Energy Services ULC</w:t>
            </w:r>
          </w:p>
        </w:tc>
        <w:tc>
          <w:tcPr>
            <w:tcW w:w="254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Weatherford Canada Ltd.</w:t>
            </w:r>
          </w:p>
        </w:tc>
        <w:tc>
          <w:tcPr>
            <w:tcW w:w="228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908,868,693</w:t>
            </w:r>
          </w:p>
        </w:tc>
        <w:tc>
          <w:tcPr>
            <w:tcW w:w="22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7"/>
        </w:trPr>
        <w:tc>
          <w:tcPr>
            <w:tcW w:w="3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Precision Energy Services, Inc.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PD Holdings (USA), L.P.</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1,010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Precision Oilfield Services, LLP</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PD Holdings (USA) L.P.</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Partnership Interests</w:t>
            </w:r>
          </w:p>
        </w:tc>
        <w:tc>
          <w:tcPr>
            <w:tcW w:w="16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Sabre Drilling Ltd.</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Weatherford Pangaea Holdings Ltd.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Stealth Oil &amp; Gas,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WEUS Holding, LLC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Tooke Rockies, Inc.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International Logging LLC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1,960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Visean Information Services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Visual Systems, Inc.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Warrior Well Services,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50,000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Weatherford (Nova Scotia) ULC</w:t>
            </w:r>
          </w:p>
        </w:tc>
        <w:tc>
          <w:tcPr>
            <w:tcW w:w="254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Weatherford Canada Ltd.</w:t>
            </w:r>
          </w:p>
        </w:tc>
        <w:tc>
          <w:tcPr>
            <w:tcW w:w="228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85"/>
              </w:rPr>
              <w:t>9,990</w:t>
            </w:r>
          </w:p>
        </w:tc>
        <w:tc>
          <w:tcPr>
            <w:tcW w:w="220" w:type="dxa"/>
            <w:vAlign w:val="bottom"/>
          </w:tcPr>
          <w:p>
            <w:pPr>
              <w:spacing w:after="0"/>
              <w:rPr>
                <w:sz w:val="13"/>
                <w:szCs w:val="13"/>
                <w:color w:val="auto"/>
              </w:rPr>
            </w:pPr>
          </w:p>
        </w:tc>
        <w:tc>
          <w:tcPr>
            <w:tcW w:w="182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6"/>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1,738</w:t>
            </w: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32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Weatherford (PTWI), L.L.C.</w:t>
            </w:r>
          </w:p>
        </w:tc>
        <w:tc>
          <w:tcPr>
            <w:tcW w:w="2540" w:type="dxa"/>
            <w:vAlign w:val="bottom"/>
            <w:gridSpan w:val="2"/>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89"/>
              </w:rPr>
              <w:t>Weatherford Holdings (Singapore) Pte.</w:t>
            </w:r>
          </w:p>
        </w:tc>
        <w:tc>
          <w:tcPr>
            <w:tcW w:w="2280" w:type="dxa"/>
            <w:vAlign w:val="bottom"/>
            <w:gridSpan w:val="2"/>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90"/>
              </w:rPr>
              <w:t>Membership Units</w:t>
            </w:r>
          </w:p>
        </w:tc>
        <w:tc>
          <w:tcPr>
            <w:tcW w:w="138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5"/>
              </w:rPr>
              <w:t>1,000</w:t>
            </w:r>
          </w:p>
        </w:tc>
        <w:tc>
          <w:tcPr>
            <w:tcW w:w="22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7"/>
        </w:trPr>
        <w:tc>
          <w:tcPr>
            <w:tcW w:w="3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rPr>
              <w:t>Ltd.</w:t>
            </w:r>
          </w:p>
        </w:tc>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Weatherford Artificial Lift Systems, LLC</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Membership Units</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Australia Pty Limited</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Weatherford Canada Ltd.</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Ordinary Shares</w:t>
            </w:r>
          </w:p>
        </w:tc>
        <w:tc>
          <w:tcPr>
            <w:tcW w:w="16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Weatherford Bermuda Holdings Ltd.</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Weatherford International Ltd.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14,000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3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Weatherford Canada Ltd.</w:t>
            </w:r>
          </w:p>
        </w:tc>
        <w:tc>
          <w:tcPr>
            <w:tcW w:w="254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0"/>
              </w:rPr>
              <w:t>Weatherford Holdings (Switzerland)</w:t>
            </w:r>
          </w:p>
        </w:tc>
        <w:tc>
          <w:tcPr>
            <w:tcW w:w="228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6"/>
              </w:rPr>
              <w:t>5,927,913</w:t>
            </w:r>
          </w:p>
        </w:tc>
        <w:tc>
          <w:tcPr>
            <w:tcW w:w="22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66"/>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GmbH</w:t>
            </w:r>
          </w:p>
        </w:tc>
        <w:tc>
          <w:tcPr>
            <w:tcW w:w="22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8"/>
              </w:rPr>
              <w:t>Class A Preferred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3,390,000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7"/>
        </w:trPr>
        <w:tc>
          <w:tcPr>
            <w:tcW w:w="3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8"/>
              </w:rPr>
              <w:t>Class B Preferred Stock</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3220" w:type="dxa"/>
            <w:vAlign w:val="bottom"/>
            <w:gridSpan w:val="2"/>
          </w:tcPr>
          <w:p>
            <w:pPr>
              <w:spacing w:after="0"/>
              <w:rPr>
                <w:sz w:val="20"/>
                <w:szCs w:val="20"/>
                <w:color w:val="auto"/>
              </w:rPr>
            </w:pPr>
            <w:r>
              <w:rPr>
                <w:rFonts w:ascii="Arial" w:cs="Arial" w:eastAsia="Arial" w:hAnsi="Arial"/>
                <w:sz w:val="14"/>
                <w:szCs w:val="14"/>
                <w:color w:val="auto"/>
              </w:rPr>
              <w:t>Weatherford Colombia Limited</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Weatherford Services, Ltd.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7,500</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DISC Inc.</w:t>
            </w:r>
          </w:p>
        </w:tc>
        <w:tc>
          <w:tcPr>
            <w:tcW w:w="25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265"/>
        </w:trPr>
        <w:tc>
          <w:tcPr>
            <w:tcW w:w="300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232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206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138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1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Drilling International (BVI) Ltd.</w:t>
            </w:r>
          </w:p>
        </w:tc>
        <w:tc>
          <w:tcPr>
            <w:tcW w:w="270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w w:val="92"/>
              </w:rPr>
              <w:t>Weatherford Drilling International</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9"/>
              </w:rPr>
              <w:t>Common Stock</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76"/>
              </w:rPr>
              <w:t>1</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00" w:type="dxa"/>
            <w:vAlign w:val="bottom"/>
            <w:shd w:val="clear" w:color="auto" w:fill="CCEEFF"/>
          </w:tcPr>
          <w:p>
            <w:pPr>
              <w:spacing w:after="0"/>
              <w:rPr>
                <w:sz w:val="15"/>
                <w:szCs w:val="15"/>
                <w:color w:val="auto"/>
              </w:rPr>
            </w:pP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5"/>
              </w:rPr>
              <w:t>Holdings (BVI) Ltd.</w:t>
            </w:r>
          </w:p>
        </w:tc>
        <w:tc>
          <w:tcPr>
            <w:tcW w:w="2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rPr>
              <w:t>Weatherford Drilling International Holdings (BVI)</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3"/>
              </w:rPr>
              <w:t>Sabre Drilling Ltd.</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9"/>
              </w:rPr>
              <w:t>Common Stock</w:t>
            </w:r>
          </w:p>
        </w:tc>
        <w:tc>
          <w:tcPr>
            <w:tcW w:w="176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8"/>
              </w:rPr>
              <w:t>5,359.7478</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Ltd.</w:t>
            </w:r>
          </w:p>
        </w:tc>
        <w:tc>
          <w:tcPr>
            <w:tcW w:w="27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Eurasia Limited</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89"/>
              </w:rPr>
              <w:t>Sunbreeze Limited</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8"/>
              </w:rPr>
              <w:t>Ordinary Shares</w:t>
            </w:r>
          </w:p>
        </w:tc>
        <w:tc>
          <w:tcPr>
            <w:tcW w:w="17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w w:val="97"/>
              </w:rPr>
              <w:t>Weatherford European Holdings (Luxembourg) S.à</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1"/>
              </w:rPr>
              <w:t>Weatherford International (Luxembourg)</w:t>
            </w:r>
          </w:p>
        </w:tc>
        <w:tc>
          <w:tcPr>
            <w:tcW w:w="214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7"/>
              </w:rPr>
              <w:t>Common Shares</w:t>
            </w:r>
          </w:p>
        </w:tc>
        <w:tc>
          <w:tcPr>
            <w:tcW w:w="176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6"/>
              </w:rPr>
              <w:t>1,308,755</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r.l.</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89"/>
              </w:rPr>
              <w:t>Holdings S.à r.l.</w:t>
            </w:r>
          </w:p>
        </w:tc>
        <w:tc>
          <w:tcPr>
            <w:tcW w:w="2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Global Services LLC</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88"/>
              </w:rPr>
              <w:t>Weatherford U.S., L.P.</w:t>
            </w:r>
          </w:p>
        </w:tc>
        <w:tc>
          <w:tcPr>
            <w:tcW w:w="21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9"/>
              </w:rPr>
              <w:t>Membership Interests</w:t>
            </w:r>
          </w:p>
        </w:tc>
        <w:tc>
          <w:tcPr>
            <w:tcW w:w="1760" w:type="dxa"/>
            <w:vAlign w:val="bottom"/>
            <w:shd w:val="clear" w:color="auto" w:fill="CCEEFF"/>
          </w:tcPr>
          <w:p>
            <w:pPr>
              <w:jc w:val="center"/>
              <w:ind w:right="131"/>
              <w:spacing w:after="0"/>
              <w:rPr>
                <w:sz w:val="20"/>
                <w:szCs w:val="20"/>
                <w:color w:val="auto"/>
              </w:rPr>
            </w:pPr>
            <w:r>
              <w:rPr>
                <w:rFonts w:ascii="Arial" w:cs="Arial" w:eastAsia="Arial" w:hAnsi="Arial"/>
                <w:sz w:val="14"/>
                <w:szCs w:val="14"/>
                <w:color w:val="auto"/>
                <w:w w:val="89"/>
              </w:rPr>
              <w:t>100%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rPr>
              <w:t>Weatherford Holdings (Bermuda) Ltd.</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0"/>
              </w:rPr>
              <w:t>Weatherford Holdings (Switzerland)</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9"/>
              </w:rPr>
              <w:t>Common Stock</w:t>
            </w:r>
          </w:p>
        </w:tc>
        <w:tc>
          <w:tcPr>
            <w:tcW w:w="176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9"/>
              </w:rPr>
              <w:t>10</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88"/>
              </w:rPr>
              <w:t>GmbH</w:t>
            </w:r>
          </w:p>
        </w:tc>
        <w:tc>
          <w:tcPr>
            <w:tcW w:w="2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Holdings (BVI) Ltd.</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1"/>
              </w:rPr>
              <w:t>Weatherford Bermuda Holdings Ltd.</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9"/>
              </w:rPr>
              <w:t>Common Stock</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5"/>
              </w:rPr>
              <w:t>3,421</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4"/>
                <w:szCs w:val="14"/>
                <w:color w:val="auto"/>
              </w:rPr>
              <w:t>Weatherford Holdings (Switzerland) GmbH</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1"/>
              </w:rPr>
              <w:t>Weatherford Worldwide Holdings GmbH</w:t>
            </w:r>
          </w:p>
        </w:tc>
        <w:tc>
          <w:tcPr>
            <w:tcW w:w="2140" w:type="dxa"/>
            <w:vAlign w:val="bottom"/>
          </w:tcPr>
          <w:p>
            <w:pPr>
              <w:jc w:val="center"/>
              <w:ind w:right="91"/>
              <w:spacing w:after="0"/>
              <w:rPr>
                <w:sz w:val="20"/>
                <w:szCs w:val="20"/>
                <w:color w:val="auto"/>
              </w:rPr>
            </w:pPr>
            <w:r>
              <w:rPr>
                <w:rFonts w:ascii="Arial" w:cs="Arial" w:eastAsia="Arial" w:hAnsi="Arial"/>
                <w:sz w:val="14"/>
                <w:szCs w:val="14"/>
                <w:color w:val="auto"/>
                <w:w w:val="84"/>
              </w:rPr>
              <w:t>Quotas</w:t>
            </w:r>
          </w:p>
        </w:tc>
        <w:tc>
          <w:tcPr>
            <w:tcW w:w="1760" w:type="dxa"/>
            <w:vAlign w:val="bottom"/>
          </w:tcPr>
          <w:p>
            <w:pPr>
              <w:jc w:val="center"/>
              <w:ind w:right="111"/>
              <w:spacing w:after="0"/>
              <w:rPr>
                <w:sz w:val="20"/>
                <w:szCs w:val="20"/>
                <w:color w:val="auto"/>
              </w:rPr>
            </w:pPr>
            <w:r>
              <w:rPr>
                <w:rFonts w:ascii="Arial" w:cs="Arial" w:eastAsia="Arial" w:hAnsi="Arial"/>
                <w:sz w:val="14"/>
                <w:szCs w:val="14"/>
                <w:color w:val="auto"/>
                <w:w w:val="94"/>
              </w:rPr>
              <w:t>200</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Weatherford International (Luxembourg) Holdings</w:t>
            </w:r>
          </w:p>
        </w:tc>
        <w:tc>
          <w:tcPr>
            <w:tcW w:w="2700" w:type="dxa"/>
            <w:vAlign w:val="bottom"/>
            <w:shd w:val="clear" w:color="auto" w:fill="CCEEFF"/>
          </w:tcPr>
          <w:p>
            <w:pPr>
              <w:jc w:val="center"/>
              <w:ind w:right="71"/>
              <w:spacing w:after="0" w:line="155" w:lineRule="exact"/>
              <w:rPr>
                <w:sz w:val="20"/>
                <w:szCs w:val="20"/>
                <w:color w:val="auto"/>
              </w:rPr>
            </w:pPr>
            <w:r>
              <w:rPr>
                <w:rFonts w:ascii="Arial" w:cs="Arial" w:eastAsia="Arial" w:hAnsi="Arial"/>
                <w:sz w:val="14"/>
                <w:szCs w:val="14"/>
                <w:color w:val="auto"/>
                <w:w w:val="91"/>
              </w:rPr>
              <w:t>Weatherford Bermuda Holdings Ltd.</w:t>
            </w:r>
          </w:p>
        </w:tc>
        <w:tc>
          <w:tcPr>
            <w:tcW w:w="2140" w:type="dxa"/>
            <w:vAlign w:val="bottom"/>
            <w:shd w:val="clear" w:color="auto" w:fill="CCEEFF"/>
          </w:tcPr>
          <w:p>
            <w:pPr>
              <w:jc w:val="center"/>
              <w:ind w:right="91"/>
              <w:spacing w:after="0" w:line="155" w:lineRule="exact"/>
              <w:rPr>
                <w:sz w:val="20"/>
                <w:szCs w:val="20"/>
                <w:color w:val="auto"/>
              </w:rPr>
            </w:pPr>
            <w:r>
              <w:rPr>
                <w:rFonts w:ascii="Arial" w:cs="Arial" w:eastAsia="Arial" w:hAnsi="Arial"/>
                <w:sz w:val="14"/>
                <w:szCs w:val="14"/>
                <w:color w:val="auto"/>
                <w:w w:val="91"/>
              </w:rPr>
              <w:t>Initial Shares</w:t>
            </w:r>
          </w:p>
        </w:tc>
        <w:tc>
          <w:tcPr>
            <w:tcW w:w="1760" w:type="dxa"/>
            <w:vAlign w:val="bottom"/>
            <w:shd w:val="clear" w:color="auto" w:fill="CCEEFF"/>
          </w:tcPr>
          <w:p>
            <w:pPr>
              <w:jc w:val="center"/>
              <w:ind w:right="111"/>
              <w:spacing w:after="0" w:line="155" w:lineRule="exact"/>
              <w:rPr>
                <w:sz w:val="20"/>
                <w:szCs w:val="20"/>
                <w:color w:val="auto"/>
              </w:rPr>
            </w:pPr>
            <w:r>
              <w:rPr>
                <w:rFonts w:ascii="Arial" w:cs="Arial" w:eastAsia="Arial" w:hAnsi="Arial"/>
                <w:sz w:val="14"/>
                <w:szCs w:val="14"/>
                <w:color w:val="auto"/>
                <w:w w:val="94"/>
              </w:rPr>
              <w:t>800</w:t>
            </w:r>
          </w:p>
        </w:tc>
        <w:tc>
          <w:tcPr>
            <w:tcW w:w="17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S.à r.l.</w:t>
            </w: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4"/>
              </w:rPr>
              <w:t>Class A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4"/>
              </w:rPr>
              <w:t>Class B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4"/>
              </w:rPr>
              <w:t>Class C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6"/>
              </w:rPr>
              <w:t>Class D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4"/>
              </w:rPr>
              <w:t>Class E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5"/>
              </w:rPr>
              <w:t>Class F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5"/>
              </w:rPr>
              <w:t>Class G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6"/>
              </w:rPr>
              <w:t>Class H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5"/>
              </w:rPr>
              <w:t>Class I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58,719</w:t>
            </w: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4"/>
                <w:szCs w:val="14"/>
                <w:color w:val="auto"/>
              </w:rPr>
              <w:t>Weatherford International Holding (Bermuda) Ltd.</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1"/>
              </w:rPr>
              <w:t>Weatherford Holdings (Bermuda) Ltd.</w:t>
            </w:r>
          </w:p>
        </w:tc>
        <w:tc>
          <w:tcPr>
            <w:tcW w:w="2140" w:type="dxa"/>
            <w:vAlign w:val="bottom"/>
          </w:tcPr>
          <w:p>
            <w:pPr>
              <w:jc w:val="center"/>
              <w:ind w:right="91"/>
              <w:spacing w:after="0"/>
              <w:rPr>
                <w:sz w:val="20"/>
                <w:szCs w:val="20"/>
                <w:color w:val="auto"/>
              </w:rPr>
            </w:pPr>
            <w:r>
              <w:rPr>
                <w:rFonts w:ascii="Arial" w:cs="Arial" w:eastAsia="Arial" w:hAnsi="Arial"/>
                <w:sz w:val="14"/>
                <w:szCs w:val="14"/>
                <w:color w:val="auto"/>
                <w:w w:val="89"/>
              </w:rPr>
              <w:t>Common Stock</w:t>
            </w:r>
          </w:p>
        </w:tc>
        <w:tc>
          <w:tcPr>
            <w:tcW w:w="1760" w:type="dxa"/>
            <w:vAlign w:val="bottom"/>
          </w:tcPr>
          <w:p>
            <w:pPr>
              <w:jc w:val="center"/>
              <w:ind w:right="111"/>
              <w:spacing w:after="0"/>
              <w:rPr>
                <w:sz w:val="20"/>
                <w:szCs w:val="20"/>
                <w:color w:val="auto"/>
              </w:rPr>
            </w:pPr>
            <w:r>
              <w:rPr>
                <w:rFonts w:ascii="Arial" w:cs="Arial" w:eastAsia="Arial" w:hAnsi="Arial"/>
                <w:sz w:val="14"/>
                <w:szCs w:val="14"/>
                <w:color w:val="auto"/>
                <w:w w:val="89"/>
              </w:rPr>
              <w:t>10</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Weatherford International Ltd.</w:t>
            </w:r>
          </w:p>
        </w:tc>
        <w:tc>
          <w:tcPr>
            <w:tcW w:w="2700" w:type="dxa"/>
            <w:vAlign w:val="bottom"/>
            <w:shd w:val="clear" w:color="auto" w:fill="CCEEFF"/>
          </w:tcPr>
          <w:p>
            <w:pPr>
              <w:jc w:val="center"/>
              <w:ind w:right="71"/>
              <w:spacing w:after="0" w:line="155" w:lineRule="exact"/>
              <w:rPr>
                <w:sz w:val="20"/>
                <w:szCs w:val="20"/>
                <w:color w:val="auto"/>
              </w:rPr>
            </w:pPr>
            <w:r>
              <w:rPr>
                <w:rFonts w:ascii="Arial" w:cs="Arial" w:eastAsia="Arial" w:hAnsi="Arial"/>
                <w:sz w:val="14"/>
                <w:szCs w:val="14"/>
                <w:color w:val="auto"/>
                <w:w w:val="91"/>
              </w:rPr>
              <w:t>Weatherford International Holding</w:t>
            </w:r>
          </w:p>
        </w:tc>
        <w:tc>
          <w:tcPr>
            <w:tcW w:w="2140" w:type="dxa"/>
            <w:vAlign w:val="bottom"/>
            <w:shd w:val="clear" w:color="auto" w:fill="CCEEFF"/>
          </w:tcPr>
          <w:p>
            <w:pPr>
              <w:jc w:val="center"/>
              <w:ind w:right="111"/>
              <w:spacing w:after="0" w:line="155" w:lineRule="exact"/>
              <w:rPr>
                <w:sz w:val="20"/>
                <w:szCs w:val="20"/>
                <w:color w:val="auto"/>
              </w:rPr>
            </w:pPr>
            <w:r>
              <w:rPr>
                <w:rFonts w:ascii="Arial" w:cs="Arial" w:eastAsia="Arial" w:hAnsi="Arial"/>
                <w:sz w:val="14"/>
                <w:szCs w:val="14"/>
                <w:color w:val="auto"/>
                <w:w w:val="87"/>
              </w:rPr>
              <w:t>Common Shares</w:t>
            </w:r>
          </w:p>
        </w:tc>
        <w:tc>
          <w:tcPr>
            <w:tcW w:w="1760" w:type="dxa"/>
            <w:vAlign w:val="bottom"/>
            <w:shd w:val="clear" w:color="auto" w:fill="CCEEFF"/>
          </w:tcPr>
          <w:p>
            <w:pPr>
              <w:jc w:val="center"/>
              <w:ind w:right="111"/>
              <w:spacing w:after="0" w:line="155" w:lineRule="exact"/>
              <w:rPr>
                <w:sz w:val="20"/>
                <w:szCs w:val="20"/>
                <w:color w:val="auto"/>
              </w:rPr>
            </w:pPr>
            <w:r>
              <w:rPr>
                <w:rFonts w:ascii="Arial" w:cs="Arial" w:eastAsia="Arial" w:hAnsi="Arial"/>
                <w:sz w:val="14"/>
                <w:szCs w:val="14"/>
                <w:color w:val="auto"/>
                <w:w w:val="89"/>
              </w:rPr>
              <w:t>481,001,513</w:t>
            </w:r>
          </w:p>
        </w:tc>
        <w:tc>
          <w:tcPr>
            <w:tcW w:w="17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100" w:type="dxa"/>
            <w:vAlign w:val="bottom"/>
            <w:shd w:val="clear" w:color="auto" w:fill="CCEEFF"/>
          </w:tcPr>
          <w:p>
            <w:pPr>
              <w:spacing w:after="0"/>
              <w:rPr>
                <w:sz w:val="15"/>
                <w:szCs w:val="15"/>
                <w:color w:val="auto"/>
              </w:rPr>
            </w:pPr>
          </w:p>
        </w:tc>
        <w:tc>
          <w:tcPr>
            <w:tcW w:w="270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w w:val="92"/>
              </w:rPr>
              <w:t>(Bermuda) Ltd.</w:t>
            </w:r>
          </w:p>
        </w:tc>
        <w:tc>
          <w:tcPr>
            <w:tcW w:w="2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rPr>
              <w:t>Weatherford International plc</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rPr>
              <w:t>N/A</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8"/>
              </w:rPr>
              <w:t>Deferred Ordinary Shares</w:t>
            </w:r>
          </w:p>
        </w:tc>
        <w:tc>
          <w:tcPr>
            <w:tcW w:w="1760" w:type="dxa"/>
            <w:vAlign w:val="bottom"/>
          </w:tcPr>
          <w:p>
            <w:pPr>
              <w:ind w:left="660"/>
              <w:spacing w:after="0" w:line="155" w:lineRule="exact"/>
              <w:rPr>
                <w:sz w:val="20"/>
                <w:szCs w:val="20"/>
                <w:color w:val="auto"/>
              </w:rPr>
            </w:pPr>
            <w:r>
              <w:rPr>
                <w:rFonts w:ascii="Arial" w:cs="Arial" w:eastAsia="Arial" w:hAnsi="Arial"/>
                <w:sz w:val="14"/>
                <w:szCs w:val="14"/>
                <w:color w:val="auto"/>
              </w:rPr>
              <w:t>N/A</w:t>
            </w:r>
          </w:p>
        </w:tc>
        <w:tc>
          <w:tcPr>
            <w:tcW w:w="1760" w:type="dxa"/>
            <w:vAlign w:val="bottom"/>
          </w:tcPr>
          <w:p>
            <w:pPr>
              <w:ind w:left="740"/>
              <w:spacing w:after="0" w:line="155"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140" w:type="dxa"/>
            <w:vAlign w:val="bottom"/>
          </w:tcPr>
          <w:p>
            <w:pPr>
              <w:jc w:val="center"/>
              <w:ind w:right="91"/>
              <w:spacing w:after="0"/>
              <w:rPr>
                <w:sz w:val="20"/>
                <w:szCs w:val="20"/>
                <w:color w:val="auto"/>
              </w:rPr>
            </w:pPr>
            <w:r>
              <w:rPr>
                <w:rFonts w:ascii="Arial" w:cs="Arial" w:eastAsia="Arial" w:hAnsi="Arial"/>
                <w:sz w:val="14"/>
                <w:szCs w:val="14"/>
                <w:color w:val="auto"/>
                <w:w w:val="89"/>
              </w:rPr>
              <w:t>Common Stock</w:t>
            </w: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International, LLC</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2"/>
              </w:rPr>
              <w:t>Weatherford U.S. Holdings, L.L.C.</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90"/>
              </w:rPr>
              <w:t>Membership Units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4"/>
              </w:rPr>
              <w:t>100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rPr>
              <w:t>Weatherford Investment Inc.</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0"/>
              </w:rPr>
              <w:t>Weatherford/Lamb, Inc.</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9"/>
              </w:rPr>
              <w:t>Common Stock</w:t>
            </w:r>
          </w:p>
        </w:tc>
        <w:tc>
          <w:tcPr>
            <w:tcW w:w="1760" w:type="dxa"/>
            <w:vAlign w:val="bottom"/>
          </w:tcPr>
          <w:p>
            <w:pPr>
              <w:jc w:val="center"/>
              <w:ind w:right="131"/>
              <w:spacing w:after="0" w:line="155" w:lineRule="exact"/>
              <w:rPr>
                <w:sz w:val="20"/>
                <w:szCs w:val="20"/>
                <w:color w:val="auto"/>
              </w:rPr>
            </w:pPr>
            <w:r>
              <w:rPr>
                <w:rFonts w:ascii="Arial" w:cs="Arial" w:eastAsia="Arial" w:hAnsi="Arial"/>
                <w:sz w:val="14"/>
                <w:szCs w:val="14"/>
                <w:color w:val="auto"/>
                <w:w w:val="88"/>
              </w:rPr>
              <w:t>1,855.66</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8"/>
              </w:rPr>
              <w:t>95.01%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2"/>
              </w:rPr>
              <w:t>Weatherford U.S. Holdings, L.L.C.</w:t>
            </w:r>
          </w:p>
        </w:tc>
        <w:tc>
          <w:tcPr>
            <w:tcW w:w="2140" w:type="dxa"/>
            <w:vAlign w:val="bottom"/>
          </w:tcPr>
          <w:p>
            <w:pPr>
              <w:spacing w:after="0"/>
              <w:rPr>
                <w:sz w:val="15"/>
                <w:szCs w:val="15"/>
                <w:color w:val="auto"/>
              </w:rPr>
            </w:pPr>
          </w:p>
        </w:tc>
        <w:tc>
          <w:tcPr>
            <w:tcW w:w="1760" w:type="dxa"/>
            <w:vAlign w:val="bottom"/>
          </w:tcPr>
          <w:p>
            <w:pPr>
              <w:jc w:val="center"/>
              <w:ind w:right="111"/>
              <w:spacing w:after="0"/>
              <w:rPr>
                <w:sz w:val="20"/>
                <w:szCs w:val="20"/>
                <w:color w:val="auto"/>
              </w:rPr>
            </w:pPr>
            <w:r>
              <w:rPr>
                <w:rFonts w:ascii="Arial" w:cs="Arial" w:eastAsia="Arial" w:hAnsi="Arial"/>
                <w:sz w:val="14"/>
                <w:szCs w:val="14"/>
                <w:color w:val="auto"/>
                <w:w w:val="85"/>
              </w:rPr>
              <w:t>97.43</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Irish Holdings Limited</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1"/>
              </w:rPr>
              <w:t>Weatherford International plc</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8"/>
              </w:rPr>
              <w:t>Ordinary Shares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76"/>
              </w:rPr>
              <w:t>2</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4"/>
                <w:szCs w:val="14"/>
                <w:color w:val="auto"/>
              </w:rPr>
              <w:t>Weatherford Latin America LLC</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0"/>
              </w:rPr>
              <w:t>Weatherford South America GmbH</w:t>
            </w:r>
          </w:p>
        </w:tc>
        <w:tc>
          <w:tcPr>
            <w:tcW w:w="2140" w:type="dxa"/>
            <w:vAlign w:val="bottom"/>
          </w:tcPr>
          <w:p>
            <w:pPr>
              <w:jc w:val="center"/>
              <w:ind w:right="111"/>
              <w:spacing w:after="0"/>
              <w:rPr>
                <w:sz w:val="20"/>
                <w:szCs w:val="20"/>
                <w:color w:val="auto"/>
              </w:rPr>
            </w:pPr>
            <w:r>
              <w:rPr>
                <w:rFonts w:ascii="Arial" w:cs="Arial" w:eastAsia="Arial" w:hAnsi="Arial"/>
                <w:sz w:val="14"/>
                <w:szCs w:val="14"/>
                <w:color w:val="auto"/>
                <w:w w:val="89"/>
              </w:rPr>
              <w:t>Membership Interests</w:t>
            </w:r>
          </w:p>
        </w:tc>
        <w:tc>
          <w:tcPr>
            <w:tcW w:w="1760" w:type="dxa"/>
            <w:vAlign w:val="bottom"/>
          </w:tcPr>
          <w:p>
            <w:pPr>
              <w:jc w:val="center"/>
              <w:ind w:right="131"/>
              <w:spacing w:after="0"/>
              <w:rPr>
                <w:sz w:val="20"/>
                <w:szCs w:val="20"/>
                <w:color w:val="auto"/>
              </w:rPr>
            </w:pPr>
            <w:r>
              <w:rPr>
                <w:rFonts w:ascii="Arial" w:cs="Arial" w:eastAsia="Arial" w:hAnsi="Arial"/>
                <w:sz w:val="14"/>
                <w:szCs w:val="14"/>
                <w:color w:val="auto"/>
                <w:w w:val="89"/>
              </w:rPr>
              <w:t>100%</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w w:val="92"/>
              </w:rPr>
              <w:t>Weatherford Management Company Switzerland Sàrl</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1"/>
              </w:rPr>
              <w:t>Weatherford International plc</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4"/>
              </w:rPr>
              <w:t>Quotas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4"/>
              </w:rPr>
              <w:t>200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4"/>
                <w:szCs w:val="14"/>
                <w:color w:val="auto"/>
              </w:rPr>
              <w:t>Weatherford Management, LLC</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1"/>
              </w:rPr>
              <w:t>Weatherford International, LLC</w:t>
            </w:r>
          </w:p>
        </w:tc>
        <w:tc>
          <w:tcPr>
            <w:tcW w:w="2140" w:type="dxa"/>
            <w:vAlign w:val="bottom"/>
          </w:tcPr>
          <w:p>
            <w:pPr>
              <w:jc w:val="center"/>
              <w:ind w:right="91"/>
              <w:spacing w:after="0"/>
              <w:rPr>
                <w:sz w:val="20"/>
                <w:szCs w:val="20"/>
                <w:color w:val="auto"/>
              </w:rPr>
            </w:pPr>
            <w:r>
              <w:rPr>
                <w:rFonts w:ascii="Arial" w:cs="Arial" w:eastAsia="Arial" w:hAnsi="Arial"/>
                <w:sz w:val="14"/>
                <w:szCs w:val="14"/>
                <w:color w:val="auto"/>
                <w:w w:val="90"/>
              </w:rPr>
              <w:t>Membership Units</w:t>
            </w:r>
          </w:p>
        </w:tc>
        <w:tc>
          <w:tcPr>
            <w:tcW w:w="1760" w:type="dxa"/>
            <w:vAlign w:val="bottom"/>
          </w:tcPr>
          <w:p>
            <w:pPr>
              <w:jc w:val="center"/>
              <w:ind w:right="111"/>
              <w:spacing w:after="0"/>
              <w:rPr>
                <w:sz w:val="20"/>
                <w:szCs w:val="20"/>
                <w:color w:val="auto"/>
              </w:rPr>
            </w:pPr>
            <w:r>
              <w:rPr>
                <w:rFonts w:ascii="Arial" w:cs="Arial" w:eastAsia="Arial" w:hAnsi="Arial"/>
                <w:sz w:val="14"/>
                <w:szCs w:val="14"/>
                <w:color w:val="auto"/>
                <w:w w:val="94"/>
              </w:rPr>
              <w:t>100</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Netherlands B.V.</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1"/>
              </w:rPr>
              <w:t>Weatherford Worldwide Holdings GmbH</w:t>
            </w:r>
          </w:p>
        </w:tc>
        <w:tc>
          <w:tcPr>
            <w:tcW w:w="21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6"/>
              </w:rPr>
              <w:t>Registered Shares</w:t>
            </w:r>
          </w:p>
        </w:tc>
        <w:tc>
          <w:tcPr>
            <w:tcW w:w="17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4"/>
                <w:szCs w:val="14"/>
                <w:color w:val="auto"/>
              </w:rPr>
              <w:t>Weatherford Norge AS</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1"/>
              </w:rPr>
              <w:t>Weatherford Worldwide Holdings GmbH</w:t>
            </w:r>
          </w:p>
        </w:tc>
        <w:tc>
          <w:tcPr>
            <w:tcW w:w="2140" w:type="dxa"/>
            <w:vAlign w:val="bottom"/>
          </w:tcPr>
          <w:p>
            <w:pPr>
              <w:jc w:val="center"/>
              <w:ind w:right="111"/>
              <w:spacing w:after="0"/>
              <w:rPr>
                <w:sz w:val="20"/>
                <w:szCs w:val="20"/>
                <w:color w:val="auto"/>
              </w:rPr>
            </w:pPr>
            <w:r>
              <w:rPr>
                <w:rFonts w:ascii="Arial" w:cs="Arial" w:eastAsia="Arial" w:hAnsi="Arial"/>
                <w:sz w:val="14"/>
                <w:szCs w:val="14"/>
                <w:color w:val="auto"/>
                <w:w w:val="86"/>
              </w:rPr>
              <w:t>Registered Shares</w:t>
            </w:r>
          </w:p>
        </w:tc>
        <w:tc>
          <w:tcPr>
            <w:tcW w:w="1760" w:type="dxa"/>
            <w:vAlign w:val="bottom"/>
          </w:tcPr>
          <w:p>
            <w:pPr>
              <w:ind w:left="660"/>
              <w:spacing w:after="0"/>
              <w:rPr>
                <w:sz w:val="20"/>
                <w:szCs w:val="20"/>
                <w:color w:val="auto"/>
              </w:rPr>
            </w:pPr>
            <w:r>
              <w:rPr>
                <w:rFonts w:ascii="Arial" w:cs="Arial" w:eastAsia="Arial" w:hAnsi="Arial"/>
                <w:sz w:val="14"/>
                <w:szCs w:val="14"/>
                <w:color w:val="auto"/>
              </w:rPr>
              <w:t>N/A</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Oil Tool Middle East Limited</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2"/>
              </w:rPr>
              <w:t>Weatherford Holdings (BVI) Ltd.</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9"/>
              </w:rPr>
              <w:t>Common Stock</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10,000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4"/>
                <w:szCs w:val="14"/>
                <w:color w:val="auto"/>
              </w:rPr>
              <w:t>Weatherford Pangaea Holdings Ltd.</w:t>
            </w: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91"/>
              </w:rPr>
              <w:t>Weatherford Worldwide Holdings GmbH</w:t>
            </w:r>
          </w:p>
        </w:tc>
        <w:tc>
          <w:tcPr>
            <w:tcW w:w="2140" w:type="dxa"/>
            <w:vAlign w:val="bottom"/>
          </w:tcPr>
          <w:p>
            <w:pPr>
              <w:jc w:val="center"/>
              <w:ind w:right="91"/>
              <w:spacing w:after="0"/>
              <w:rPr>
                <w:sz w:val="20"/>
                <w:szCs w:val="20"/>
                <w:color w:val="auto"/>
              </w:rPr>
            </w:pPr>
            <w:r>
              <w:rPr>
                <w:rFonts w:ascii="Arial" w:cs="Arial" w:eastAsia="Arial" w:hAnsi="Arial"/>
                <w:sz w:val="14"/>
                <w:szCs w:val="14"/>
                <w:color w:val="auto"/>
                <w:w w:val="89"/>
              </w:rPr>
              <w:t>Common Stock</w:t>
            </w:r>
          </w:p>
        </w:tc>
        <w:tc>
          <w:tcPr>
            <w:tcW w:w="1760" w:type="dxa"/>
            <w:vAlign w:val="bottom"/>
          </w:tcPr>
          <w:p>
            <w:pPr>
              <w:jc w:val="center"/>
              <w:ind w:right="111"/>
              <w:spacing w:after="0"/>
              <w:rPr>
                <w:sz w:val="20"/>
                <w:szCs w:val="20"/>
                <w:color w:val="auto"/>
              </w:rPr>
            </w:pPr>
            <w:r>
              <w:rPr>
                <w:rFonts w:ascii="Arial" w:cs="Arial" w:eastAsia="Arial" w:hAnsi="Arial"/>
                <w:sz w:val="14"/>
                <w:szCs w:val="14"/>
                <w:color w:val="auto"/>
                <w:w w:val="94"/>
              </w:rPr>
              <w:t>100</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Products GmbH</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1"/>
              </w:rPr>
              <w:t>Weatherford International plc</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4"/>
              </w:rPr>
              <w:t>Quotas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4"/>
              </w:rPr>
              <w:t>100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rPr>
              <w:t>Weatherford Services S. de R.L.</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2"/>
              </w:rPr>
              <w:t>Weatherford Worldwide Holding GmbH</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4"/>
              </w:rPr>
              <w:t>Quotas</w:t>
            </w:r>
          </w:p>
        </w:tc>
        <w:tc>
          <w:tcPr>
            <w:tcW w:w="176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8"/>
              </w:rPr>
              <w:t>49,999</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8"/>
              </w:rPr>
              <w:t>99.99%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700" w:type="dxa"/>
            <w:vAlign w:val="bottom"/>
          </w:tcPr>
          <w:p>
            <w:pPr>
              <w:jc w:val="center"/>
              <w:ind w:right="71"/>
              <w:spacing w:after="0"/>
              <w:rPr>
                <w:sz w:val="20"/>
                <w:szCs w:val="20"/>
                <w:color w:val="auto"/>
              </w:rPr>
            </w:pPr>
            <w:r>
              <w:rPr>
                <w:rFonts w:ascii="Arial" w:cs="Arial" w:eastAsia="Arial" w:hAnsi="Arial"/>
                <w:sz w:val="14"/>
                <w:szCs w:val="14"/>
                <w:color w:val="auto"/>
                <w:w w:val="89"/>
              </w:rPr>
              <w:t>Weatherford Services, Ltd.</w:t>
            </w:r>
          </w:p>
        </w:tc>
        <w:tc>
          <w:tcPr>
            <w:tcW w:w="2140" w:type="dxa"/>
            <w:vAlign w:val="bottom"/>
          </w:tcPr>
          <w:p>
            <w:pPr>
              <w:spacing w:after="0"/>
              <w:rPr>
                <w:sz w:val="15"/>
                <w:szCs w:val="15"/>
                <w:color w:val="auto"/>
              </w:rPr>
            </w:pPr>
          </w:p>
        </w:tc>
        <w:tc>
          <w:tcPr>
            <w:tcW w:w="1760" w:type="dxa"/>
            <w:vAlign w:val="bottom"/>
            <w:vMerge w:val="restart"/>
          </w:tcPr>
          <w:p>
            <w:pPr>
              <w:jc w:val="center"/>
              <w:ind w:right="111"/>
              <w:spacing w:after="0"/>
              <w:rPr>
                <w:sz w:val="20"/>
                <w:szCs w:val="20"/>
                <w:color w:val="auto"/>
              </w:rPr>
            </w:pPr>
            <w:r>
              <w:rPr>
                <w:rFonts w:ascii="Arial" w:cs="Arial" w:eastAsia="Arial" w:hAnsi="Arial"/>
                <w:sz w:val="14"/>
                <w:szCs w:val="14"/>
                <w:color w:val="auto"/>
                <w:w w:val="76"/>
              </w:rPr>
              <w:t>1</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0"/>
              </w:rPr>
              <w:t>0.01%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Services, Ltd.</w:t>
            </w:r>
          </w:p>
        </w:tc>
        <w:tc>
          <w:tcPr>
            <w:tcW w:w="2700" w:type="dxa"/>
            <w:vAlign w:val="bottom"/>
            <w:shd w:val="clear" w:color="auto" w:fill="CCEEFF"/>
          </w:tcPr>
          <w:p>
            <w:pPr>
              <w:jc w:val="center"/>
              <w:ind w:right="71"/>
              <w:spacing w:after="0" w:line="156" w:lineRule="exact"/>
              <w:rPr>
                <w:sz w:val="20"/>
                <w:szCs w:val="20"/>
                <w:color w:val="auto"/>
              </w:rPr>
            </w:pPr>
            <w:r>
              <w:rPr>
                <w:rFonts w:ascii="Arial" w:cs="Arial" w:eastAsia="Arial" w:hAnsi="Arial"/>
                <w:sz w:val="14"/>
                <w:szCs w:val="14"/>
                <w:color w:val="auto"/>
                <w:w w:val="92"/>
              </w:rPr>
              <w:t>Weatherford Holdings (BVI) Ltd.</w:t>
            </w:r>
          </w:p>
        </w:tc>
        <w:tc>
          <w:tcPr>
            <w:tcW w:w="2140" w:type="dxa"/>
            <w:vAlign w:val="bottom"/>
            <w:shd w:val="clear" w:color="auto" w:fill="CCEEFF"/>
          </w:tcPr>
          <w:p>
            <w:pPr>
              <w:jc w:val="center"/>
              <w:ind w:right="91"/>
              <w:spacing w:after="0" w:line="156" w:lineRule="exact"/>
              <w:rPr>
                <w:sz w:val="20"/>
                <w:szCs w:val="20"/>
                <w:color w:val="auto"/>
              </w:rPr>
            </w:pPr>
            <w:r>
              <w:rPr>
                <w:rFonts w:ascii="Arial" w:cs="Arial" w:eastAsia="Arial" w:hAnsi="Arial"/>
                <w:sz w:val="14"/>
                <w:szCs w:val="14"/>
                <w:color w:val="auto"/>
                <w:w w:val="89"/>
              </w:rPr>
              <w:t>Common Stock</w:t>
            </w:r>
          </w:p>
        </w:tc>
        <w:tc>
          <w:tcPr>
            <w:tcW w:w="1760" w:type="dxa"/>
            <w:vAlign w:val="bottom"/>
            <w:shd w:val="clear" w:color="auto" w:fill="CCEEFF"/>
          </w:tcPr>
          <w:p>
            <w:pPr>
              <w:jc w:val="center"/>
              <w:ind w:right="111"/>
              <w:spacing w:after="0" w:line="156" w:lineRule="exact"/>
              <w:rPr>
                <w:sz w:val="20"/>
                <w:szCs w:val="20"/>
                <w:color w:val="auto"/>
              </w:rPr>
            </w:pPr>
            <w:r>
              <w:rPr>
                <w:rFonts w:ascii="Arial" w:cs="Arial" w:eastAsia="Arial" w:hAnsi="Arial"/>
                <w:sz w:val="14"/>
                <w:szCs w:val="14"/>
                <w:color w:val="auto"/>
                <w:w w:val="88"/>
              </w:rPr>
              <w:t>12,000</w:t>
            </w:r>
          </w:p>
        </w:tc>
        <w:tc>
          <w:tcPr>
            <w:tcW w:w="17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8"/>
              </w:rPr>
              <w:t>Preferred Stock</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5"/>
              </w:rPr>
              <w:t>5,000</w:t>
            </w: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w w:val="96"/>
              </w:rPr>
              <w:t>Weatherford Switzerland Trading and Development</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1"/>
              </w:rPr>
              <w:t>Weatherford International plc</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4"/>
              </w:rPr>
              <w:t>Quotas</w:t>
            </w:r>
          </w:p>
        </w:tc>
        <w:tc>
          <w:tcPr>
            <w:tcW w:w="176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9"/>
              </w:rPr>
              <w:t>20</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GmbH</w:t>
            </w:r>
          </w:p>
        </w:tc>
        <w:tc>
          <w:tcPr>
            <w:tcW w:w="27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Weatherford Technology Holdings, LLC</w:t>
            </w:r>
          </w:p>
        </w:tc>
        <w:tc>
          <w:tcPr>
            <w:tcW w:w="27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0"/>
              </w:rPr>
              <w:t>Weatherford/Lamb, Inc.</w:t>
            </w:r>
          </w:p>
        </w:tc>
        <w:tc>
          <w:tcPr>
            <w:tcW w:w="214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90"/>
              </w:rPr>
              <w:t>Membership Units</w:t>
            </w:r>
          </w:p>
        </w:tc>
        <w:tc>
          <w:tcPr>
            <w:tcW w:w="176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4"/>
              </w:rPr>
              <w:t>100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Arial" w:cs="Arial" w:eastAsia="Arial" w:hAnsi="Arial"/>
                <w:sz w:val="14"/>
                <w:szCs w:val="14"/>
                <w:color w:val="auto"/>
              </w:rPr>
              <w:t>Weatherford U.K. Limited</w:t>
            </w:r>
          </w:p>
        </w:tc>
        <w:tc>
          <w:tcPr>
            <w:tcW w:w="2700" w:type="dxa"/>
            <w:vAlign w:val="bottom"/>
          </w:tcPr>
          <w:p>
            <w:pPr>
              <w:jc w:val="center"/>
              <w:ind w:right="71"/>
              <w:spacing w:after="0" w:line="155" w:lineRule="exact"/>
              <w:rPr>
                <w:sz w:val="20"/>
                <w:szCs w:val="20"/>
                <w:color w:val="auto"/>
              </w:rPr>
            </w:pPr>
            <w:r>
              <w:rPr>
                <w:rFonts w:ascii="Arial" w:cs="Arial" w:eastAsia="Arial" w:hAnsi="Arial"/>
                <w:sz w:val="14"/>
                <w:szCs w:val="14"/>
                <w:color w:val="auto"/>
                <w:w w:val="90"/>
              </w:rPr>
              <w:t>Weatherford Eurasia Limited</w:t>
            </w:r>
          </w:p>
        </w:tc>
        <w:tc>
          <w:tcPr>
            <w:tcW w:w="214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88"/>
              </w:rPr>
              <w:t>Ordinary Shares</w:t>
            </w:r>
          </w:p>
        </w:tc>
        <w:tc>
          <w:tcPr>
            <w:tcW w:w="1760" w:type="dxa"/>
            <w:vAlign w:val="bottom"/>
          </w:tcPr>
          <w:p>
            <w:pPr>
              <w:ind w:left="660"/>
              <w:spacing w:after="0" w:line="155" w:lineRule="exact"/>
              <w:rPr>
                <w:sz w:val="20"/>
                <w:szCs w:val="20"/>
                <w:color w:val="auto"/>
              </w:rPr>
            </w:pPr>
            <w:r>
              <w:rPr>
                <w:rFonts w:ascii="Arial" w:cs="Arial" w:eastAsia="Arial" w:hAnsi="Arial"/>
                <w:sz w:val="14"/>
                <w:szCs w:val="14"/>
                <w:color w:val="auto"/>
              </w:rPr>
              <w:t>N/A</w:t>
            </w:r>
          </w:p>
        </w:tc>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140" w:type="dxa"/>
            <w:vAlign w:val="bottom"/>
          </w:tcPr>
          <w:p>
            <w:pPr>
              <w:jc w:val="center"/>
              <w:ind w:right="111"/>
              <w:spacing w:after="0"/>
              <w:rPr>
                <w:sz w:val="20"/>
                <w:szCs w:val="20"/>
                <w:color w:val="auto"/>
              </w:rPr>
            </w:pPr>
            <w:r>
              <w:rPr>
                <w:rFonts w:ascii="Arial" w:cs="Arial" w:eastAsia="Arial" w:hAnsi="Arial"/>
                <w:sz w:val="14"/>
                <w:szCs w:val="14"/>
                <w:color w:val="auto"/>
                <w:w w:val="85"/>
              </w:rPr>
              <w:t>Preference Shares</w:t>
            </w: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100" w:type="dxa"/>
            <w:vAlign w:val="bottom"/>
            <w:tcBorders>
              <w:bottom w:val="single" w:sz="8" w:color="808080"/>
            </w:tcBorders>
          </w:tcPr>
          <w:p>
            <w:pPr>
              <w:spacing w:after="0"/>
              <w:rPr>
                <w:sz w:val="23"/>
                <w:szCs w:val="23"/>
                <w:color w:val="auto"/>
              </w:rPr>
            </w:pPr>
          </w:p>
        </w:tc>
        <w:tc>
          <w:tcPr>
            <w:tcW w:w="2700" w:type="dxa"/>
            <w:vAlign w:val="bottom"/>
            <w:tcBorders>
              <w:bottom w:val="single" w:sz="8" w:color="808080"/>
            </w:tcBorders>
          </w:tcPr>
          <w:p>
            <w:pPr>
              <w:spacing w:after="0"/>
              <w:rPr>
                <w:sz w:val="23"/>
                <w:szCs w:val="23"/>
                <w:color w:val="auto"/>
              </w:rPr>
            </w:pPr>
          </w:p>
        </w:tc>
        <w:tc>
          <w:tcPr>
            <w:tcW w:w="214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300" w:right="17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6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Weatherford U.S., L.P.</w:t>
            </w:r>
          </w:p>
        </w:tc>
        <w:tc>
          <w:tcPr>
            <w:tcW w:w="31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2"/>
              </w:rPr>
              <w:t>Weatherford U.S. Holdings, L.L.C.</w:t>
            </w:r>
          </w:p>
        </w:tc>
        <w:tc>
          <w:tcPr>
            <w:tcW w:w="2040" w:type="dxa"/>
            <w:vAlign w:val="bottom"/>
            <w:shd w:val="clear" w:color="auto" w:fill="CCEEFF"/>
          </w:tcPr>
          <w:p>
            <w:pPr>
              <w:jc w:val="center"/>
              <w:ind w:right="131"/>
              <w:spacing w:after="0"/>
              <w:rPr>
                <w:sz w:val="20"/>
                <w:szCs w:val="20"/>
                <w:color w:val="auto"/>
              </w:rPr>
            </w:pPr>
            <w:r>
              <w:rPr>
                <w:rFonts w:ascii="Arial" w:cs="Arial" w:eastAsia="Arial" w:hAnsi="Arial"/>
                <w:sz w:val="14"/>
                <w:szCs w:val="14"/>
                <w:color w:val="auto"/>
                <w:w w:val="90"/>
              </w:rPr>
              <w:t>Class A Units</w:t>
            </w:r>
          </w:p>
        </w:tc>
        <w:tc>
          <w:tcPr>
            <w:tcW w:w="182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76"/>
              </w:rPr>
              <w:t>1</w:t>
            </w:r>
          </w:p>
        </w:tc>
        <w:tc>
          <w:tcPr>
            <w:tcW w:w="1740" w:type="dxa"/>
            <w:vAlign w:val="bottom"/>
            <w:shd w:val="clear" w:color="auto" w:fill="CCEEFF"/>
          </w:tcPr>
          <w:p>
            <w:pPr>
              <w:jc w:val="center"/>
              <w:ind w:right="11"/>
              <w:spacing w:after="0"/>
              <w:rPr>
                <w:sz w:val="20"/>
                <w:szCs w:val="20"/>
                <w:color w:val="auto"/>
              </w:rPr>
            </w:pPr>
            <w:r>
              <w:rPr>
                <w:rFonts w:ascii="Arial" w:cs="Arial" w:eastAsia="Arial" w:hAnsi="Arial"/>
                <w:sz w:val="14"/>
                <w:szCs w:val="14"/>
                <w:color w:val="auto"/>
                <w:w w:val="92"/>
              </w:rPr>
              <w:t>99%</w:t>
            </w:r>
          </w:p>
        </w:tc>
        <w:tc>
          <w:tcPr>
            <w:tcW w:w="40" w:type="dxa"/>
            <w:vAlign w:val="bottom"/>
          </w:tcPr>
          <w:p>
            <w:pPr>
              <w:spacing w:after="0"/>
              <w:rPr>
                <w:sz w:val="14"/>
                <w:szCs w:val="14"/>
                <w:color w:val="auto"/>
              </w:rPr>
            </w:pPr>
          </w:p>
        </w:tc>
      </w:tr>
      <w:tr>
        <w:trPr>
          <w:trHeight w:val="177"/>
        </w:trPr>
        <w:tc>
          <w:tcPr>
            <w:tcW w:w="2760" w:type="dxa"/>
            <w:vAlign w:val="bottom"/>
            <w:shd w:val="clear" w:color="auto" w:fill="CCEEFF"/>
          </w:tcPr>
          <w:p>
            <w:pPr>
              <w:spacing w:after="0"/>
              <w:rPr>
                <w:sz w:val="15"/>
                <w:szCs w:val="15"/>
                <w:color w:val="auto"/>
              </w:rPr>
            </w:pPr>
          </w:p>
        </w:tc>
        <w:tc>
          <w:tcPr>
            <w:tcW w:w="31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5"/>
              </w:rPr>
              <w:t>WUS Holding, L.L.C.</w:t>
            </w:r>
          </w:p>
        </w:tc>
        <w:tc>
          <w:tcPr>
            <w:tcW w:w="2040" w:type="dxa"/>
            <w:vAlign w:val="bottom"/>
            <w:shd w:val="clear" w:color="auto" w:fill="CCEEFF"/>
          </w:tcPr>
          <w:p>
            <w:pPr>
              <w:jc w:val="center"/>
              <w:ind w:right="131"/>
              <w:spacing w:after="0"/>
              <w:rPr>
                <w:sz w:val="20"/>
                <w:szCs w:val="20"/>
                <w:color w:val="auto"/>
              </w:rPr>
            </w:pPr>
            <w:r>
              <w:rPr>
                <w:rFonts w:ascii="Arial" w:cs="Arial" w:eastAsia="Arial" w:hAnsi="Arial"/>
                <w:sz w:val="14"/>
                <w:szCs w:val="14"/>
                <w:color w:val="auto"/>
                <w:w w:val="90"/>
              </w:rPr>
              <w:t>Class B Units</w:t>
            </w:r>
          </w:p>
        </w:tc>
        <w:tc>
          <w:tcPr>
            <w:tcW w:w="1820" w:type="dxa"/>
            <w:vAlign w:val="bottom"/>
            <w:shd w:val="clear" w:color="auto" w:fill="CCEEFF"/>
          </w:tcPr>
          <w:p>
            <w:pPr>
              <w:spacing w:after="0"/>
              <w:rPr>
                <w:sz w:val="15"/>
                <w:szCs w:val="15"/>
                <w:color w:val="auto"/>
              </w:rPr>
            </w:pPr>
          </w:p>
        </w:tc>
        <w:tc>
          <w:tcPr>
            <w:tcW w:w="1740" w:type="dxa"/>
            <w:vAlign w:val="bottom"/>
            <w:shd w:val="clear" w:color="auto" w:fill="CCEEFF"/>
          </w:tcPr>
          <w:p>
            <w:pPr>
              <w:jc w:val="center"/>
              <w:ind w:right="11"/>
              <w:spacing w:after="0"/>
              <w:rPr>
                <w:sz w:val="20"/>
                <w:szCs w:val="20"/>
                <w:color w:val="auto"/>
              </w:rPr>
            </w:pPr>
            <w:r>
              <w:rPr>
                <w:rFonts w:ascii="Arial" w:cs="Arial" w:eastAsia="Arial" w:hAnsi="Arial"/>
                <w:sz w:val="14"/>
                <w:szCs w:val="14"/>
                <w:color w:val="auto"/>
                <w:w w:val="88"/>
              </w:rPr>
              <w:t>1%</w:t>
            </w:r>
          </w:p>
        </w:tc>
        <w:tc>
          <w:tcPr>
            <w:tcW w:w="40" w:type="dxa"/>
            <w:vAlign w:val="bottom"/>
          </w:tcPr>
          <w:p>
            <w:pPr>
              <w:spacing w:after="0"/>
              <w:rPr>
                <w:sz w:val="15"/>
                <w:szCs w:val="15"/>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color w:val="auto"/>
              </w:rPr>
              <w:t>Weatherford URS Holdings, LLC</w:t>
            </w:r>
          </w:p>
        </w:tc>
        <w:tc>
          <w:tcPr>
            <w:tcW w:w="3100" w:type="dxa"/>
            <w:vAlign w:val="bottom"/>
          </w:tcPr>
          <w:p>
            <w:pPr>
              <w:jc w:val="center"/>
              <w:ind w:left="71"/>
              <w:spacing w:after="0"/>
              <w:rPr>
                <w:sz w:val="20"/>
                <w:szCs w:val="20"/>
                <w:color w:val="auto"/>
              </w:rPr>
            </w:pPr>
            <w:r>
              <w:rPr>
                <w:rFonts w:ascii="Arial" w:cs="Arial" w:eastAsia="Arial" w:hAnsi="Arial"/>
                <w:sz w:val="14"/>
                <w:szCs w:val="14"/>
                <w:color w:val="auto"/>
                <w:w w:val="92"/>
              </w:rPr>
              <w:t>Weatherford U.S. Holdings, L.L.C.</w:t>
            </w:r>
          </w:p>
        </w:tc>
        <w:tc>
          <w:tcPr>
            <w:tcW w:w="2040" w:type="dxa"/>
            <w:vAlign w:val="bottom"/>
          </w:tcPr>
          <w:p>
            <w:pPr>
              <w:jc w:val="center"/>
              <w:ind w:right="111"/>
              <w:spacing w:after="0"/>
              <w:rPr>
                <w:sz w:val="20"/>
                <w:szCs w:val="20"/>
                <w:color w:val="auto"/>
              </w:rPr>
            </w:pPr>
            <w:r>
              <w:rPr>
                <w:rFonts w:ascii="Arial" w:cs="Arial" w:eastAsia="Arial" w:hAnsi="Arial"/>
                <w:sz w:val="14"/>
                <w:szCs w:val="14"/>
                <w:color w:val="auto"/>
                <w:w w:val="90"/>
              </w:rPr>
              <w:t>Membership Units</w:t>
            </w:r>
          </w:p>
        </w:tc>
        <w:tc>
          <w:tcPr>
            <w:tcW w:w="1820" w:type="dxa"/>
            <w:vAlign w:val="bottom"/>
          </w:tcPr>
          <w:p>
            <w:pPr>
              <w:jc w:val="center"/>
              <w:ind w:right="91"/>
              <w:spacing w:after="0"/>
              <w:rPr>
                <w:sz w:val="20"/>
                <w:szCs w:val="20"/>
                <w:color w:val="auto"/>
              </w:rPr>
            </w:pPr>
            <w:r>
              <w:rPr>
                <w:rFonts w:ascii="Arial" w:cs="Arial" w:eastAsia="Arial" w:hAnsi="Arial"/>
                <w:sz w:val="14"/>
                <w:szCs w:val="14"/>
                <w:color w:val="auto"/>
                <w:w w:val="89"/>
              </w:rPr>
              <w:t>10</w:t>
            </w:r>
          </w:p>
        </w:tc>
        <w:tc>
          <w:tcPr>
            <w:tcW w:w="174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Weatherford Worldwide Holdings GmbH</w:t>
            </w:r>
          </w:p>
        </w:tc>
        <w:tc>
          <w:tcPr>
            <w:tcW w:w="31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1"/>
              </w:rPr>
              <w:t>Weatherford International plc</w:t>
            </w:r>
          </w:p>
        </w:tc>
        <w:tc>
          <w:tcPr>
            <w:tcW w:w="20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4"/>
              </w:rPr>
              <w:t>Quotas</w:t>
            </w:r>
          </w:p>
        </w:tc>
        <w:tc>
          <w:tcPr>
            <w:tcW w:w="182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9"/>
              </w:rPr>
              <w:t>21</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color w:val="auto"/>
              </w:rPr>
              <w:t>Weatherford/Lamb, Inc.</w:t>
            </w:r>
          </w:p>
        </w:tc>
        <w:tc>
          <w:tcPr>
            <w:tcW w:w="3100" w:type="dxa"/>
            <w:vAlign w:val="bottom"/>
          </w:tcPr>
          <w:p>
            <w:pPr>
              <w:jc w:val="center"/>
              <w:ind w:left="71"/>
              <w:spacing w:after="0"/>
              <w:rPr>
                <w:sz w:val="20"/>
                <w:szCs w:val="20"/>
                <w:color w:val="auto"/>
              </w:rPr>
            </w:pPr>
            <w:r>
              <w:rPr>
                <w:rFonts w:ascii="Arial" w:cs="Arial" w:eastAsia="Arial" w:hAnsi="Arial"/>
                <w:sz w:val="14"/>
                <w:szCs w:val="14"/>
                <w:color w:val="auto"/>
                <w:w w:val="94"/>
              </w:rPr>
              <w:t>WEUS Holding, LLC</w:t>
            </w:r>
          </w:p>
        </w:tc>
        <w:tc>
          <w:tcPr>
            <w:tcW w:w="2040" w:type="dxa"/>
            <w:vAlign w:val="bottom"/>
          </w:tcPr>
          <w:p>
            <w:pPr>
              <w:jc w:val="center"/>
              <w:ind w:right="111"/>
              <w:spacing w:after="0"/>
              <w:rPr>
                <w:sz w:val="20"/>
                <w:szCs w:val="20"/>
                <w:color w:val="auto"/>
              </w:rPr>
            </w:pPr>
            <w:r>
              <w:rPr>
                <w:rFonts w:ascii="Arial" w:cs="Arial" w:eastAsia="Arial" w:hAnsi="Arial"/>
                <w:sz w:val="14"/>
                <w:szCs w:val="14"/>
                <w:color w:val="auto"/>
                <w:w w:val="89"/>
              </w:rPr>
              <w:t>Common Stock</w:t>
            </w:r>
          </w:p>
        </w:tc>
        <w:tc>
          <w:tcPr>
            <w:tcW w:w="1820" w:type="dxa"/>
            <w:vAlign w:val="bottom"/>
          </w:tcPr>
          <w:p>
            <w:pPr>
              <w:jc w:val="center"/>
              <w:ind w:right="91"/>
              <w:spacing w:after="0"/>
              <w:rPr>
                <w:sz w:val="20"/>
                <w:szCs w:val="20"/>
                <w:color w:val="auto"/>
              </w:rPr>
            </w:pPr>
            <w:r>
              <w:rPr>
                <w:rFonts w:ascii="Arial" w:cs="Arial" w:eastAsia="Arial" w:hAnsi="Arial"/>
                <w:sz w:val="14"/>
                <w:szCs w:val="14"/>
                <w:color w:val="auto"/>
                <w:w w:val="90"/>
              </w:rPr>
              <w:t>184,522</w:t>
            </w:r>
          </w:p>
        </w:tc>
        <w:tc>
          <w:tcPr>
            <w:tcW w:w="174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WEUS Holding, LLC</w:t>
            </w:r>
          </w:p>
        </w:tc>
        <w:tc>
          <w:tcPr>
            <w:tcW w:w="31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1"/>
              </w:rPr>
              <w:t>Weatherford International, LLC</w:t>
            </w:r>
          </w:p>
        </w:tc>
        <w:tc>
          <w:tcPr>
            <w:tcW w:w="20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0"/>
              </w:rPr>
              <w:t>Membership Units</w:t>
            </w:r>
          </w:p>
        </w:tc>
        <w:tc>
          <w:tcPr>
            <w:tcW w:w="182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94"/>
              </w:rPr>
              <w:t>100</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color w:val="auto"/>
              </w:rPr>
              <w:t>WIHBV LLC</w:t>
            </w:r>
          </w:p>
        </w:tc>
        <w:tc>
          <w:tcPr>
            <w:tcW w:w="3100" w:type="dxa"/>
            <w:vAlign w:val="bottom"/>
          </w:tcPr>
          <w:p>
            <w:pPr>
              <w:jc w:val="center"/>
              <w:ind w:left="71"/>
              <w:spacing w:after="0"/>
              <w:rPr>
                <w:sz w:val="20"/>
                <w:szCs w:val="20"/>
                <w:color w:val="auto"/>
              </w:rPr>
            </w:pPr>
            <w:r>
              <w:rPr>
                <w:rFonts w:ascii="Arial" w:cs="Arial" w:eastAsia="Arial" w:hAnsi="Arial"/>
                <w:sz w:val="14"/>
                <w:szCs w:val="14"/>
                <w:color w:val="auto"/>
                <w:w w:val="90"/>
              </w:rPr>
              <w:t>Weatherford/Lamb, Inc.</w:t>
            </w:r>
          </w:p>
        </w:tc>
        <w:tc>
          <w:tcPr>
            <w:tcW w:w="2040" w:type="dxa"/>
            <w:vAlign w:val="bottom"/>
          </w:tcPr>
          <w:p>
            <w:pPr>
              <w:jc w:val="center"/>
              <w:ind w:right="131"/>
              <w:spacing w:after="0"/>
              <w:rPr>
                <w:sz w:val="20"/>
                <w:szCs w:val="20"/>
                <w:color w:val="auto"/>
              </w:rPr>
            </w:pPr>
            <w:r>
              <w:rPr>
                <w:rFonts w:ascii="Arial" w:cs="Arial" w:eastAsia="Arial" w:hAnsi="Arial"/>
                <w:sz w:val="14"/>
                <w:szCs w:val="14"/>
                <w:color w:val="auto"/>
                <w:w w:val="89"/>
              </w:rPr>
              <w:t>Membership Interests</w:t>
            </w:r>
          </w:p>
        </w:tc>
        <w:tc>
          <w:tcPr>
            <w:tcW w:w="1820" w:type="dxa"/>
            <w:vAlign w:val="bottom"/>
          </w:tcPr>
          <w:p>
            <w:pPr>
              <w:jc w:val="center"/>
              <w:ind w:right="111"/>
              <w:spacing w:after="0"/>
              <w:rPr>
                <w:sz w:val="20"/>
                <w:szCs w:val="20"/>
                <w:color w:val="auto"/>
              </w:rPr>
            </w:pPr>
            <w:r>
              <w:rPr>
                <w:rFonts w:ascii="Arial" w:cs="Arial" w:eastAsia="Arial" w:hAnsi="Arial"/>
                <w:sz w:val="14"/>
                <w:szCs w:val="14"/>
                <w:color w:val="auto"/>
                <w:w w:val="89"/>
              </w:rPr>
              <w:t>100%</w:t>
            </w:r>
          </w:p>
        </w:tc>
        <w:tc>
          <w:tcPr>
            <w:tcW w:w="174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WOFS Assurance Limited</w:t>
            </w:r>
          </w:p>
        </w:tc>
        <w:tc>
          <w:tcPr>
            <w:tcW w:w="31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1"/>
              </w:rPr>
              <w:t>Weatherford Worldwide Holdings GmbH</w:t>
            </w:r>
          </w:p>
        </w:tc>
        <w:tc>
          <w:tcPr>
            <w:tcW w:w="20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9"/>
              </w:rPr>
              <w:t>Common Stock</w:t>
            </w:r>
          </w:p>
        </w:tc>
        <w:tc>
          <w:tcPr>
            <w:tcW w:w="182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88"/>
              </w:rPr>
              <w:t>12,000,000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r>
      <w:tr>
        <w:trPr>
          <w:trHeight w:val="155"/>
        </w:trPr>
        <w:tc>
          <w:tcPr>
            <w:tcW w:w="2760" w:type="dxa"/>
            <w:vAlign w:val="bottom"/>
          </w:tcPr>
          <w:p>
            <w:pPr>
              <w:spacing w:after="0" w:line="155" w:lineRule="exact"/>
              <w:rPr>
                <w:sz w:val="20"/>
                <w:szCs w:val="20"/>
                <w:color w:val="auto"/>
              </w:rPr>
            </w:pPr>
            <w:r>
              <w:rPr>
                <w:rFonts w:ascii="Arial" w:cs="Arial" w:eastAsia="Arial" w:hAnsi="Arial"/>
                <w:sz w:val="14"/>
                <w:szCs w:val="14"/>
                <w:color w:val="auto"/>
              </w:rPr>
              <w:t>WOFS International Finance GmbH</w:t>
            </w:r>
          </w:p>
        </w:tc>
        <w:tc>
          <w:tcPr>
            <w:tcW w:w="3100" w:type="dxa"/>
            <w:vAlign w:val="bottom"/>
          </w:tcPr>
          <w:p>
            <w:pPr>
              <w:jc w:val="center"/>
              <w:ind w:left="71"/>
              <w:spacing w:after="0" w:line="155" w:lineRule="exact"/>
              <w:rPr>
                <w:sz w:val="20"/>
                <w:szCs w:val="20"/>
                <w:color w:val="auto"/>
              </w:rPr>
            </w:pPr>
            <w:r>
              <w:rPr>
                <w:rFonts w:ascii="Arial" w:cs="Arial" w:eastAsia="Arial" w:hAnsi="Arial"/>
                <w:sz w:val="14"/>
                <w:szCs w:val="14"/>
                <w:color w:val="auto"/>
                <w:w w:val="90"/>
              </w:rPr>
              <w:t>Weatherford Holdings (Switzerland)</w:t>
            </w:r>
          </w:p>
        </w:tc>
        <w:tc>
          <w:tcPr>
            <w:tcW w:w="2040" w:type="dxa"/>
            <w:vAlign w:val="bottom"/>
          </w:tcPr>
          <w:p>
            <w:pPr>
              <w:jc w:val="center"/>
              <w:ind w:right="111"/>
              <w:spacing w:after="0" w:line="155" w:lineRule="exact"/>
              <w:rPr>
                <w:sz w:val="20"/>
                <w:szCs w:val="20"/>
                <w:color w:val="auto"/>
              </w:rPr>
            </w:pPr>
            <w:r>
              <w:rPr>
                <w:rFonts w:ascii="Arial" w:cs="Arial" w:eastAsia="Arial" w:hAnsi="Arial"/>
                <w:sz w:val="14"/>
                <w:szCs w:val="14"/>
                <w:color w:val="auto"/>
                <w:w w:val="84"/>
              </w:rPr>
              <w:t>Quotas</w:t>
            </w:r>
          </w:p>
        </w:tc>
        <w:tc>
          <w:tcPr>
            <w:tcW w:w="1820" w:type="dxa"/>
            <w:vAlign w:val="bottom"/>
          </w:tcPr>
          <w:p>
            <w:pPr>
              <w:jc w:val="center"/>
              <w:ind w:right="91"/>
              <w:spacing w:after="0" w:line="155" w:lineRule="exact"/>
              <w:rPr>
                <w:sz w:val="20"/>
                <w:szCs w:val="20"/>
                <w:color w:val="auto"/>
              </w:rPr>
            </w:pPr>
            <w:r>
              <w:rPr>
                <w:rFonts w:ascii="Arial" w:cs="Arial" w:eastAsia="Arial" w:hAnsi="Arial"/>
                <w:sz w:val="14"/>
                <w:szCs w:val="14"/>
                <w:color w:val="auto"/>
                <w:w w:val="94"/>
              </w:rPr>
              <w:t>200</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6"/>
        </w:trPr>
        <w:tc>
          <w:tcPr>
            <w:tcW w:w="2760" w:type="dxa"/>
            <w:vAlign w:val="bottom"/>
          </w:tcPr>
          <w:p>
            <w:pPr>
              <w:spacing w:after="0"/>
              <w:rPr>
                <w:sz w:val="15"/>
                <w:szCs w:val="15"/>
                <w:color w:val="auto"/>
              </w:rPr>
            </w:pPr>
          </w:p>
        </w:tc>
        <w:tc>
          <w:tcPr>
            <w:tcW w:w="3100" w:type="dxa"/>
            <w:vAlign w:val="bottom"/>
          </w:tcPr>
          <w:p>
            <w:pPr>
              <w:jc w:val="center"/>
              <w:ind w:left="71"/>
              <w:spacing w:after="0"/>
              <w:rPr>
                <w:sz w:val="20"/>
                <w:szCs w:val="20"/>
                <w:color w:val="auto"/>
              </w:rPr>
            </w:pPr>
            <w:r>
              <w:rPr>
                <w:rFonts w:ascii="Arial" w:cs="Arial" w:eastAsia="Arial" w:hAnsi="Arial"/>
                <w:sz w:val="14"/>
                <w:szCs w:val="14"/>
                <w:color w:val="auto"/>
                <w:w w:val="88"/>
              </w:rPr>
              <w:t>GmbH</w:t>
            </w:r>
          </w:p>
        </w:tc>
        <w:tc>
          <w:tcPr>
            <w:tcW w:w="2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27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WOFS Swiss Finance GmbH</w:t>
            </w:r>
          </w:p>
        </w:tc>
        <w:tc>
          <w:tcPr>
            <w:tcW w:w="3100" w:type="dxa"/>
            <w:vAlign w:val="bottom"/>
            <w:shd w:val="clear" w:color="auto" w:fill="CCEEFF"/>
          </w:tcPr>
          <w:p>
            <w:pPr>
              <w:jc w:val="center"/>
              <w:ind w:left="71"/>
              <w:spacing w:after="0" w:line="156" w:lineRule="exact"/>
              <w:rPr>
                <w:sz w:val="20"/>
                <w:szCs w:val="20"/>
                <w:color w:val="auto"/>
              </w:rPr>
            </w:pPr>
            <w:r>
              <w:rPr>
                <w:rFonts w:ascii="Arial" w:cs="Arial" w:eastAsia="Arial" w:hAnsi="Arial"/>
                <w:sz w:val="14"/>
                <w:szCs w:val="14"/>
                <w:color w:val="auto"/>
                <w:w w:val="91"/>
              </w:rPr>
              <w:t>Weatherford Worldwide Holdings GmbH</w:t>
            </w:r>
          </w:p>
        </w:tc>
        <w:tc>
          <w:tcPr>
            <w:tcW w:w="2040" w:type="dxa"/>
            <w:vAlign w:val="bottom"/>
            <w:shd w:val="clear" w:color="auto" w:fill="CCEEFF"/>
          </w:tcPr>
          <w:p>
            <w:pPr>
              <w:jc w:val="center"/>
              <w:ind w:right="111"/>
              <w:spacing w:after="0" w:line="156" w:lineRule="exact"/>
              <w:rPr>
                <w:sz w:val="20"/>
                <w:szCs w:val="20"/>
                <w:color w:val="auto"/>
              </w:rPr>
            </w:pPr>
            <w:r>
              <w:rPr>
                <w:rFonts w:ascii="Arial" w:cs="Arial" w:eastAsia="Arial" w:hAnsi="Arial"/>
                <w:sz w:val="14"/>
                <w:szCs w:val="14"/>
                <w:color w:val="auto"/>
                <w:w w:val="88"/>
              </w:rPr>
              <w:t>Class A Quotas</w:t>
            </w:r>
          </w:p>
        </w:tc>
        <w:tc>
          <w:tcPr>
            <w:tcW w:w="1820" w:type="dxa"/>
            <w:vAlign w:val="bottom"/>
            <w:shd w:val="clear" w:color="auto" w:fill="CCEEFF"/>
          </w:tcPr>
          <w:p>
            <w:pPr>
              <w:jc w:val="center"/>
              <w:ind w:right="91"/>
              <w:spacing w:after="0" w:line="156" w:lineRule="exact"/>
              <w:rPr>
                <w:sz w:val="20"/>
                <w:szCs w:val="20"/>
                <w:color w:val="auto"/>
              </w:rPr>
            </w:pPr>
            <w:r>
              <w:rPr>
                <w:rFonts w:ascii="Arial" w:cs="Arial" w:eastAsia="Arial" w:hAnsi="Arial"/>
                <w:sz w:val="14"/>
                <w:szCs w:val="14"/>
                <w:color w:val="auto"/>
                <w:w w:val="94"/>
              </w:rPr>
              <w:t>298</w:t>
            </w:r>
          </w:p>
        </w:tc>
        <w:tc>
          <w:tcPr>
            <w:tcW w:w="17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r>
      <w:tr>
        <w:trPr>
          <w:trHeight w:val="177"/>
        </w:trPr>
        <w:tc>
          <w:tcPr>
            <w:tcW w:w="276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8"/>
              </w:rPr>
              <w:t>Class B Quotas</w:t>
            </w:r>
          </w:p>
        </w:tc>
        <w:tc>
          <w:tcPr>
            <w:tcW w:w="182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94"/>
              </w:rPr>
              <w:t>287</w:t>
            </w:r>
          </w:p>
        </w:tc>
        <w:tc>
          <w:tcPr>
            <w:tcW w:w="1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760" w:type="dxa"/>
            <w:vAlign w:val="bottom"/>
          </w:tcPr>
          <w:p>
            <w:pPr>
              <w:spacing w:after="0"/>
              <w:rPr>
                <w:sz w:val="20"/>
                <w:szCs w:val="20"/>
                <w:color w:val="auto"/>
              </w:rPr>
            </w:pPr>
            <w:r>
              <w:rPr>
                <w:rFonts w:ascii="Arial" w:cs="Arial" w:eastAsia="Arial" w:hAnsi="Arial"/>
                <w:sz w:val="14"/>
                <w:szCs w:val="14"/>
                <w:color w:val="auto"/>
              </w:rPr>
              <w:t>WUS Holding, L.L.C.</w:t>
            </w:r>
          </w:p>
        </w:tc>
        <w:tc>
          <w:tcPr>
            <w:tcW w:w="3100" w:type="dxa"/>
            <w:vAlign w:val="bottom"/>
          </w:tcPr>
          <w:p>
            <w:pPr>
              <w:jc w:val="center"/>
              <w:ind w:left="71"/>
              <w:spacing w:after="0"/>
              <w:rPr>
                <w:sz w:val="20"/>
                <w:szCs w:val="20"/>
                <w:color w:val="auto"/>
              </w:rPr>
            </w:pPr>
            <w:r>
              <w:rPr>
                <w:rFonts w:ascii="Arial" w:cs="Arial" w:eastAsia="Arial" w:hAnsi="Arial"/>
                <w:sz w:val="14"/>
                <w:szCs w:val="14"/>
                <w:color w:val="auto"/>
                <w:w w:val="94"/>
              </w:rPr>
              <w:t>WEUS Holding, LLC</w:t>
            </w:r>
          </w:p>
        </w:tc>
        <w:tc>
          <w:tcPr>
            <w:tcW w:w="2040" w:type="dxa"/>
            <w:vAlign w:val="bottom"/>
          </w:tcPr>
          <w:p>
            <w:pPr>
              <w:jc w:val="center"/>
              <w:ind w:right="131"/>
              <w:spacing w:after="0"/>
              <w:rPr>
                <w:sz w:val="20"/>
                <w:szCs w:val="20"/>
                <w:color w:val="auto"/>
              </w:rPr>
            </w:pPr>
            <w:r>
              <w:rPr>
                <w:rFonts w:ascii="Arial" w:cs="Arial" w:eastAsia="Arial" w:hAnsi="Arial"/>
                <w:sz w:val="14"/>
                <w:szCs w:val="14"/>
                <w:color w:val="auto"/>
                <w:w w:val="89"/>
              </w:rPr>
              <w:t>Membership Interests</w:t>
            </w:r>
          </w:p>
        </w:tc>
        <w:tc>
          <w:tcPr>
            <w:tcW w:w="1820" w:type="dxa"/>
            <w:vAlign w:val="bottom"/>
          </w:tcPr>
          <w:p>
            <w:pPr>
              <w:jc w:val="center"/>
              <w:ind w:right="91"/>
              <w:spacing w:after="0"/>
              <w:rPr>
                <w:sz w:val="20"/>
                <w:szCs w:val="20"/>
                <w:color w:val="auto"/>
              </w:rPr>
            </w:pPr>
            <w:r>
              <w:rPr>
                <w:rFonts w:ascii="Arial" w:cs="Arial" w:eastAsia="Arial" w:hAnsi="Arial"/>
                <w:sz w:val="14"/>
                <w:szCs w:val="14"/>
                <w:color w:val="auto"/>
                <w:w w:val="94"/>
              </w:rPr>
              <w:t>100</w:t>
            </w:r>
          </w:p>
        </w:tc>
        <w:tc>
          <w:tcPr>
            <w:tcW w:w="174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5"/>
                <w:szCs w:val="15"/>
                <w:color w:val="auto"/>
              </w:rPr>
            </w:pPr>
          </w:p>
        </w:tc>
      </w:tr>
      <w:tr>
        <w:trPr>
          <w:trHeight w:val="256"/>
        </w:trPr>
        <w:tc>
          <w:tcPr>
            <w:tcW w:w="2760" w:type="dxa"/>
            <w:vAlign w:val="bottom"/>
            <w:tcBorders>
              <w:bottom w:val="single" w:sz="8" w:color="808080"/>
            </w:tcBorders>
          </w:tcPr>
          <w:p>
            <w:pPr>
              <w:spacing w:after="0"/>
              <w:rPr>
                <w:sz w:val="22"/>
                <w:szCs w:val="22"/>
                <w:color w:val="auto"/>
              </w:rPr>
            </w:pPr>
          </w:p>
        </w:tc>
        <w:tc>
          <w:tcPr>
            <w:tcW w:w="3100" w:type="dxa"/>
            <w:vAlign w:val="bottom"/>
            <w:tcBorders>
              <w:bottom w:val="single" w:sz="8" w:color="808080"/>
            </w:tcBorders>
          </w:tcPr>
          <w:p>
            <w:pPr>
              <w:spacing w:after="0"/>
              <w:rPr>
                <w:sz w:val="22"/>
                <w:szCs w:val="22"/>
                <w:color w:val="auto"/>
              </w:rPr>
            </w:pPr>
          </w:p>
        </w:tc>
        <w:tc>
          <w:tcPr>
            <w:tcW w:w="2040" w:type="dxa"/>
            <w:vAlign w:val="bottom"/>
            <w:tcBorders>
              <w:bottom w:val="single" w:sz="8" w:color="808080"/>
            </w:tcBorders>
          </w:tcPr>
          <w:p>
            <w:pPr>
              <w:spacing w:after="0"/>
              <w:rPr>
                <w:sz w:val="22"/>
                <w:szCs w:val="22"/>
                <w:color w:val="auto"/>
              </w:rPr>
            </w:pPr>
          </w:p>
        </w:tc>
        <w:tc>
          <w:tcPr>
            <w:tcW w:w="1820" w:type="dxa"/>
            <w:vAlign w:val="bottom"/>
            <w:tcBorders>
              <w:bottom w:val="single" w:sz="8" w:color="808080"/>
            </w:tcBorders>
          </w:tcPr>
          <w:p>
            <w:pPr>
              <w:spacing w:after="0"/>
              <w:rPr>
                <w:sz w:val="22"/>
                <w:szCs w:val="22"/>
                <w:color w:val="auto"/>
              </w:rPr>
            </w:pPr>
          </w:p>
        </w:tc>
        <w:tc>
          <w:tcPr>
            <w:tcW w:w="1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sectPr>
      <w:pgSz w:w="11900" w:h="16838" w:orient="portrait"/>
      <w:cols w:equalWidth="0" w:num="1">
        <w:col w:w="11500"/>
      </w:cols>
      <w:pgMar w:left="220" w:top="300"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1)"/>
      <w:numFmt w:val="decimal"/>
      <w:start w:val="1"/>
    </w:lvl>
  </w:abstractNum>
  <w:abstractNum w:abstractNumId="5">
    <w:nsid w:val="B37E80A"/>
    <w:multiLevelType w:val="hybridMultilevel"/>
    <w:lvl w:ilvl="0">
      <w:lvlJc w:val="left"/>
      <w:lvlText w:val="%1."/>
      <w:numFmt w:val="decimal"/>
      <w:start w:val="1"/>
    </w:lvl>
  </w:abstractNum>
  <w:abstractNum w:abstractNumId="6">
    <w:nsid w:val="2157F6BC"/>
    <w:multiLevelType w:val="hybridMultilevel"/>
    <w:lvl w:ilvl="0">
      <w:lvlJc w:val="left"/>
      <w:lvlText w:val="(%1)"/>
      <w:numFmt w:val="decimal"/>
      <w:start w:val="1"/>
    </w:lvl>
  </w:abstractNum>
  <w:abstractNum w:abstractNumId="7">
    <w:nsid w:val="704E1DD5"/>
    <w:multiLevelType w:val="hybridMultilevel"/>
    <w:lvl w:ilvl="0">
      <w:lvlJc w:val="left"/>
      <w:lvlText w:val="%1."/>
      <w:numFmt w:val="decimal"/>
      <w:start w:val="1"/>
    </w:lvl>
  </w:abstractNum>
  <w:abstractNum w:abstractNumId="8">
    <w:nsid w:val="57D2F10E"/>
    <w:multiLevelType w:val="hybridMultilevel"/>
    <w:lvl w:ilvl="0">
      <w:lvlJc w:val="left"/>
      <w:lvlText w:val="%1."/>
      <w:numFmt w:val="decimal"/>
      <w:start w:val="1"/>
    </w:lvl>
  </w:abstractNum>
  <w:abstractNum w:abstractNumId="9">
    <w:nsid w:val="BFFAE18"/>
    <w:multiLevelType w:val="hybridMultilevel"/>
    <w:lvl w:ilvl="0">
      <w:lvlJc w:val="left"/>
      <w:lvlText w:val="%1."/>
      <w:numFmt w:val="decimal"/>
      <w:start w:val="6"/>
    </w:lvl>
  </w:abstractNum>
  <w:abstractNum w:abstractNumId="10">
    <w:nsid w:val="E3E47A8"/>
    <w:multiLevelType w:val="hybridMultilevel"/>
    <w:lvl w:ilvl="0">
      <w:lvlJc w:val="left"/>
      <w:lvlText w:val="(%1)"/>
      <w:numFmt w:val="decimal"/>
      <w:start w:val="1"/>
    </w:lvl>
  </w:abstractNum>
  <w:abstractNum w:abstractNumId="11">
    <w:nsid w:val="2E48F044"/>
    <w:multiLevelType w:val="hybridMultilevel"/>
    <w:lvl w:ilvl="0">
      <w:lvlJc w:val="left"/>
      <w:lvlText w:val="(%1)"/>
      <w:numFmt w:val="decimal"/>
      <w:start w:val="4"/>
    </w:lvl>
  </w:abstractNum>
  <w:abstractNum w:abstractNumId="12">
    <w:nsid w:val="49D0FEAC"/>
    <w:multiLevelType w:val="hybridMultilevel"/>
    <w:lvl w:ilvl="0">
      <w:lvlJc w:val="left"/>
      <w:lvlText w:val="(%1)"/>
      <w:numFmt w:val="decimal"/>
      <w:start w:val="1"/>
    </w:lvl>
    <w:lvl w:ilvl="1">
      <w:lvlJc w:val="left"/>
      <w:lvlText w:val="(%2)"/>
      <w:numFmt w:val="lowerLetter"/>
      <w:start w:val="1"/>
    </w:lvl>
  </w:abstractNum>
  <w:abstractNum w:abstractNumId="13">
    <w:nsid w:val="4BEE5A5B"/>
    <w:multiLevelType w:val="hybridMultilevel"/>
    <w:lvl w:ilvl="0">
      <w:lvlJc w:val="left"/>
      <w:lvlText w:val="(%1)"/>
      <w:numFmt w:val="decimal"/>
      <w:start w:val="1"/>
    </w:lvl>
  </w:abstractNum>
  <w:abstractNum w:abstractNumId="14">
    <w:nsid w:val="5551B9F3"/>
    <w:multiLevelType w:val="hybridMultilevel"/>
    <w:lvl w:ilvl="0">
      <w:lvlJc w:val="left"/>
      <w:lvlText w:val="(%1)"/>
      <w:numFmt w:val="decimal"/>
      <w:start w:val="1"/>
    </w:lvl>
  </w:abstractNum>
  <w:abstractNum w:abstractNumId="15">
    <w:nsid w:val="24F6AB8E"/>
    <w:multiLevelType w:val="hybridMultilevel"/>
    <w:lvl w:ilvl="0">
      <w:lvlJc w:val="left"/>
      <w:lvlText w:val="(%1)"/>
      <w:numFmt w:val="decimal"/>
      <w:start w:val="3"/>
    </w:lvl>
  </w:abstractNum>
  <w:abstractNum w:abstractNumId="16">
    <w:nsid w:val="634C574C"/>
    <w:multiLevelType w:val="hybridMultilevel"/>
    <w:lvl w:ilvl="0">
      <w:lvlJc w:val="left"/>
      <w:lvlText w:val="(%1)"/>
      <w:numFmt w:val="decimal"/>
      <w:start w:val="1"/>
    </w:lvl>
  </w:abstractNum>
  <w:abstractNum w:abstractNumId="17">
    <w:nsid w:val="24E99DD7"/>
    <w:multiLevelType w:val="hybridMultilevel"/>
    <w:lvl w:ilvl="0">
      <w:lvlJc w:val="left"/>
      <w:lvlText w:val="(%1)"/>
      <w:numFmt w:val="decimal"/>
      <w:start w:val="1"/>
    </w:lvl>
  </w:abstractNum>
  <w:abstractNum w:abstractNumId="18">
    <w:nsid w:val="2A31B62D"/>
    <w:multiLevelType w:val="hybridMultilevel"/>
    <w:lvl w:ilvl="0">
      <w:lvlJc w:val="left"/>
      <w:lvlText w:val="(%1)"/>
      <w:numFmt w:val="decimal"/>
      <w:start w:val="3"/>
    </w:lvl>
  </w:abstractNum>
  <w:abstractNum w:abstractNumId="19">
    <w:nsid w:val="1849C29B"/>
    <w:multiLevelType w:val="hybridMultilevel"/>
    <w:lvl w:ilvl="0">
      <w:lvlJc w:val="left"/>
      <w:lvlText w:val="(%1)"/>
      <w:numFmt w:val="decimal"/>
      <w:start w:val="1"/>
    </w:lvl>
  </w:abstractNum>
  <w:abstractNum w:abstractNumId="20">
    <w:nsid w:val="7DFF9D09"/>
    <w:multiLevelType w:val="hybridMultilevel"/>
    <w:lvl w:ilvl="0">
      <w:lvlJc w:val="left"/>
      <w:lvlText w:val="(%1)"/>
      <w:numFmt w:val="decimal"/>
      <w:start w:val="2"/>
    </w:lvl>
  </w:abstractNum>
  <w:abstractNum w:abstractNumId="21">
    <w:nsid w:val="754342"/>
    <w:multiLevelType w:val="hybridMultilevel"/>
    <w:lvl w:ilvl="0">
      <w:lvlJc w:val="left"/>
      <w:lvlText w:val="(%1)"/>
      <w:numFmt w:val="decimal"/>
      <w:start w:val="5"/>
    </w:lvl>
  </w:abstractNum>
  <w:abstractNum w:abstractNumId="22">
    <w:nsid w:val="69E7F3E5"/>
    <w:multiLevelType w:val="hybridMultilevel"/>
    <w:lvl w:ilvl="0">
      <w:lvlJc w:val="left"/>
      <w:lvlText w:val="(%1)"/>
      <w:numFmt w:val="decimal"/>
      <w:start w:val="1"/>
    </w:lvl>
  </w:abstractNum>
  <w:abstractNum w:abstractNumId="23">
    <w:nsid w:val="2A6DE806"/>
    <w:multiLevelType w:val="hybridMultilevel"/>
    <w:lvl w:ilvl="0">
      <w:lvlJc w:val="left"/>
      <w:lvlText w:val="(%1)"/>
      <w:numFmt w:val="decimal"/>
      <w:start w:val="1"/>
    </w:lvl>
  </w:abstractNum>
  <w:abstractNum w:abstractNumId="24">
    <w:nsid w:val="1816F8C4"/>
    <w:multiLevelType w:val="hybridMultilevel"/>
    <w:lvl w:ilvl="0">
      <w:lvlJc w:val="left"/>
      <w:lvlText w:val="(%1)"/>
      <w:numFmt w:val="decimal"/>
      <w:start w:val="3"/>
    </w:lvl>
  </w:abstractNum>
  <w:abstractNum w:abstractNumId="25">
    <w:nsid w:val="37DF2233"/>
    <w:multiLevelType w:val="hybridMultilevel"/>
    <w:lvl w:ilvl="0">
      <w:lvlJc w:val="left"/>
      <w:lvlText w:val="(%1)"/>
      <w:numFmt w:val="decimal"/>
      <w:start w:val="1"/>
    </w:lvl>
  </w:abstractNum>
  <w:abstractNum w:abstractNumId="26">
    <w:nsid w:val="7AB49DAF"/>
    <w:multiLevelType w:val="hybridMultilevel"/>
    <w:lvl w:ilvl="0">
      <w:lvlJc w:val="left"/>
      <w:lvlText w:val="%1"/>
      <w:numFmt w:val="decimal"/>
      <w:start w:val="1"/>
    </w:lvl>
    <w:lvl w:ilvl="1">
      <w:lvlJc w:val="left"/>
      <w:lvlText w:val="(%2)"/>
      <w:numFmt w:val="decimal"/>
      <w:start w:val="1"/>
    </w:lvl>
  </w:abstractNum>
  <w:abstractNum w:abstractNumId="27">
    <w:nsid w:val="759F82CD"/>
    <w:multiLevelType w:val="hybridMultilevel"/>
    <w:lvl w:ilvl="0">
      <w:lvlJc w:val="left"/>
      <w:lvlText w:val="(%1)"/>
      <w:numFmt w:val="decimal"/>
      <w:start w:val="4"/>
    </w:lvl>
    <w:lvl w:ilvl="1">
      <w:lvlJc w:val="left"/>
      <w:lvlText w:val="%2"/>
      <w:numFmt w:val="decimal"/>
      <w:start w:val="1"/>
    </w:lvl>
  </w:abstractNum>
  <w:abstractNum w:abstractNumId="28">
    <w:nsid w:val="61E74EA3"/>
    <w:multiLevelType w:val="hybridMultilevel"/>
    <w:lvl w:ilvl="0">
      <w:lvlJc w:val="left"/>
      <w:lvlText w:val="(%1)"/>
      <w:numFmt w:val="decimal"/>
      <w:start w:val="1"/>
    </w:lvl>
  </w:abstractNum>
  <w:abstractNum w:abstractNumId="29">
    <w:nsid w:val="597B4D84"/>
    <w:multiLevelType w:val="hybridMultilevel"/>
    <w:lvl w:ilvl="0">
      <w:lvlJc w:val="left"/>
      <w:lvlText w:val="(%1)"/>
      <w:numFmt w:val="decimal"/>
      <w:start w:val="8"/>
    </w:lvl>
  </w:abstractNum>
  <w:abstractNum w:abstractNumId="30">
    <w:nsid w:val="F819E7F"/>
    <w:multiLevelType w:val="hybridMultilevel"/>
    <w:lvl w:ilvl="0">
      <w:lvlJc w:val="left"/>
      <w:lvlText w:val="(%1)"/>
      <w:numFmt w:val="decimal"/>
      <w:start w:val="20"/>
    </w:lvl>
  </w:abstractNum>
  <w:abstractNum w:abstractNumId="31">
    <w:nsid w:val="57C7D42D"/>
    <w:multiLevelType w:val="hybridMultilevel"/>
    <w:lvl w:ilvl="0">
      <w:lvlJc w:val="left"/>
      <w:lvlText w:val="(%1)"/>
      <w:numFmt w:val="lowerRoman"/>
      <w:start w:val="12"/>
    </w:lvl>
  </w:abstractNum>
  <w:abstractNum w:abstractNumId="32">
    <w:nsid w:val="312167AD"/>
    <w:multiLevelType w:val="hybridMultilevel"/>
    <w:lvl w:ilvl="0">
      <w:lvlJc w:val="left"/>
      <w:lvlText w:val="(%1)"/>
      <w:numFmt w:val="decimal"/>
      <w:start w:val="4"/>
    </w:lvl>
  </w:abstractNum>
  <w:abstractNum w:abstractNumId="33">
    <w:nsid w:val="631B64D4"/>
    <w:multiLevelType w:val="hybridMultilevel"/>
    <w:lvl w:ilvl="0">
      <w:lvlJc w:val="left"/>
      <w:lvlText w:val="(%1)"/>
      <w:numFmt w:val="lowerLetter"/>
      <w:start w:val="1"/>
    </w:lvl>
  </w:abstractNum>
  <w:abstractNum w:abstractNumId="34">
    <w:nsid w:val="78B5E776"/>
    <w:multiLevelType w:val="hybridMultilevel"/>
    <w:lvl w:ilvl="0">
      <w:lvlJc w:val="left"/>
      <w:lvlText w:val="(%1)"/>
      <w:numFmt w:val="lowerLetter"/>
      <w:start w:val="3"/>
    </w:lvl>
  </w:abstractNum>
  <w:abstractNum w:abstractNumId="35">
    <w:nsid w:val="75486E47"/>
    <w:multiLevelType w:val="hybridMultilevel"/>
    <w:lvl w:ilvl="0">
      <w:lvlJc w:val="left"/>
      <w:lvlText w:val="(%1)"/>
      <w:numFmt w:val="lowerLetter"/>
      <w:start w:val="24"/>
    </w:lvl>
  </w:abstractNum>
  <w:abstractNum w:abstractNumId="36">
    <w:nsid w:val="6E534CDE"/>
    <w:multiLevelType w:val="hybridMultilevel"/>
    <w:lvl w:ilvl="0">
      <w:lvlJc w:val="left"/>
      <w:lvlText w:val="(%1)"/>
      <w:numFmt w:val="decimal"/>
      <w:start w:val="1"/>
    </w:lvl>
  </w:abstractNum>
  <w:abstractNum w:abstractNumId="37">
    <w:nsid w:val="1A0DDE32"/>
    <w:multiLevelType w:val="hybridMultilevel"/>
    <w:lvl w:ilvl="0">
      <w:lvlJc w:val="left"/>
      <w:lvlText w:val="(%1)"/>
      <w:numFmt w:val="decimal"/>
      <w:start w:val="3"/>
    </w:lvl>
  </w:abstractNum>
  <w:abstractNum w:abstractNumId="38">
    <w:nsid w:val="65968C1C"/>
    <w:multiLevelType w:val="hybridMultilevel"/>
    <w:lvl w:ilvl="0">
      <w:lvlJc w:val="left"/>
      <w:lvlText w:val="(%1)"/>
      <w:numFmt w:val="decimal"/>
      <w:start w:val="1"/>
    </w:lvl>
    <w:lvl w:ilvl="1">
      <w:lvlJc w:val="left"/>
      <w:lvlText w:val="(%2)"/>
      <w:numFmt w:val="lowerLetter"/>
      <w:start w:val="1"/>
    </w:lvl>
  </w:abstractNum>
  <w:abstractNum w:abstractNumId="39">
    <w:nsid w:val="46263DEC"/>
    <w:multiLevelType w:val="hybridMultilevel"/>
    <w:lvl w:ilvl="0">
      <w:lvlJc w:val="left"/>
      <w:lvlText w:val="(%1)"/>
      <w:numFmt w:val="decimal"/>
      <w:start w:val="1"/>
    </w:lvl>
  </w:abstractNum>
  <w:abstractNum w:abstractNumId="40">
    <w:nsid w:val="260D8C4A"/>
    <w:multiLevelType w:val="hybridMultilevel"/>
    <w:lvl w:ilvl="0">
      <w:lvlJc w:val="left"/>
      <w:lvlText w:val="(%1)"/>
      <w:numFmt w:val="decimal"/>
      <w:start w:val="2"/>
    </w:lvl>
  </w:abstractNum>
  <w:abstractNum w:abstractNumId="41">
    <w:nsid w:val="73D4D3C4"/>
    <w:multiLevelType w:val="hybridMultilevel"/>
    <w:lvl w:ilvl="0">
      <w:lvlJc w:val="left"/>
      <w:lvlText w:val="(%1)"/>
      <w:numFmt w:val="decimal"/>
      <w:start w:val="1"/>
    </w:lvl>
  </w:abstractNum>
  <w:abstractNum w:abstractNumId="42">
    <w:nsid w:val="746F2E30"/>
    <w:multiLevelType w:val="hybridMultilevel"/>
    <w:lvl w:ilvl="0">
      <w:lvlJc w:val="left"/>
      <w:lvlText w:val="(%1)"/>
      <w:numFmt w:val="decimal"/>
      <w:start w:val="1"/>
    </w:lvl>
  </w:abstractNum>
  <w:abstractNum w:abstractNumId="43">
    <w:nsid w:val="6FDE8AF6"/>
    <w:multiLevelType w:val="hybridMultilevel"/>
    <w:lvl w:ilvl="0">
      <w:lvlJc w:val="left"/>
      <w:lvlText w:val="(%1)"/>
      <w:numFmt w:val="decimal"/>
      <w:start w:val="4"/>
    </w:lvl>
  </w:abstractNum>
  <w:abstractNum w:abstractNumId="44">
    <w:nsid w:val="3FC32E20"/>
    <w:multiLevelType w:val="hybridMultilevel"/>
    <w:lvl w:ilvl="0">
      <w:lvlJc w:val="left"/>
      <w:lvlText w:val="(%1)"/>
      <w:numFmt w:val="decimal"/>
      <w:start w:val="1"/>
    </w:lvl>
  </w:abstractNum>
  <w:abstractNum w:abstractNumId="45">
    <w:nsid w:val="49C0E823"/>
    <w:multiLevelType w:val="hybridMultilevel"/>
    <w:lvl w:ilvl="0">
      <w:lvlJc w:val="left"/>
      <w:lvlText w:val="(%1)"/>
      <w:numFmt w:val="decimal"/>
      <w:start w:val="6"/>
    </w:lvl>
  </w:abstractNum>
  <w:abstractNum w:abstractNumId="46">
    <w:nsid w:val="14D53685"/>
    <w:multiLevelType w:val="hybridMultilevel"/>
    <w:lvl w:ilvl="0">
      <w:lvlJc w:val="left"/>
      <w:lvlText w:val="(%1)"/>
      <w:numFmt w:val="decimal"/>
      <w:start w:val="1"/>
    </w:lvl>
  </w:abstractNum>
  <w:abstractNum w:abstractNumId="47">
    <w:nsid w:val="230F856C"/>
    <w:multiLevelType w:val="hybridMultilevel"/>
    <w:lvl w:ilvl="0">
      <w:lvlJc w:val="left"/>
      <w:lvlText w:val="(%1)"/>
      <w:numFmt w:val="decimal"/>
      <w:start w:val="2"/>
    </w:lvl>
  </w:abstractNum>
  <w:abstractNum w:abstractNumId="48">
    <w:nsid w:val="6EAA85FB"/>
    <w:multiLevelType w:val="hybridMultilevel"/>
    <w:lvl w:ilvl="0">
      <w:lvlJc w:val="left"/>
      <w:lvlText w:val="(%1)"/>
      <w:numFmt w:val="lowerRoman"/>
      <w:start w:val="1"/>
    </w:lvl>
  </w:abstractNum>
  <w:abstractNum w:abstractNumId="49">
    <w:nsid w:val="3F06ECB2"/>
    <w:multiLevelType w:val="hybridMultilevel"/>
    <w:lvl w:ilvl="0">
      <w:lvlJc w:val="left"/>
      <w:lvlText w:val="(%1)"/>
      <w:numFmt w:val="lowerRoman"/>
      <w:start w:val="1"/>
    </w:lvl>
    <w:lvl w:ilvl="1">
      <w:lvlJc w:val="left"/>
      <w:lvlText w:val="(%2)"/>
      <w:numFmt w:val="upperLetter"/>
      <w:start w:val="1"/>
    </w:lvl>
  </w:abstractNum>
  <w:abstractNum w:abstractNumId="50">
    <w:nsid w:val="3B594807"/>
    <w:multiLevelType w:val="hybridMultilevel"/>
    <w:lvl w:ilvl="0">
      <w:lvlJc w:val="left"/>
      <w:lvlText w:val="(%1)"/>
      <w:numFmt w:val="lowerLetter"/>
      <w:start w:val="1"/>
    </w:lvl>
  </w:abstractNum>
  <w:abstractNum w:abstractNumId="51">
    <w:nsid w:val="6CAA2304"/>
    <w:multiLevelType w:val="hybridMultilevel"/>
    <w:lvl w:ilvl="0">
      <w:lvlJc w:val="left"/>
      <w:lvlText w:val="(%1)"/>
      <w:numFmt w:val="lowerLetter"/>
      <w:start w:val="2"/>
    </w:lvl>
  </w:abstractNum>
  <w:abstractNum w:abstractNumId="52">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
    <w:nsid w:val="25413BEC"/>
    <w:multiLevelType w:val="hybridMultilevel"/>
    <w:lvl w:ilvl="0">
      <w:lvlJc w:val="left"/>
      <w:lvlText w:val="(%1)"/>
      <w:numFmt w:val="decimal"/>
      <w:start w:val="2"/>
    </w:lvl>
  </w:abstractNum>
  <w:abstractNum w:abstractNumId="54">
    <w:nsid w:val="17180B0B"/>
    <w:multiLevelType w:val="hybridMultilevel"/>
    <w:lvl w:ilvl="0">
      <w:lvlJc w:val="left"/>
      <w:lvlText w:val="(%1)"/>
      <w:numFmt w:val="decimal"/>
      <w:start w:val="4"/>
    </w:lvl>
  </w:abstractNum>
  <w:abstractNum w:abstractNumId="55">
    <w:nsid w:val="579328B9"/>
    <w:multiLevelType w:val="hybridMultilevel"/>
    <w:lvl w:ilvl="0">
      <w:lvlJc w:val="left"/>
      <w:lvlText w:val="(%1)"/>
      <w:numFmt w:val="decimal"/>
      <w:start w:val="1"/>
    </w:lvl>
  </w:abstractNum>
  <w:abstractNum w:abstractNumId="56">
    <w:nsid w:val="5D205E20"/>
    <w:multiLevelType w:val="hybridMultilevel"/>
    <w:lvl w:ilvl="0">
      <w:lvlJc w:val="left"/>
      <w:lvlText w:val="(%1)"/>
      <w:numFmt w:val="decimal"/>
      <w:start w:val="5"/>
    </w:lvl>
    <w:lvl w:ilvl="1">
      <w:lvlJc w:val="left"/>
      <w:lvlText w:val="(%2)"/>
      <w:numFmt w:val="lowerLetter"/>
      <w:start w:val="1"/>
    </w:lvl>
  </w:abstractNum>
  <w:abstractNum w:abstractNumId="57">
    <w:nsid w:val="11CCA8BA"/>
    <w:multiLevelType w:val="hybridMultilevel"/>
    <w:lvl w:ilvl="0">
      <w:lvlJc w:val="left"/>
      <w:lvlText w:val="(%1)"/>
      <w:numFmt w:val="decimal"/>
      <w:start w:val="6"/>
    </w:lvl>
  </w:abstractNum>
  <w:abstractNum w:abstractNumId="58">
    <w:nsid w:val="4D32AB86"/>
    <w:multiLevelType w:val="hybridMultilevel"/>
    <w:lvl w:ilvl="0">
      <w:lvlJc w:val="left"/>
      <w:lvlText w:val="(%1)"/>
      <w:numFmt w:val="decimal"/>
      <w:start w:val="8"/>
    </w:lvl>
  </w:abstractNum>
  <w:abstractNum w:abstractNumId="59">
    <w:nsid w:val="3F07ACC3"/>
    <w:multiLevelType w:val="hybridMultilevel"/>
    <w:lvl w:ilvl="0">
      <w:lvlJc w:val="left"/>
      <w:lvlText w:val="(%1)"/>
      <w:numFmt w:val="lowerLetter"/>
      <w:start w:val="1"/>
    </w:lvl>
    <w:lvl w:ilvl="1">
      <w:lvlJc w:val="left"/>
      <w:lvlText w:val="(%2)"/>
      <w:numFmt w:val="upperLetter"/>
      <w:start w:val="1"/>
    </w:lvl>
  </w:abstractNum>
  <w:abstractNum w:abstractNumId="60">
    <w:nsid w:val="6B47F63E"/>
    <w:multiLevelType w:val="hybridMultilevel"/>
    <w:lvl w:ilvl="0">
      <w:lvlJc w:val="left"/>
      <w:lvlText w:val="(%1)"/>
      <w:numFmt w:val="decimal"/>
      <w:start w:val="1"/>
    </w:lvl>
  </w:abstractNum>
  <w:abstractNum w:abstractNumId="61">
    <w:nsid w:val="5CB44A05"/>
    <w:multiLevelType w:val="hybridMultilevel"/>
    <w:lvl w:ilvl="0">
      <w:lvlJc w:val="left"/>
      <w:lvlText w:val="(%1)"/>
      <w:numFmt w:val="decimal"/>
      <w:start w:val="1"/>
    </w:lvl>
  </w:abstractNum>
  <w:abstractNum w:abstractNumId="62">
    <w:nsid w:val="16CF80F1"/>
    <w:multiLevelType w:val="hybridMultilevel"/>
    <w:lvl w:ilvl="0">
      <w:lvlJc w:val="left"/>
      <w:lvlText w:val="(%1)"/>
      <w:numFmt w:val="decimal"/>
      <w:start w:val="1"/>
    </w:lvl>
  </w:abstractNum>
  <w:abstractNum w:abstractNumId="63">
    <w:nsid w:val="1C695DEC"/>
    <w:multiLevelType w:val="hybridMultilevel"/>
    <w:lvl w:ilvl="0">
      <w:lvlJc w:val="left"/>
      <w:lvlText w:val="(%1)"/>
      <w:numFmt w:val="decimal"/>
      <w:start w:val="1"/>
    </w:lvl>
  </w:abstractNum>
  <w:abstractNum w:abstractNumId="64">
    <w:nsid w:val="3FCFAED9"/>
    <w:multiLevelType w:val="hybridMultilevel"/>
    <w:lvl w:ilvl="0">
      <w:lvlJc w:val="left"/>
      <w:lvlText w:val="(%1)"/>
      <w:numFmt w:val="decimal"/>
      <w:start w:val="7"/>
    </w:lvl>
  </w:abstractNum>
  <w:abstractNum w:abstractNumId="65">
    <w:nsid w:val="F856867"/>
    <w:multiLevelType w:val="hybridMultilevel"/>
    <w:lvl w:ilvl="0">
      <w:lvlJc w:val="left"/>
      <w:lvlText w:val="(%1)"/>
      <w:numFmt w:val="decimal"/>
      <w:start w:val="1"/>
    </w:lvl>
  </w:abstractNum>
  <w:abstractNum w:abstractNumId="66">
    <w:nsid w:val="11B1CC33"/>
    <w:multiLevelType w:val="hybridMultilevel"/>
    <w:lvl w:ilvl="0">
      <w:lvlJc w:val="left"/>
      <w:lvlText w:val="(%1)"/>
      <w:numFmt w:val="decimal"/>
      <w:start w:val="1"/>
    </w:lvl>
  </w:abstractNum>
  <w:abstractNum w:abstractNumId="67">
    <w:nsid w:val="2E22FBB7"/>
    <w:multiLevelType w:val="hybridMultilevel"/>
    <w:lvl w:ilvl="0">
      <w:lvlJc w:val="left"/>
      <w:lvlText w:val="(%1)"/>
      <w:numFmt w:val="decimal"/>
      <w:start w:val="1"/>
    </w:lvl>
  </w:abstractNum>
  <w:abstractNum w:abstractNumId="68">
    <w:nsid w:val="29934699"/>
    <w:multiLevelType w:val="hybridMultilevel"/>
    <w:lvl w:ilvl="0">
      <w:lvlJc w:val="left"/>
      <w:lvlText w:val="(%1)"/>
      <w:numFmt w:val="decimal"/>
      <w:start w:val="2"/>
    </w:lvl>
  </w:abstractNum>
  <w:abstractNum w:abstractNumId="69">
    <w:nsid w:val="77485850"/>
    <w:multiLevelType w:val="hybridMultilevel"/>
    <w:lvl w:ilvl="0">
      <w:lvlJc w:val="left"/>
      <w:lvlText w:val="(%1)"/>
      <w:numFmt w:val="lowerLetter"/>
      <w:start w:val="1"/>
    </w:lvl>
  </w:abstractNum>
  <w:abstractNum w:abstractNumId="70">
    <w:nsid w:val="744939A3"/>
    <w:multiLevelType w:val="hybridMultilevel"/>
    <w:lvl w:ilvl="0">
      <w:lvlJc w:val="left"/>
      <w:lvlText w:val="(%1)"/>
      <w:numFmt w:val="decimal"/>
      <w:start w:val="2"/>
    </w:lvl>
  </w:abstractNum>
  <w:abstractNum w:abstractNumId="71">
    <w:nsid w:val="4FA0D2E3"/>
    <w:multiLevelType w:val="hybridMultilevel"/>
    <w:lvl w:ilvl="0">
      <w:lvlJc w:val="left"/>
      <w:lvlText w:val="(%1)"/>
      <w:numFmt w:val="lowerLetter"/>
      <w:start w:val="2"/>
    </w:lvl>
  </w:abstractNum>
  <w:abstractNum w:abstractNumId="72">
    <w:nsid w:val="6B1D2C14"/>
    <w:multiLevelType w:val="hybridMultilevel"/>
    <w:lvl w:ilvl="0">
      <w:lvlJc w:val="left"/>
      <w:lvlText w:val="(%1)"/>
      <w:numFmt w:val="decimal"/>
      <w:start w:val="1"/>
    </w:lvl>
  </w:abstractNum>
  <w:abstractNum w:abstractNumId="73">
    <w:nsid w:val="68B867D3"/>
    <w:multiLevelType w:val="hybridMultilevel"/>
    <w:lvl w:ilvl="0">
      <w:lvlJc w:val="left"/>
      <w:lvlText w:val="(%1)"/>
      <w:numFmt w:val="decimal"/>
      <w:start w:val="1"/>
    </w:lvl>
  </w:abstractNum>
  <w:abstractNum w:abstractNumId="74">
    <w:nsid w:val="3F7F5DD9"/>
    <w:multiLevelType w:val="hybridMultilevel"/>
    <w:lvl w:ilvl="0">
      <w:lvlJc w:val="left"/>
      <w:lvlText w:val="(%1)"/>
      <w:numFmt w:val="decimal"/>
      <w:start w:val="6"/>
    </w:lvl>
  </w:abstractNum>
  <w:abstractNum w:abstractNumId="75">
    <w:nsid w:val="2AE05A34"/>
    <w:multiLevelType w:val="hybridMultilevel"/>
    <w:lvl w:ilvl="0">
      <w:lvlJc w:val="left"/>
      <w:lvlText w:val="(%1)"/>
      <w:numFmt w:val="decimal"/>
      <w:start w:val="1"/>
    </w:lvl>
  </w:abstractNum>
  <w:abstractNum w:abstractNumId="76">
    <w:nsid w:val="32794FF7"/>
    <w:multiLevelType w:val="hybridMultilevel"/>
    <w:lvl w:ilvl="0">
      <w:lvlJc w:val="left"/>
      <w:lvlText w:val="(%1)"/>
      <w:numFmt w:val="decimal"/>
      <w:start w:val="6"/>
    </w:lvl>
  </w:abstractNum>
  <w:abstractNum w:abstractNumId="77">
    <w:nsid w:val="5454945E"/>
    <w:multiLevelType w:val="hybridMultilevel"/>
    <w:lvl w:ilvl="0">
      <w:lvlJc w:val="left"/>
      <w:lvlText w:val="(%1)"/>
      <w:numFmt w:val="lowerLetter"/>
      <w:start w:val="1"/>
    </w:lvl>
  </w:abstractNum>
  <w:abstractNum w:abstractNumId="78">
    <w:nsid w:val="4DEFDFA0"/>
    <w:multiLevelType w:val="hybridMultilevel"/>
    <w:lvl w:ilvl="0">
      <w:lvlJc w:val="left"/>
      <w:lvlText w:val="(%1)"/>
      <w:numFmt w:val="decimal"/>
      <w:start w:val="1"/>
    </w:lvl>
  </w:abstractNum>
  <w:abstractNum w:abstractNumId="79">
    <w:nsid w:val="2123D5F2"/>
    <w:multiLevelType w:val="hybridMultilevel"/>
    <w:lvl w:ilvl="0">
      <w:lvlJc w:val="left"/>
      <w:lvlText w:val="(%1)"/>
      <w:numFmt w:val="decimal"/>
      <w:start w:val="1"/>
    </w:lvl>
    <w:lvl w:ilvl="1">
      <w:lvlJc w:val="left"/>
      <w:lvlText w:val="(%2)"/>
      <w:numFmt w:val="lowerLetter"/>
      <w:start w:val="1"/>
    </w:lvl>
  </w:abstractNum>
  <w:abstractNum w:abstractNumId="80">
    <w:nsid w:val="135B8110"/>
    <w:multiLevelType w:val="hybridMultilevel"/>
    <w:lvl w:ilvl="0">
      <w:lvlJc w:val="left"/>
      <w:lvlText w:val="(%1)"/>
      <w:numFmt w:val="decimal"/>
      <w:start w:val="1"/>
    </w:lvl>
  </w:abstractNum>
  <w:abstractNum w:abstractNumId="81">
    <w:nsid w:val="94927A8"/>
    <w:multiLevelType w:val="hybridMultilevel"/>
    <w:lvl w:ilvl="0">
      <w:lvlJc w:val="left"/>
      <w:lvlText w:val="(%1)"/>
      <w:numFmt w:val="decimal"/>
      <w:start w:val="1"/>
    </w:lvl>
  </w:abstractNum>
  <w:abstractNum w:abstractNumId="82">
    <w:nsid w:val="DCDF8F6"/>
    <w:multiLevelType w:val="hybridMultilevel"/>
    <w:lvl w:ilvl="0">
      <w:lvlJc w:val="left"/>
      <w:lvlText w:val="(%1)"/>
      <w:numFmt w:val="decimal"/>
      <w:start w:val="1"/>
    </w:lvl>
  </w:abstractNum>
  <w:abstractNum w:abstractNumId="83">
    <w:nsid w:val="52D7B105"/>
    <w:multiLevelType w:val="hybridMultilevel"/>
    <w:lvl w:ilvl="0">
      <w:lvlJc w:val="left"/>
      <w:lvlText w:val="(%1)"/>
      <w:numFmt w:val="decimal"/>
      <w:start w:val="2"/>
    </w:lvl>
  </w:abstractNum>
  <w:abstractNum w:abstractNumId="84">
    <w:nsid w:val="2E8A6394"/>
    <w:multiLevelType w:val="hybridMultilevel"/>
    <w:lvl w:ilvl="0">
      <w:lvlJc w:val="left"/>
      <w:lvlText w:val="%1"/>
      <w:numFmt w:val="lowerLetter"/>
      <w:start w:val="1"/>
    </w:lvl>
    <w:lvl w:ilvl="1">
      <w:lvlJc w:val="left"/>
      <w:lvlText w:val="(%2)"/>
      <w:numFmt w:val="decimal"/>
      <w:start w:val="1"/>
    </w:lvl>
  </w:abstractNum>
  <w:abstractNum w:abstractNumId="85">
    <w:nsid w:val="24E60401"/>
    <w:multiLevelType w:val="hybridMultilevel"/>
    <w:lvl w:ilvl="0">
      <w:lvlJc w:val="left"/>
      <w:lvlText w:val="(%1)"/>
      <w:numFmt w:val="lowerLetter"/>
      <w:start w:val="2"/>
    </w:lvl>
    <w:lvl w:ilvl="1">
      <w:lvlJc w:val="left"/>
      <w:lvlText w:val="(%2)"/>
      <w:numFmt w:val="decimal"/>
      <w:start w:val="5"/>
    </w:lvl>
  </w:abstractNum>
  <w:abstractNum w:abstractNumId="86">
    <w:nsid w:val="2A6AD9BE"/>
    <w:multiLevelType w:val="hybridMultilevel"/>
    <w:lvl w:ilvl="0">
      <w:lvlJc w:val="left"/>
      <w:lvlText w:val="%1"/>
      <w:numFmt w:val="decimal"/>
      <w:start w:val="1"/>
    </w:lvl>
    <w:lvl w:ilvl="1">
      <w:lvlJc w:val="left"/>
      <w:lvlText w:val="(%2)"/>
      <w:numFmt w:val="decimal"/>
      <w:start w:val="7"/>
    </w:lvl>
  </w:abstractNum>
  <w:abstractNum w:abstractNumId="87">
    <w:nsid w:val="BAAC1B4"/>
    <w:multiLevelType w:val="hybridMultilevel"/>
    <w:lvl w:ilvl="0">
      <w:lvlJc w:val="left"/>
      <w:lvlText w:val="(%1)"/>
      <w:numFmt w:val="decimal"/>
      <w:start w:val="8"/>
    </w:lvl>
    <w:lvl w:ilvl="1">
      <w:lvlJc w:val="left"/>
      <w:lvlText w:val="(%2)"/>
      <w:numFmt w:val="decimal"/>
      <w:start w:val="12"/>
    </w:lvl>
  </w:abstractNum>
  <w:abstractNum w:abstractNumId="88">
    <w:nsid w:val="36B2ACBC"/>
    <w:multiLevelType w:val="hybridMultilevel"/>
    <w:lvl w:ilvl="0">
      <w:lvlJc w:val="left"/>
      <w:lvlText w:val="(%1)"/>
      <w:numFmt w:val="decimal"/>
      <w:start w:val="7"/>
    </w:lvl>
  </w:abstractNum>
  <w:abstractNum w:abstractNumId="89">
    <w:nsid w:val="779D8544"/>
    <w:multiLevelType w:val="hybridMultilevel"/>
    <w:lvl w:ilvl="0">
      <w:lvlJc w:val="left"/>
      <w:lvlText w:val="(%1)"/>
      <w:numFmt w:val="decimal"/>
      <w:start w:val="14"/>
    </w:lvl>
  </w:abstractNum>
  <w:abstractNum w:abstractNumId="90">
    <w:nsid w:val="4AB26E78"/>
    <w:multiLevelType w:val="hybridMultilevel"/>
    <w:lvl w:ilvl="0">
      <w:lvlJc w:val="left"/>
      <w:lvlText w:val="(%1)"/>
      <w:numFmt w:val="decimal"/>
      <w:start w:val="16"/>
    </w:lvl>
  </w:abstractNum>
  <w:abstractNum w:abstractNumId="91">
    <w:nsid w:val="21FAA2FA"/>
    <w:multiLevelType w:val="hybridMultilevel"/>
    <w:lvl w:ilvl="0">
      <w:lvlJc w:val="left"/>
      <w:lvlText w:val="(%1)"/>
      <w:numFmt w:val="decimal"/>
      <w:start w:val="8"/>
    </w:lvl>
  </w:abstractNum>
  <w:abstractNum w:abstractNumId="92">
    <w:nsid w:val="5451CF49"/>
    <w:multiLevelType w:val="hybridMultilevel"/>
    <w:lvl w:ilvl="0">
      <w:lvlJc w:val="left"/>
      <w:lvlText w:val="(%1)"/>
      <w:numFmt w:val="decimal"/>
      <w:start w:val="1"/>
    </w:lvl>
    <w:lvl w:ilvl="1">
      <w:lvlJc w:val="left"/>
      <w:lvlText w:val="(%2)"/>
      <w:numFmt w:val="lowerLetter"/>
      <w:start w:val="1"/>
    </w:lvl>
  </w:abstractNum>
  <w:abstractNum w:abstractNumId="93">
    <w:nsid w:val="6181EF69"/>
    <w:multiLevelType w:val="hybridMultilevel"/>
    <w:lvl w:ilvl="0">
      <w:lvlJc w:val="left"/>
      <w:lvlText w:val="%1"/>
      <w:numFmt w:val="lowerLetter"/>
      <w:start w:val="1"/>
    </w:lvl>
    <w:lvl w:ilvl="1">
      <w:lvlJc w:val="left"/>
      <w:lvlText w:val="(%2)"/>
      <w:numFmt w:val="lowerLetter"/>
      <w:start w:val="2"/>
    </w:lvl>
  </w:abstractNum>
  <w:abstractNum w:abstractNumId="94">
    <w:nsid w:val="3E6400E6"/>
    <w:multiLevelType w:val="hybridMultilevel"/>
    <w:lvl w:ilvl="0">
      <w:lvlJc w:val="left"/>
      <w:lvlText w:val="(%1)"/>
      <w:numFmt w:val="lowerLetter"/>
      <w:start w:val="25"/>
    </w:lvl>
    <w:lvl w:ilvl="1">
      <w:lvlJc w:val="left"/>
      <w:lvlText w:val="(%2)"/>
      <w:numFmt w:val="lowerLetter"/>
      <w:start w:val="3"/>
    </w:lvl>
  </w:abstractNum>
  <w:abstractNum w:abstractNumId="95">
    <w:nsid w:val="14217E23"/>
    <w:multiLevelType w:val="hybridMultilevel"/>
    <w:lvl w:ilvl="0">
      <w:lvlJc w:val="left"/>
      <w:lvlText w:val="(%1)"/>
      <w:numFmt w:val="decimal"/>
      <w:start w:val="1"/>
    </w:lvl>
  </w:abstractNum>
  <w:abstractNum w:abstractNumId="96">
    <w:nsid w:val="710757D0"/>
    <w:multiLevelType w:val="hybridMultilevel"/>
    <w:lvl w:ilvl="0">
      <w:lvlJc w:val="left"/>
      <w:lvlText w:val="%1"/>
      <w:numFmt w:val="lowerRoman"/>
      <w:start w:val="1"/>
    </w:lvl>
    <w:lvl w:ilvl="1">
      <w:lvlJc w:val="left"/>
      <w:lvlText w:val="(%2)"/>
      <w:numFmt w:val="decimal"/>
      <w:start w:val="4"/>
    </w:lvl>
  </w:abstractNum>
  <w:abstractNum w:abstractNumId="97">
    <w:nsid w:val="5015CD1A"/>
    <w:multiLevelType w:val="hybridMultilevel"/>
    <w:lvl w:ilvl="0">
      <w:lvlJc w:val="left"/>
      <w:lvlText w:val="(%1)"/>
      <w:numFmt w:val="lowerRoman"/>
      <w:start w:val="10"/>
    </w:lvl>
    <w:lvl w:ilvl="1">
      <w:lvlJc w:val="left"/>
      <w:lvlText w:val="(%2)"/>
      <w:numFmt w:val="decimal"/>
      <w:start w:val="6"/>
    </w:lvl>
  </w:abstractNum>
  <w:abstractNum w:abstractNumId="98">
    <w:nsid w:val="424479DA"/>
    <w:multiLevelType w:val="hybridMultilevel"/>
    <w:lvl w:ilvl="0">
      <w:lvlJc w:val="left"/>
      <w:lvlText w:val="(%1)"/>
      <w:numFmt w:val="decimal"/>
      <w:start w:val="8"/>
    </w:lvl>
  </w:abstractNum>
  <w:abstractNum w:abstractNumId="99">
    <w:nsid w:val="1A9A9E69"/>
    <w:multiLevelType w:val="hybridMultilevel"/>
    <w:lvl w:ilvl="0">
      <w:lvlJc w:val="left"/>
      <w:lvlText w:val="(%1)"/>
      <w:numFmt w:val="decimal"/>
      <w:start w:val="9"/>
    </w:lvl>
  </w:abstractNum>
  <w:abstractNum w:abstractNumId="100">
    <w:nsid w:val="475E256A"/>
    <w:multiLevelType w:val="hybridMultilevel"/>
    <w:lvl w:ilvl="0">
      <w:lvlJc w:val="left"/>
      <w:lvlText w:val="(%1)"/>
      <w:numFmt w:val="decimal"/>
      <w:start w:val="1"/>
    </w:lvl>
  </w:abstractNum>
  <w:abstractNum w:abstractNumId="101">
    <w:nsid w:val="368DB37E"/>
    <w:multiLevelType w:val="hybridMultilevel"/>
    <w:lvl w:ilvl="0">
      <w:lvlJc w:val="left"/>
      <w:lvlText w:val="(%1)"/>
      <w:numFmt w:val="decimal"/>
      <w:start w:val="7"/>
    </w:lvl>
  </w:abstractNum>
  <w:abstractNum w:abstractNumId="102">
    <w:nsid w:val="6A3B714C"/>
    <w:multiLevelType w:val="hybridMultilevel"/>
    <w:lvl w:ilvl="0">
      <w:lvlJc w:val="left"/>
      <w:lvlText w:val="(%1)"/>
      <w:numFmt w:val="lowerLetter"/>
      <w:start w:val="1"/>
    </w:lvl>
  </w:abstractNum>
  <w:abstractNum w:abstractNumId="103">
    <w:nsid w:val="327B517E"/>
    <w:multiLevelType w:val="hybridMultilevel"/>
    <w:lvl w:ilvl="0">
      <w:lvlJc w:val="left"/>
      <w:lvlText w:val="%1"/>
      <w:numFmt w:val="decimal"/>
      <w:start w:val="1"/>
    </w:lvl>
    <w:lvl w:ilvl="1">
      <w:lvlJc w:val="left"/>
      <w:lvlText w:val="(%2)"/>
      <w:numFmt w:val="decimal"/>
      <w:start w:val="1"/>
    </w:lvl>
  </w:abstractNum>
  <w:abstractNum w:abstractNumId="104">
    <w:nsid w:val="1F461B51"/>
    <w:multiLevelType w:val="hybridMultilevel"/>
    <w:lvl w:ilvl="0">
      <w:lvlJc w:val="left"/>
      <w:lvlText w:val="(%1)"/>
      <w:numFmt w:val="decimal"/>
      <w:start w:val="10"/>
    </w:lvl>
    <w:lvl w:ilvl="1">
      <w:lvlJc w:val="left"/>
      <w:lvlText w:val="%2"/>
      <w:numFmt w:val="decimal"/>
      <w:start w:val="1"/>
    </w:lvl>
  </w:abstractNum>
  <w:abstractNum w:abstractNumId="105">
    <w:nsid w:val="29BACF25"/>
    <w:multiLevelType w:val="hybridMultilevel"/>
    <w:lvl w:ilvl="0">
      <w:lvlJc w:val="left"/>
      <w:lvlText w:val="(%1)"/>
      <w:numFmt w:val="decimal"/>
      <w:start w:val="2"/>
    </w:lvl>
  </w:abstractNum>
  <w:abstractNum w:abstractNumId="106">
    <w:nsid w:val="5D5BABB3"/>
    <w:multiLevelType w:val="hybridMultilevel"/>
    <w:lvl w:ilvl="0">
      <w:lvlJc w:val="left"/>
      <w:lvlText w:val="(%1)"/>
      <w:numFmt w:val="decimal"/>
      <w:start w:val="11"/>
    </w:lvl>
  </w:abstractNum>
  <w:abstractNum w:abstractNumId="107">
    <w:nsid w:val="51BF6B48"/>
    <w:multiLevelType w:val="hybridMultilevel"/>
    <w:lvl w:ilvl="0">
      <w:lvlJc w:val="left"/>
      <w:lvlText w:val="(%1)"/>
      <w:numFmt w:val="decimal"/>
      <w:start w:val="1"/>
    </w:lvl>
    <w:lvl w:ilvl="1">
      <w:lvlJc w:val="left"/>
      <w:lvlText w:val="(%2)"/>
      <w:numFmt w:val="lowerLetter"/>
      <w:start w:val="1"/>
    </w:lvl>
  </w:abstractNum>
  <w:abstractNum w:abstractNumId="108">
    <w:nsid w:val="7E0F6384"/>
    <w:multiLevelType w:val="hybridMultilevel"/>
    <w:lvl w:ilvl="0">
      <w:lvlJc w:val="left"/>
      <w:lvlText w:val="(%1)"/>
      <w:numFmt w:val="upperLetter"/>
      <w:start w:val="9"/>
    </w:lvl>
  </w:abstractNum>
  <w:abstractNum w:abstractNumId="109">
    <w:nsid w:val="2B4B8B53"/>
    <w:multiLevelType w:val="hybridMultilevel"/>
    <w:lvl w:ilvl="0">
      <w:lvlJc w:val="left"/>
      <w:lvlText w:val="(%1)"/>
      <w:numFmt w:val="upperLetter"/>
      <w:start w:val="35"/>
    </w:lvl>
  </w:abstractNum>
  <w:abstractNum w:abstractNumId="110">
    <w:nsid w:val="72E3413A"/>
    <w:multiLevelType w:val="hybridMultilevel"/>
    <w:lvl w:ilvl="0">
      <w:lvlJc w:val="left"/>
      <w:lvlText w:val="(%1)"/>
      <w:numFmt w:val="upperLetter"/>
      <w:start w:val="61"/>
    </w:lvl>
  </w:abstractNum>
  <w:abstractNum w:abstractNumId="111">
    <w:nsid w:val="116AE494"/>
    <w:multiLevelType w:val="hybridMultilevel"/>
    <w:lvl w:ilvl="0">
      <w:lvlJc w:val="left"/>
      <w:lvlText w:val="(%1)"/>
      <w:numFmt w:val="upperLetter"/>
      <w:start w:val="22"/>
    </w:lvl>
  </w:abstractNum>
  <w:abstractNum w:abstractNumId="112">
    <w:nsid w:val="3494B2FB"/>
    <w:multiLevelType w:val="hybridMultilevel"/>
    <w:lvl w:ilvl="0">
      <w:lvlJc w:val="left"/>
      <w:lvlText w:val="(%1)"/>
      <w:numFmt w:val="decimal"/>
      <w:start w:val="1"/>
    </w:lvl>
  </w:abstractNum>
  <w:abstractNum w:abstractNumId="113">
    <w:nsid w:val="B13A31"/>
    <w:multiLevelType w:val="hybridMultilevel"/>
    <w:lvl w:ilvl="0">
      <w:lvlJc w:val="left"/>
      <w:lvlText w:val="(%1)"/>
      <w:numFmt w:val="decimal"/>
      <w:start w:val="1"/>
    </w:lvl>
  </w:abstractNum>
  <w:abstractNum w:abstractNumId="114">
    <w:nsid w:val="64429599"/>
    <w:multiLevelType w:val="hybridMultilevel"/>
    <w:lvl w:ilvl="0">
      <w:lvlJc w:val="left"/>
      <w:lvlText w:val="(%1)"/>
      <w:numFmt w:val="decimal"/>
      <w:start w:val="3"/>
    </w:lvl>
  </w:abstractNum>
  <w:abstractNum w:abstractNumId="115">
    <w:nsid w:val="631F1690"/>
    <w:multiLevelType w:val="hybridMultilevel"/>
    <w:lvl w:ilvl="0">
      <w:lvlJc w:val="left"/>
      <w:lvlText w:val="(%1)"/>
      <w:numFmt w:val="decimal"/>
      <w:start w:val="1"/>
    </w:lvl>
  </w:abstractNum>
  <w:abstractNum w:abstractNumId="116">
    <w:nsid w:val="25973E32"/>
    <w:multiLevelType w:val="hybridMultilevel"/>
    <w:lvl w:ilvl="0">
      <w:lvlJc w:val="left"/>
      <w:lvlText w:val="(%1)"/>
      <w:numFmt w:val="lowerLetter"/>
      <w:start w:val="1"/>
    </w:lvl>
  </w:abstractNum>
  <w:abstractNum w:abstractNumId="117">
    <w:nsid w:val="EAD6F57"/>
    <w:multiLevelType w:val="hybridMultilevel"/>
    <w:lvl w:ilvl="0">
      <w:lvlJc w:val="left"/>
      <w:lvlText w:val="%1"/>
      <w:numFmt w:val="lowerRoman"/>
      <w:start w:val="1"/>
    </w:lvl>
    <w:lvl w:ilvl="1">
      <w:lvlJc w:val="left"/>
      <w:lvlText w:val="(%2)"/>
      <w:numFmt w:val="lowerLetter"/>
      <w:start w:val="2"/>
    </w:lvl>
  </w:abstractNum>
  <w:abstractNum w:abstractNumId="118">
    <w:nsid w:val="6EC9D844"/>
    <w:multiLevelType w:val="hybridMultilevel"/>
    <w:lvl w:ilvl="0">
      <w:lvlJc w:val="left"/>
      <w:lvlText w:val="(%1)"/>
      <w:numFmt w:val="lowerRoman"/>
      <w:start w:val="1"/>
    </w:lvl>
    <w:lvl w:ilvl="1">
      <w:lvlJc w:val="left"/>
      <w:lvlText w:val="(%2)"/>
      <w:numFmt w:val="lowerLetter"/>
      <w:start w:val="4"/>
    </w:lvl>
  </w:abstractNum>
  <w:abstractNum w:abstractNumId="119">
    <w:nsid w:val="5C49EAEE"/>
    <w:multiLevelType w:val="hybridMultilevel"/>
    <w:lvl w:ilvl="0">
      <w:lvlJc w:val="left"/>
      <w:lvlText w:val="(%1)"/>
      <w:numFmt w:val="lowerLetter"/>
      <w:start w:val="6"/>
    </w:lvl>
  </w:abstractNum>
  <w:abstractNum w:abstractNumId="120">
    <w:nsid w:val="64AF49B"/>
    <w:multiLevelType w:val="hybridMultilevel"/>
    <w:lvl w:ilvl="0">
      <w:lvlJc w:val="left"/>
      <w:lvlText w:val="(%1)"/>
      <w:numFmt w:val="decimal"/>
      <w:start w:val="1"/>
    </w:lvl>
  </w:abstractNum>
  <w:abstractNum w:abstractNumId="121">
    <w:nsid w:val="397C46BC"/>
    <w:multiLevelType w:val="hybridMultilevel"/>
    <w:lvl w:ilvl="0">
      <w:lvlJc w:val="left"/>
      <w:lvlText w:val="(%1)"/>
      <w:numFmt w:val="decimal"/>
      <w:start w:val="3"/>
    </w:lvl>
  </w:abstractNum>
  <w:abstractNum w:abstractNumId="122">
    <w:nsid w:val="7E448DE9"/>
    <w:multiLevelType w:val="hybridMultilevel"/>
    <w:lvl w:ilvl="0">
      <w:lvlJc w:val="left"/>
      <w:lvlText w:val="(%1)"/>
      <w:numFmt w:val="decimal"/>
      <w:start w:val="2"/>
    </w:lvl>
  </w:abstractNum>
  <w:abstractNum w:abstractNumId="123">
    <w:nsid w:val="5A9CC3E5"/>
    <w:multiLevelType w:val="hybridMultilevel"/>
    <w:lvl w:ilvl="0">
      <w:lvlJc w:val="left"/>
      <w:lvlText w:val="(%1)"/>
      <w:numFmt w:val="decimal"/>
      <w:start w:val="1"/>
    </w:lvl>
    <w:lvl w:ilvl="1">
      <w:lvlJc w:val="left"/>
      <w:lvlText w:val="(%2)"/>
      <w:numFmt w:val="lowerLetter"/>
      <w:start w:val="1"/>
    </w:lvl>
  </w:abstractNum>
  <w:abstractNum w:abstractNumId="124">
    <w:nsid w:val="1AFE3625"/>
    <w:multiLevelType w:val="hybridMultilevel"/>
    <w:lvl w:ilvl="0">
      <w:lvlJc w:val="left"/>
      <w:lvlText w:val="%1"/>
      <w:numFmt w:val="decimal"/>
      <w:start w:val="1"/>
    </w:lvl>
    <w:lvl w:ilvl="1">
      <w:lvlJc w:val="left"/>
      <w:lvlText w:val="(%2)"/>
      <w:numFmt w:val="decimal"/>
      <w:start w:val="3"/>
    </w:lvl>
  </w:abstractNum>
  <w:abstractNum w:abstractNumId="125">
    <w:nsid w:val="3CA88ECF"/>
    <w:multiLevelType w:val="hybridMultilevel"/>
    <w:lvl w:ilvl="0">
      <w:lvlJc w:val="left"/>
      <w:lvlText w:val="(%1)"/>
      <w:numFmt w:val="decimal"/>
      <w:start w:val="6"/>
    </w:lvl>
    <w:lvl w:ilvl="1">
      <w:lvlJc w:val="left"/>
      <w:lvlText w:val="%2"/>
      <w:numFmt w:val="decimal"/>
      <w:start w:val="1"/>
    </w:lvl>
  </w:abstractNum>
  <w:abstractNum w:abstractNumId="126">
    <w:nsid w:val="6EBE4208"/>
    <w:multiLevelType w:val="hybridMultilevel"/>
    <w:lvl w:ilvl="0">
      <w:lvlJc w:val="left"/>
      <w:lvlText w:val="(%1)"/>
      <w:numFmt w:val="lowerLetter"/>
      <w:start w:val="1"/>
    </w:lvl>
  </w:abstractNum>
  <w:abstractNum w:abstractNumId="127">
    <w:nsid w:val="C058DF5"/>
    <w:multiLevelType w:val="hybridMultilevel"/>
    <w:lvl w:ilvl="0">
      <w:lvlJc w:val="left"/>
      <w:lvlText w:val="%1"/>
      <w:numFmt w:val="upperLetter"/>
      <w:start w:val="1"/>
    </w:lvl>
    <w:lvl w:ilvl="1">
      <w:lvlJc w:val="left"/>
      <w:lvlText w:val="(%2)"/>
      <w:numFmt w:val="lowerLetter"/>
      <w:start w:val="3"/>
    </w:lvl>
  </w:abstractNum>
  <w:abstractNum w:abstractNumId="128">
    <w:nsid w:val="CBE5BE9"/>
    <w:multiLevelType w:val="hybridMultilevel"/>
    <w:lvl w:ilvl="0">
      <w:lvlJc w:val="left"/>
      <w:lvlText w:val="(%1)"/>
      <w:numFmt w:val="upperLetter"/>
      <w:start w:val="10"/>
    </w:lvl>
    <w:lvl w:ilvl="1">
      <w:lvlJc w:val="left"/>
      <w:lvlText w:val="%2"/>
      <w:numFmt w:val="lowerLetter"/>
      <w:start w:val="1"/>
    </w:lvl>
  </w:abstractNum>
  <w:abstractNum w:abstractNumId="129">
    <w:nsid w:val="3102BBE2"/>
    <w:multiLevelType w:val="hybridMultilevel"/>
    <w:lvl w:ilvl="0">
      <w:lvlJc w:val="left"/>
      <w:lvlText w:val="(%1)"/>
      <w:numFmt w:val="lowerLetter"/>
      <w:start w:val="4"/>
    </w:lvl>
  </w:abstractNum>
  <w:abstractNum w:abstractNumId="130">
    <w:nsid w:val="26A02C5E"/>
    <w:multiLevelType w:val="hybridMultilevel"/>
    <w:lvl w:ilvl="0">
      <w:lvlJc w:val="left"/>
      <w:lvlText w:val="(%1)"/>
      <w:numFmt w:val="lowerLetter"/>
      <w:start w:val="1"/>
    </w:lvl>
  </w:abstractNum>
  <w:abstractNum w:abstractNumId="131">
    <w:nsid w:val="541C8153"/>
    <w:multiLevelType w:val="hybridMultilevel"/>
    <w:lvl w:ilvl="0">
      <w:lvlJc w:val="left"/>
      <w:lvlText w:val="(%1)"/>
      <w:numFmt w:val="lowerLetter"/>
      <w:start w:val="1"/>
    </w:lvl>
  </w:abstractNum>
  <w:abstractNum w:abstractNumId="132">
    <w:nsid w:val="67906F60"/>
    <w:multiLevelType w:val="hybridMultilevel"/>
    <w:lvl w:ilvl="0">
      <w:lvlJc w:val="left"/>
      <w:lvlText w:val="%1"/>
      <w:numFmt w:val="decimal"/>
      <w:start w:val="1"/>
    </w:lvl>
    <w:lvl w:ilvl="1">
      <w:lvlJc w:val="left"/>
      <w:lvlText w:val="(%2)"/>
      <w:numFmt w:val="lowerLetter"/>
      <w:start w:val="5"/>
    </w:lvl>
  </w:abstractNum>
  <w:abstractNum w:abstractNumId="133">
    <w:nsid w:val="10DB9DAA"/>
    <w:multiLevelType w:val="hybridMultilevel"/>
    <w:lvl w:ilvl="0">
      <w:lvlJc w:val="left"/>
      <w:lvlText w:val="(%1)"/>
      <w:numFmt w:val="decimal"/>
      <w:start w:val="2"/>
    </w:lvl>
    <w:lvl w:ilvl="1">
      <w:lvlJc w:val="left"/>
      <w:lvlText w:val="%2"/>
      <w:numFmt w:val="lowerLetter"/>
      <w:start w:val="1"/>
    </w:lvl>
  </w:abstractNum>
  <w:abstractNum w:abstractNumId="134">
    <w:nsid w:val="697D2D2"/>
    <w:multiLevelType w:val="hybridMultilevel"/>
    <w:lvl w:ilvl="0">
      <w:lvlJc w:val="left"/>
      <w:lvlText w:val="(%1)"/>
      <w:numFmt w:val="lowerLetter"/>
      <w:start w:val="2"/>
    </w:lvl>
  </w:abstractNum>
  <w:abstractNum w:abstractNumId="135">
    <w:nsid w:val="6D68AB2"/>
    <w:multiLevelType w:val="hybridMultilevel"/>
    <w:lvl w:ilvl="0">
      <w:lvlJc w:val="left"/>
      <w:lvlText w:val="(%1)"/>
      <w:numFmt w:val="lowerRoman"/>
      <w:start w:val="1"/>
    </w:lvl>
  </w:abstractNum>
  <w:abstractNum w:abstractNumId="136">
    <w:nsid w:val="3A966CD0"/>
    <w:multiLevelType w:val="hybridMultilevel"/>
    <w:lvl w:ilvl="0">
      <w:lvlJc w:val="left"/>
      <w:lvlText w:val="(%1)"/>
      <w:numFmt w:val="upperLetter"/>
      <w:start w:val="9"/>
    </w:lvl>
  </w:abstractNum>
  <w:abstractNum w:abstractNumId="137">
    <w:nsid w:val="63F37E85"/>
    <w:multiLevelType w:val="hybridMultilevel"/>
    <w:lvl w:ilvl="0">
      <w:lvlJc w:val="left"/>
      <w:lvlText w:val="‡‡‡"/>
      <w:numFmt w:val="bullet"/>
      <w:start w:val="1"/>
    </w:lvl>
    <w:lvl w:ilvl="1">
      <w:lvlJc w:val="left"/>
      <w:lvlText w:val="(%2)"/>
      <w:numFmt w:val="decimal"/>
      <w:start w:val="1"/>
    </w:lvl>
  </w:abstractNum>
  <w:abstractNum w:abstractNumId="138">
    <w:nsid w:val="5895F5FA"/>
    <w:multiLevelType w:val="hybridMultilevel"/>
    <w:lvl w:ilvl="0">
      <w:lvlJc w:val="left"/>
      <w:lvlText w:val="(%1)"/>
      <w:numFmt w:val="decimal"/>
      <w:start w:val="4"/>
    </w:lvl>
  </w:abstractNum>
  <w:abstractNum w:abstractNumId="139">
    <w:nsid w:val="38A5D054"/>
    <w:multiLevelType w:val="hybridMultilevel"/>
    <w:lvl w:ilvl="0">
      <w:lvlJc w:val="left"/>
      <w:lvlText w:val="§§§"/>
      <w:numFmt w:val="bullet"/>
      <w:start w:val="1"/>
    </w:lvl>
  </w:abstractNum>
  <w:abstractNum w:abstractNumId="140">
    <w:nsid w:val="F3F09D8"/>
    <w:multiLevelType w:val="hybridMultilevel"/>
    <w:lvl w:ilvl="0">
      <w:lvlJc w:val="left"/>
      <w:lvlText w:val="*"/>
      <w:numFmt w:val="bullet"/>
      <w:start w:val="1"/>
    </w:lvl>
  </w:abstractNum>
  <w:abstractNum w:abstractNumId="141">
    <w:nsid w:val="4B793735"/>
    <w:multiLevelType w:val="hybridMultilevel"/>
    <w:lvl w:ilvl="0">
      <w:lvlJc w:val="left"/>
      <w:lvlText w:val="*"/>
      <w:numFmt w:val="bullet"/>
      <w:start w:val="1"/>
    </w:lvl>
  </w:abstractNum>
  <w:abstractNum w:abstractNumId="142">
    <w:nsid w:val="4A10B4E8"/>
    <w:multiLevelType w:val="hybridMultilevel"/>
    <w:lvl w:ilvl="0">
      <w:lvlJc w:val="left"/>
      <w:lvlText w:val="%1."/>
      <w:numFmt w:val="decimal"/>
      <w:start w:val="1"/>
    </w:lvl>
  </w:abstractNum>
  <w:abstractNum w:abstractNumId="143">
    <w:nsid w:val="43D3BCD4"/>
    <w:multiLevelType w:val="hybridMultilevel"/>
    <w:lvl w:ilvl="0">
      <w:lvlJc w:val="left"/>
      <w:lvlText w:val="%1."/>
      <w:numFmt w:val="decimal"/>
      <w:start w:val="3"/>
    </w:lvl>
  </w:abstractNum>
  <w:abstractNum w:abstractNumId="144">
    <w:nsid w:val="4C2A7166"/>
    <w:multiLevelType w:val="hybridMultilevel"/>
    <w:lvl w:ilvl="0">
      <w:lvlJc w:val="left"/>
      <w:lvlText w:val="(%1)"/>
      <w:numFmt w:val="decimal"/>
      <w:start w:val="1"/>
    </w:lvl>
  </w:abstractNum>
  <w:abstractNum w:abstractNumId="145">
    <w:nsid w:val="2E534A82"/>
    <w:multiLevelType w:val="hybridMultilevel"/>
    <w:lvl w:ilvl="0">
      <w:lvlJc w:val="left"/>
      <w:lvlText w:val="%1."/>
      <w:numFmt w:val="upperLetter"/>
      <w:start w:val="3"/>
    </w:lvl>
  </w:abstractNum>
  <w:abstractNum w:abstractNumId="146">
    <w:nsid w:val="26F2D364"/>
    <w:multiLevelType w:val="hybridMultilevel"/>
    <w:lvl w:ilvl="0">
      <w:lvlJc w:val="left"/>
      <w:lvlText w:val="%1."/>
      <w:numFmt w:val="upperLetter"/>
      <w:start w:val="1"/>
    </w:lvl>
  </w:abstractNum>
  <w:abstractNum w:abstractNumId="147">
    <w:nsid w:val="71C1AF98"/>
    <w:multiLevelType w:val="hybridMultilevel"/>
    <w:lvl w:ilvl="0">
      <w:lvlJc w:val="left"/>
      <w:lvlText w:val="%1."/>
      <w:numFmt w:val="upperLetter"/>
      <w:start w:val="2"/>
    </w:lvl>
  </w:abstractNum>
  <w:abstractNum w:abstractNumId="148">
    <w:nsid w:val="3D00B9D9"/>
    <w:multiLevelType w:val="hybridMultilevel"/>
    <w:lvl w:ilvl="0">
      <w:lvlJc w:val="left"/>
      <w:lvlText w:val="(%1)"/>
      <w:numFmt w:val="decimal"/>
      <w:start w:val="2"/>
    </w:lvl>
  </w:abstractNum>
  <w:abstractNum w:abstractNumId="149">
    <w:nsid w:val="15BCABA8"/>
    <w:multiLevelType w:val="hybridMultilevel"/>
    <w:lvl w:ilvl="0">
      <w:lvlJc w:val="left"/>
      <w:lvlText w:val="(%1)"/>
      <w:numFmt w:val="lowerLetter"/>
      <w:start w:val="10"/>
    </w:lvl>
  </w:abstractNum>
  <w:abstractNum w:abstractNumId="150">
    <w:nsid w:val="4E0B9A87"/>
    <w:multiLevelType w:val="hybridMultilevel"/>
    <w:lvl w:ilvl="0">
      <w:lvlJc w:val="left"/>
      <w:lvlText w:val="(%1)"/>
      <w:numFmt w:val="lowerLetter"/>
      <w:start w:val="6"/>
    </w:lvl>
  </w:abstractNum>
  <w:abstractNum w:abstractNumId="151">
    <w:nsid w:val="434BAE75"/>
    <w:multiLevelType w:val="hybridMultilevel"/>
    <w:lvl w:ilvl="0">
      <w:lvlJc w:val="left"/>
      <w:lvlText w:val="(%1)"/>
      <w:numFmt w:val="lowerLetter"/>
      <w:start w:val="11"/>
    </w:lvl>
  </w:abstractNum>
  <w:abstractNum w:abstractNumId="152">
    <w:nsid w:val="4F38F265"/>
    <w:multiLevelType w:val="hybridMultilevel"/>
    <w:lvl w:ilvl="0">
      <w:lvlJc w:val="left"/>
      <w:lvlText w:val="%1."/>
      <w:numFmt w:val="upperLetter"/>
      <w:start w:val="1"/>
    </w:lvl>
  </w:abstractNum>
  <w:abstractNum w:abstractNumId="153">
    <w:nsid w:val="4C502870"/>
    <w:multiLevelType w:val="hybridMultilevel"/>
    <w:lvl w:ilvl="0">
      <w:lvlJc w:val="left"/>
      <w:lvlText w:val="%1."/>
      <w:numFmt w:val="decimal"/>
      <w:start w:val="1"/>
    </w:lvl>
  </w:abstractNum>
  <w:abstractNum w:abstractNumId="154">
    <w:nsid w:val="1DE8725A"/>
    <w:multiLevelType w:val="hybridMultilevel"/>
    <w:lvl w:ilvl="0">
      <w:lvlJc w:val="left"/>
      <w:lvlText w:val="%1."/>
      <w:numFmt w:val="upperLetter"/>
      <w:start w:val="2"/>
    </w:lvl>
  </w:abstractNum>
  <w:abstractNum w:abstractNumId="155">
    <w:nsid w:val="6A37288A"/>
    <w:multiLevelType w:val="hybridMultilevel"/>
    <w:lvl w:ilvl="0">
      <w:lvlJc w:val="left"/>
      <w:lvlText w:val="%1."/>
      <w:numFmt w:val="upperLetter"/>
      <w:start w:val="3"/>
    </w:lvl>
  </w:abstractNum>
  <w:abstractNum w:abstractNumId="156">
    <w:nsid w:val="8F8B73F"/>
    <w:multiLevelType w:val="hybridMultilevel"/>
    <w:lvl w:ilvl="0">
      <w:lvlJc w:val="left"/>
      <w:lvlText w:val="%1."/>
      <w:numFmt w:val="upperLetter"/>
      <w:start w:val="1"/>
    </w:lvl>
  </w:abstractNum>
  <w:abstractNum w:abstractNumId="157">
    <w:nsid w:val="CA6B46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58">
    <w:nsid w:val="763CB680"/>
    <w:multiLevelType w:val="hybridMultilevel"/>
    <w:lvl w:ilvl="0">
      <w:lvlJc w:val="left"/>
      <w:lvlText w:val="%1"/>
      <w:numFmt w:val="decimal"/>
      <w:start w:val="1"/>
    </w:lvl>
    <w:lvl w:ilvl="1">
      <w:lvlJc w:val="left"/>
      <w:lvlText w:val="(%2)"/>
      <w:numFmt w:val="lowerLetter"/>
      <w:start w:val="3"/>
    </w:lvl>
  </w:abstractNum>
  <w:abstractNum w:abstractNumId="159">
    <w:nsid w:val="15B71329"/>
    <w:multiLevelType w:val="hybridMultilevel"/>
    <w:lvl w:ilvl="0">
      <w:lvlJc w:val="left"/>
      <w:lvlText w:val="%1."/>
      <w:numFmt w:val="decimal"/>
      <w:start w:val="2"/>
    </w:lvl>
    <w:lvl w:ilvl="1">
      <w:lvlJc w:val="left"/>
      <w:lvlText w:val="(%2)"/>
      <w:numFmt w:val="lowerLetter"/>
      <w:start w:val="1"/>
    </w:lvl>
  </w:abstractNum>
  <w:abstractNum w:abstractNumId="160">
    <w:nsid w:val="3DA97044"/>
    <w:multiLevelType w:val="hybridMultilevel"/>
    <w:lvl w:ilvl="0">
      <w:lvlJc w:val="left"/>
      <w:lvlText w:val="%1"/>
      <w:numFmt w:val="decimal"/>
      <w:start w:val="1"/>
    </w:lvl>
    <w:lvl w:ilvl="1">
      <w:lvlJc w:val="left"/>
      <w:lvlText w:val="(%2)"/>
      <w:numFmt w:val="lowerLetter"/>
      <w:start w:val="3"/>
    </w:lvl>
  </w:abstractNum>
  <w:abstractNum w:abstractNumId="161">
    <w:nsid w:val="1CDCE2DE"/>
    <w:multiLevelType w:val="hybridMultilevel"/>
    <w:lvl w:ilvl="0">
      <w:lvlJc w:val="left"/>
      <w:lvlText w:val="%1."/>
      <w:numFmt w:val="decimal"/>
      <w:start w:val="4"/>
    </w:lvl>
    <w:lvl w:ilvl="1">
      <w:lvlJc w:val="left"/>
      <w:lvlText w:val="(%2)"/>
      <w:numFmt w:val="lowerLetter"/>
      <w:start w:val="1"/>
    </w:lvl>
  </w:abstractNum>
  <w:abstractNum w:abstractNumId="162">
    <w:nsid w:val="69D3947C"/>
    <w:multiLevelType w:val="hybridMultilevel"/>
    <w:lvl w:ilvl="0">
      <w:lvlJc w:val="left"/>
      <w:lvlText w:val="%1"/>
      <w:numFmt w:val="decimal"/>
      <w:start w:val="1"/>
    </w:lvl>
    <w:lvl w:ilvl="1">
      <w:lvlJc w:val="left"/>
      <w:lvlText w:val="(%2)"/>
      <w:numFmt w:val="lowerLetter"/>
      <w:start w:val="4"/>
    </w:lvl>
  </w:abstractNum>
  <w:abstractNum w:abstractNumId="163">
    <w:nsid w:val="2539DFA5"/>
    <w:multiLevelType w:val="hybridMultilevel"/>
    <w:lvl w:ilvl="0">
      <w:lvlJc w:val="left"/>
      <w:lvlText w:val="%1."/>
      <w:numFmt w:val="decimal"/>
      <w:start w:val="5"/>
    </w:lvl>
    <w:lvl w:ilvl="1">
      <w:lvlJc w:val="left"/>
      <w:lvlText w:val="(%2)"/>
      <w:numFmt w:val="lowerLetter"/>
      <w:start w:val="1"/>
    </w:lvl>
  </w:abstractNum>
  <w:abstractNum w:abstractNumId="164">
    <w:nsid w:val="2DB8808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5">
    <w:nsid w:val="706B674E"/>
    <w:multiLevelType w:val="hybridMultilevel"/>
    <w:lvl w:ilvl="0">
      <w:lvlJc w:val="left"/>
      <w:lvlText w:val="%1"/>
      <w:numFmt w:val="decimal"/>
      <w:start w:val="1"/>
    </w:lvl>
    <w:lvl w:ilvl="1">
      <w:lvlJc w:val="left"/>
      <w:lvlText w:val="(%2)"/>
      <w:numFmt w:val="lowerLetter"/>
      <w:start w:val="3"/>
    </w:lvl>
  </w:abstractNum>
  <w:abstractNum w:abstractNumId="166">
    <w:nsid w:val="2C106A57"/>
    <w:multiLevelType w:val="hybridMultilevel"/>
    <w:lvl w:ilvl="0">
      <w:lvlJc w:val="left"/>
      <w:lvlText w:val="%1."/>
      <w:numFmt w:val="decimal"/>
      <w:start w:val="8"/>
    </w:lvl>
    <w:lvl w:ilvl="1">
      <w:lvlJc w:val="left"/>
      <w:lvlText w:val="(%2)"/>
      <w:numFmt w:val="lowerLetter"/>
      <w:start w:val="1"/>
    </w:lvl>
  </w:abstractNum>
  <w:abstractNum w:abstractNumId="167">
    <w:nsid w:val="684EED59"/>
    <w:multiLevelType w:val="hybridMultilevel"/>
    <w:lvl w:ilvl="0">
      <w:lvlJc w:val="left"/>
      <w:lvlText w:val="%1"/>
      <w:numFmt w:val="decimal"/>
      <w:start w:val="1"/>
    </w:lvl>
    <w:lvl w:ilvl="1">
      <w:lvlJc w:val="left"/>
      <w:lvlText w:val="(%2)"/>
      <w:numFmt w:val="lowerLetter"/>
      <w:start w:val="3"/>
    </w:lvl>
  </w:abstractNum>
  <w:abstractNum w:abstractNumId="168">
    <w:nsid w:val="545EE5D3"/>
    <w:multiLevelType w:val="hybridMultilevel"/>
    <w:lvl w:ilvl="0">
      <w:lvlJc w:val="left"/>
      <w:lvlText w:val="%1."/>
      <w:numFmt w:val="decimal"/>
      <w:start w:val="10"/>
    </w:lvl>
    <w:lvl w:ilvl="1">
      <w:lvlJc w:val="left"/>
      <w:lvlText w:val="(%2)"/>
      <w:numFmt w:val="lowerLetter"/>
      <w:start w:val="1"/>
    </w:lvl>
  </w:abstractNum>
  <w:abstractNum w:abstractNumId="169">
    <w:nsid w:val="4A6605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70">
    <w:nsid w:val="20F4BDAD"/>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71">
    <w:nsid w:val="639DEFA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72">
    <w:nsid w:val="501F9786"/>
    <w:multiLevelType w:val="hybridMultilevel"/>
    <w:lvl w:ilvl="0">
      <w:lvlJc w:val="left"/>
      <w:lvlText w:val="%1"/>
      <w:numFmt w:val="upperLetter"/>
      <w:start w:val="1"/>
    </w:lvl>
    <w:lvl w:ilvl="1">
      <w:lvlJc w:val="left"/>
      <w:lvlText w:val="(%2)"/>
      <w:numFmt w:val="lowerLetter"/>
      <w:start w:val="3"/>
    </w:lvl>
  </w:abstractNum>
  <w:abstractNum w:abstractNumId="173">
    <w:nsid w:val="6B057295"/>
    <w:multiLevelType w:val="hybridMultilevel"/>
    <w:lvl w:ilvl="0">
      <w:lvlJc w:val="left"/>
      <w:lvlText w:val="%1."/>
      <w:numFmt w:val="upperLetter"/>
      <w:start w:val="3"/>
    </w:lvl>
    <w:lvl w:ilvl="1">
      <w:lvlJc w:val="left"/>
      <w:lvlText w:val="%2"/>
      <w:numFmt w:val="lowerLetter"/>
      <w:start w:val="1"/>
    </w:lvl>
  </w:abstractNum>
  <w:abstractNum w:abstractNumId="174">
    <w:nsid w:val="2771AC80"/>
    <w:multiLevelType w:val="hybridMultilevel"/>
    <w:lvl w:ilvl="0">
      <w:lvlJc w:val="left"/>
      <w:lvlText w:val="%1."/>
      <w:numFmt w:val="upperLetter"/>
      <w:start w:val="4"/>
    </w:lvl>
  </w:abstractNum>
  <w:abstractNum w:abstractNumId="175">
    <w:nsid w:val="1C4A08EC"/>
    <w:multiLevelType w:val="hybridMultilevel"/>
    <w:lvl w:ilvl="0">
      <w:lvlJc w:val="left"/>
      <w:lvlText w:val="%1."/>
      <w:numFmt w:val="upperLetter"/>
      <w:start w:val="1"/>
    </w:lvl>
  </w:abstractNum>
  <w:abstractNum w:abstractNumId="176">
    <w:nsid w:val="1958BD17"/>
    <w:multiLevelType w:val="hybridMultilevel"/>
    <w:lvl w:ilvl="0">
      <w:lvlJc w:val="left"/>
      <w:lvlText w:val="%1."/>
      <w:numFmt w:val="upperLetter"/>
      <w:start w:val="2"/>
    </w:lvl>
  </w:abstractNum>
  <w:abstractNum w:abstractNumId="177">
    <w:nsid w:val="4E647FE4"/>
    <w:multiLevelType w:val="hybridMultilevel"/>
    <w:lvl w:ilvl="0">
      <w:lvlJc w:val="left"/>
      <w:lvlText w:val="%1."/>
      <w:numFmt w:val="upperLetter"/>
      <w:start w:val="3"/>
    </w:lvl>
  </w:abstractNum>
  <w:abstractNum w:abstractNumId="178">
    <w:nsid w:val="E0BB885"/>
    <w:multiLevelType w:val="hybridMultilevel"/>
    <w:lvl w:ilvl="0">
      <w:lvlJc w:val="left"/>
      <w:lvlText w:val="%1."/>
      <w:numFmt w:val="upperLetter"/>
      <w:start w:val="4"/>
    </w:lvl>
  </w:abstractNum>
  <w:abstractNum w:abstractNumId="179">
    <w:nsid w:val="565976F1"/>
    <w:multiLevelType w:val="hybridMultilevel"/>
    <w:lvl w:ilvl="0">
      <w:lvlJc w:val="left"/>
      <w:lvlText w:val="%1."/>
      <w:numFmt w:val="upperLetter"/>
      <w:start w:val="5"/>
    </w:lvl>
  </w:abstractNum>
  <w:abstractNum w:abstractNumId="180">
    <w:nsid w:val="64212B8C"/>
    <w:multiLevelType w:val="hybridMultilevel"/>
    <w:lvl w:ilvl="0">
      <w:lvlJc w:val="left"/>
      <w:lvlText w:val="%1."/>
      <w:numFmt w:val="upperLetter"/>
      <w:start w:val="6"/>
    </w:lvl>
  </w:abstractNum>
  <w:abstractNum w:abstractNumId="181">
    <w:nsid w:val="5C17530C"/>
    <w:multiLevelType w:val="hybridMultilevel"/>
    <w:lvl w:ilvl="0">
      <w:lvlJc w:val="left"/>
      <w:lvlText w:val="%1."/>
      <w:numFmt w:val="upperLetter"/>
      <w:start w:val="1"/>
    </w:lvl>
  </w:abstractNum>
  <w:abstractNum w:abstractNumId="182">
    <w:nsid w:val="19A52566"/>
    <w:multiLevelType w:val="hybridMultilevel"/>
    <w:lvl w:ilvl="0">
      <w:lvlJc w:val="left"/>
      <w:lvlText w:val="%1."/>
      <w:numFmt w:val="upperLetter"/>
      <w:start w:val="2"/>
    </w:lvl>
  </w:abstractNum>
  <w:abstractNum w:abstractNumId="183">
    <w:nsid w:val="335A1DF1"/>
    <w:multiLevelType w:val="hybridMultilevel"/>
    <w:lvl w:ilvl="0">
      <w:lvlJc w:val="left"/>
      <w:lvlText w:val="%1."/>
      <w:numFmt w:val="upperLetter"/>
      <w:start w:val="3"/>
    </w:lvl>
  </w:abstractNum>
  <w:abstractNum w:abstractNumId="184">
    <w:nsid w:val="28677B7C"/>
    <w:multiLevelType w:val="hybridMultilevel"/>
    <w:lvl w:ilvl="0">
      <w:lvlJc w:val="left"/>
      <w:lvlText w:val="(%1)"/>
      <w:numFmt w:val="lowerRoman"/>
      <w:start w:val="3"/>
    </w:lvl>
  </w:abstractNum>
  <w:abstractNum w:abstractNumId="185">
    <w:nsid w:val="378D97C0"/>
    <w:multiLevelType w:val="hybridMultilevel"/>
    <w:lvl w:ilvl="0">
      <w:lvlJc w:val="left"/>
      <w:lvlText w:val="%1."/>
      <w:numFmt w:val="upperLetter"/>
      <w:start w:val="4"/>
    </w:lvl>
  </w:abstractNum>
  <w:abstractNum w:abstractNumId="186">
    <w:nsid w:val="1D91467C"/>
    <w:multiLevelType w:val="hybridMultilevel"/>
    <w:lvl w:ilvl="0">
      <w:lvlJc w:val="left"/>
      <w:lvlText w:val="%1."/>
      <w:numFmt w:val="upperLetter"/>
      <w:start w:val="5"/>
    </w:lvl>
  </w:abstractNum>
  <w:abstractNum w:abstractNumId="187">
    <w:nsid w:val="316032BB"/>
    <w:multiLevelType w:val="hybridMultilevel"/>
    <w:lvl w:ilvl="0">
      <w:lvlJc w:val="left"/>
      <w:lvlText w:val="%1."/>
      <w:numFmt w:val="upperLetter"/>
      <w:start w:val="6"/>
    </w:lvl>
  </w:abstractNum>
  <w:abstractNum w:abstractNumId="188">
    <w:nsid w:val="44344C22"/>
    <w:multiLevelType w:val="hybridMultilevel"/>
    <w:lvl w:ilvl="0">
      <w:lvlJc w:val="left"/>
      <w:lvlText w:val="%1."/>
      <w:numFmt w:val="upperLetter"/>
      <w:start w:val="7"/>
    </w:lvl>
  </w:abstractNum>
  <w:abstractNum w:abstractNumId="189">
    <w:nsid w:val="13CDFCFC"/>
    <w:multiLevelType w:val="hybridMultilevel"/>
    <w:lvl w:ilvl="0">
      <w:lvlJc w:val="left"/>
      <w:lvlText w:val="%1."/>
      <w:numFmt w:val="upperLetter"/>
      <w:start w:val="8"/>
    </w:lvl>
  </w:abstractNum>
  <w:abstractNum w:abstractNumId="190">
    <w:nsid w:val="471745E4"/>
    <w:multiLevelType w:val="hybridMultilevel"/>
    <w:lvl w:ilvl="0">
      <w:lvlJc w:val="left"/>
      <w:lvlText w:val="%1."/>
      <w:numFmt w:val="upperLetter"/>
      <w:start w:val="9"/>
    </w:lvl>
  </w:abstractNum>
  <w:abstractNum w:abstractNumId="191">
    <w:nsid w:val="1DDBC66"/>
    <w:multiLevelType w:val="hybridMultilevel"/>
    <w:lvl w:ilvl="0">
      <w:lvlJc w:val="left"/>
      <w:lvlText w:val="%1."/>
      <w:numFmt w:val="upperLetter"/>
      <w:start w:val="10"/>
    </w:lvl>
  </w:abstractNum>
  <w:abstractNum w:abstractNumId="192">
    <w:nsid w:val="30AADFDA"/>
    <w:multiLevelType w:val="hybridMultilevel"/>
    <w:lvl w:ilvl="0">
      <w:lvlJc w:val="left"/>
      <w:lvlText w:val="%1."/>
      <w:numFmt w:val="upperLetter"/>
      <w:start w:val="11"/>
    </w:lvl>
  </w:abstractNum>
  <w:abstractNum w:abstractNumId="193">
    <w:nsid w:val="30EADA61"/>
    <w:multiLevelType w:val="hybridMultilevel"/>
    <w:lvl w:ilvl="0">
      <w:lvlJc w:val="left"/>
      <w:lvlText w:val="%1."/>
      <w:numFmt w:val="upperLetter"/>
      <w:start w:val="12"/>
    </w:lvl>
  </w:abstractNum>
  <w:abstractNum w:abstractNumId="194">
    <w:nsid w:val="27179C0B"/>
    <w:multiLevelType w:val="hybridMultilevel"/>
    <w:lvl w:ilvl="0">
      <w:lvlJc w:val="left"/>
      <w:lvlText w:val="%1."/>
      <w:numFmt w:val="upperLetter"/>
      <w:start w:val="13"/>
    </w:lvl>
  </w:abstractNum>
  <w:abstractNum w:abstractNumId="195">
    <w:nsid w:val="5E636063"/>
    <w:multiLevelType w:val="hybridMultilevel"/>
    <w:lvl w:ilvl="0">
      <w:lvlJc w:val="left"/>
      <w:lvlText w:val="%1."/>
      <w:numFmt w:val="upperLetter"/>
      <w:start w:val="14"/>
    </w:lvl>
  </w:abstractNum>
  <w:abstractNum w:abstractNumId="196">
    <w:nsid w:val="215641AF"/>
    <w:multiLevelType w:val="hybridMultilevel"/>
    <w:lvl w:ilvl="0">
      <w:lvlJc w:val="left"/>
      <w:lvlText w:val="%1."/>
      <w:numFmt w:val="upperLetter"/>
      <w:start w:val="15"/>
    </w:lvl>
  </w:abstractNum>
  <w:abstractNum w:abstractNumId="197">
    <w:nsid w:val="53280662"/>
    <w:multiLevelType w:val="hybridMultilevel"/>
    <w:lvl w:ilvl="0">
      <w:lvlJc w:val="left"/>
      <w:lvlText w:val="%1."/>
      <w:numFmt w:val="upperLetter"/>
      <w:start w:val="16"/>
    </w:lvl>
  </w:abstractNum>
  <w:abstractNum w:abstractNumId="198">
    <w:nsid w:val="46B24DBC"/>
    <w:multiLevelType w:val="hybridMultilevel"/>
    <w:lvl w:ilvl="0">
      <w:lvlJc w:val="left"/>
      <w:lvlText w:val="%1."/>
      <w:numFmt w:val="upperLetter"/>
      <w:start w:val="17"/>
    </w:lvl>
  </w:abstractNum>
  <w:abstractNum w:abstractNumId="199">
    <w:nsid w:val="75B52783"/>
    <w:multiLevelType w:val="hybridMultilevel"/>
    <w:lvl w:ilvl="0">
      <w:lvlJc w:val="left"/>
      <w:lvlText w:val="%1."/>
      <w:numFmt w:val="upperLetter"/>
      <w:start w:val="18"/>
    </w:lvl>
  </w:abstractNum>
  <w:abstractNum w:abstractNumId="200">
    <w:nsid w:val="57CE66B4"/>
    <w:multiLevelType w:val="hybridMultilevel"/>
    <w:lvl w:ilvl="0">
      <w:lvlJc w:val="left"/>
      <w:lvlText w:val="%1."/>
      <w:numFmt w:val="upperLetter"/>
      <w:start w:val="19"/>
    </w:lvl>
  </w:abstractNum>
  <w:abstractNum w:abstractNumId="201">
    <w:nsid w:val="67A70B69"/>
    <w:multiLevelType w:val="hybridMultilevel"/>
    <w:lvl w:ilvl="0">
      <w:lvlJc w:val="left"/>
      <w:lvlText w:val="%1."/>
      <w:numFmt w:val="upperLetter"/>
      <w:start w:val="20"/>
    </w:lvl>
  </w:abstractNum>
  <w:abstractNum w:abstractNumId="202">
    <w:nsid w:val="5953172F"/>
    <w:multiLevelType w:val="hybridMultilevel"/>
    <w:lvl w:ilvl="0">
      <w:lvlJc w:val="left"/>
      <w:lvlText w:val="%1."/>
      <w:numFmt w:val="upperLetter"/>
      <w:start w:val="21"/>
    </w:lvl>
  </w:abstractNum>
  <w:abstractNum w:abstractNumId="203">
    <w:nsid w:val="27EDFE3A"/>
    <w:multiLevelType w:val="hybridMultilevel"/>
    <w:lvl w:ilvl="0">
      <w:lvlJc w:val="left"/>
      <w:lvlText w:val="%1."/>
      <w:numFmt w:val="upperLetter"/>
      <w:start w:val="22"/>
    </w:lvl>
  </w:abstractNum>
  <w:abstractNum w:abstractNumId="204">
    <w:nsid w:val="52AC7DFF"/>
    <w:multiLevelType w:val="hybridMultilevel"/>
    <w:lvl w:ilvl="0">
      <w:lvlJc w:val="left"/>
      <w:lvlText w:val="%1."/>
      <w:numFmt w:val="upperLetter"/>
      <w:start w:val="1"/>
    </w:lvl>
  </w:abstractNum>
  <w:abstractNum w:abstractNumId="205">
    <w:nsid w:val="C4C3AF"/>
    <w:multiLevelType w:val="hybridMultilevel"/>
    <w:lvl w:ilvl="0">
      <w:lvlJc w:val="left"/>
      <w:lvlText w:val="(%1)"/>
      <w:numFmt w:val="lowerRoman"/>
      <w:start w:val="1"/>
    </w:lvl>
  </w:abstractNum>
  <w:abstractNum w:abstractNumId="206">
    <w:nsid w:val="44380727"/>
    <w:multiLevelType w:val="hybridMultilevel"/>
    <w:lvl w:ilvl="0">
      <w:lvlJc w:val="left"/>
      <w:lvlText w:val="(%1)"/>
      <w:numFmt w:val="lowerRoman"/>
      <w:start w:val="2"/>
    </w:lvl>
  </w:abstractNum>
  <w:abstractNum w:abstractNumId="207">
    <w:nsid w:val="6C053B16"/>
    <w:multiLevelType w:val="hybridMultilevel"/>
    <w:lvl w:ilvl="0">
      <w:lvlJc w:val="left"/>
      <w:lvlText w:val="%1."/>
      <w:numFmt w:val="upperLetter"/>
      <w:start w:val="2"/>
    </w:lvl>
  </w:abstractNum>
  <w:abstractNum w:abstractNumId="208">
    <w:nsid w:val="4F294393"/>
    <w:multiLevelType w:val="hybridMultilevel"/>
    <w:lvl w:ilvl="0">
      <w:lvlJc w:val="left"/>
      <w:lvlText w:val="%1."/>
      <w:numFmt w:val="upperLetter"/>
      <w:start w:val="3"/>
    </w:lvl>
  </w:abstractNum>
  <w:abstractNum w:abstractNumId="209">
    <w:nsid w:val="5243BFAC"/>
    <w:multiLevelType w:val="hybridMultilevel"/>
    <w:lvl w:ilvl="0">
      <w:lvlJc w:val="left"/>
      <w:lvlText w:val="%1."/>
      <w:numFmt w:val="upperLetter"/>
      <w:start w:val="4"/>
    </w:lvl>
  </w:abstractNum>
  <w:abstractNum w:abstractNumId="210">
    <w:nsid w:val="425EB207"/>
    <w:multiLevelType w:val="hybridMultilevel"/>
    <w:lvl w:ilvl="0">
      <w:lvlJc w:val="left"/>
      <w:lvlText w:val="%1."/>
      <w:numFmt w:val="upperLetter"/>
      <w:start w:val="5"/>
    </w:lvl>
  </w:abstractNum>
  <w:abstractNum w:abstractNumId="211">
    <w:nsid w:val="334A6F1F"/>
    <w:multiLevelType w:val="hybridMultilevel"/>
    <w:lvl w:ilvl="0">
      <w:lvlJc w:val="left"/>
      <w:lvlText w:val="%1."/>
      <w:numFmt w:val="upperLetter"/>
      <w:start w:val="6"/>
    </w:lvl>
  </w:abstractNum>
  <w:abstractNum w:abstractNumId="212">
    <w:nsid w:val="2E5B12B8"/>
    <w:multiLevelType w:val="hybridMultilevel"/>
    <w:lvl w:ilvl="0">
      <w:lvlJc w:val="left"/>
      <w:lvlText w:val="%1."/>
      <w:numFmt w:val="upperLetter"/>
      <w:start w:val="7"/>
    </w:lvl>
  </w:abstractNum>
  <w:abstractNum w:abstractNumId="213">
    <w:nsid w:val="5C03D76D"/>
    <w:multiLevelType w:val="hybridMultilevel"/>
    <w:lvl w:ilvl="0">
      <w:lvlJc w:val="left"/>
      <w:lvlText w:val="%1."/>
      <w:numFmt w:val="upperLetter"/>
      <w:start w:val="8"/>
    </w:lvl>
  </w:abstractNum>
  <w:abstractNum w:abstractNumId="214">
    <w:nsid w:val="66A48D11"/>
    <w:multiLevelType w:val="hybridMultilevel"/>
    <w:lvl w:ilvl="0">
      <w:lvlJc w:val="left"/>
      <w:lvlText w:val="%1."/>
      <w:numFmt w:val="upperLetter"/>
      <w:start w:val="9"/>
    </w:lvl>
  </w:abstractNum>
  <w:abstractNum w:abstractNumId="215">
    <w:nsid w:val="56C28E34"/>
    <w:multiLevelType w:val="hybridMultilevel"/>
    <w:lvl w:ilvl="0">
      <w:lvlJc w:val="left"/>
      <w:lvlText w:val="%1."/>
      <w:numFmt w:val="upperLetter"/>
      <w:start w:val="10"/>
    </w:lvl>
  </w:abstractNum>
  <w:abstractNum w:abstractNumId="216">
    <w:nsid w:val="13916F2D"/>
    <w:multiLevelType w:val="hybridMultilevel"/>
    <w:lvl w:ilvl="0">
      <w:lvlJc w:val="left"/>
      <w:lvlText w:val="%1."/>
      <w:numFmt w:val="upperLetter"/>
      <w:start w:val="1"/>
    </w:lvl>
  </w:abstractNum>
  <w:abstractNum w:abstractNumId="217">
    <w:nsid w:val="435D38D"/>
    <w:multiLevelType w:val="hybridMultilevel"/>
    <w:lvl w:ilvl="0">
      <w:lvlJc w:val="left"/>
      <w:lvlText w:val="%1."/>
      <w:numFmt w:val="upperLetter"/>
      <w:start w:val="2"/>
    </w:lvl>
  </w:abstractNum>
  <w:abstractNum w:abstractNumId="218">
    <w:nsid w:val="822C0EF"/>
    <w:multiLevelType w:val="hybridMultilevel"/>
    <w:lvl w:ilvl="0">
      <w:lvlJc w:val="left"/>
      <w:lvlText w:val="%1."/>
      <w:numFmt w:val="upperLetter"/>
      <w:start w:val="3"/>
    </w:lvl>
  </w:abstractNum>
  <w:abstractNum w:abstractNumId="219">
    <w:nsid w:val="57C5BB4F"/>
    <w:multiLevelType w:val="hybridMultilevel"/>
    <w:lvl w:ilvl="0">
      <w:lvlJc w:val="left"/>
      <w:lvlText w:val="%1."/>
      <w:numFmt w:val="upperLetter"/>
      <w:start w:val="4"/>
    </w:lvl>
    <w:lvl w:ilvl="1">
      <w:lvlJc w:val="left"/>
      <w:lvlText w:val="%2."/>
      <w:numFmt w:val="decimal"/>
      <w:start w:val="1"/>
    </w:lvl>
  </w:abstractNum>
  <w:abstractNum w:abstractNumId="220">
    <w:nsid w:val="1803D089"/>
    <w:multiLevelType w:val="hybridMultilevel"/>
    <w:lvl w:ilvl="0">
      <w:lvlJc w:val="left"/>
      <w:lvlText w:val="%1."/>
      <w:numFmt w:val="decimal"/>
      <w:start w:val="2"/>
    </w:lvl>
  </w:abstractNum>
  <w:abstractNum w:abstractNumId="221">
    <w:nsid w:val="4F3A06D4"/>
    <w:multiLevelType w:val="hybridMultilevel"/>
    <w:lvl w:ilvl="0">
      <w:lvlJc w:val="left"/>
      <w:lvlText w:val="%1."/>
      <w:numFmt w:val="decimal"/>
      <w:start w:val="3"/>
    </w:lvl>
  </w:abstractNum>
  <w:abstractNum w:abstractNumId="222">
    <w:nsid w:val="59A377B6"/>
    <w:multiLevelType w:val="hybridMultilevel"/>
    <w:lvl w:ilvl="0">
      <w:lvlJc w:val="left"/>
      <w:lvlText w:val="%1."/>
      <w:numFmt w:val="decimal"/>
      <w:start w:val="4"/>
    </w:lvl>
    <w:lvl w:ilvl="1">
      <w:lvlJc w:val="left"/>
      <w:lvlText w:val="(%2)"/>
      <w:numFmt w:val="lowerLetter"/>
      <w:start w:val="1"/>
    </w:lvl>
  </w:abstractNum>
  <w:abstractNum w:abstractNumId="223">
    <w:nsid w:val="48AEB063"/>
    <w:multiLevelType w:val="hybridMultilevel"/>
    <w:lvl w:ilvl="0">
      <w:lvlJc w:val="left"/>
      <w:lvlText w:val="(%1)"/>
      <w:numFmt w:val="lowerLetter"/>
      <w:start w:val="2"/>
    </w:lvl>
  </w:abstractNum>
  <w:abstractNum w:abstractNumId="224">
    <w:nsid w:val="24E135"/>
    <w:multiLevelType w:val="hybridMultilevel"/>
    <w:lvl w:ilvl="0">
      <w:lvlJc w:val="left"/>
      <w:lvlText w:val="(%1)"/>
      <w:numFmt w:val="lowerLetter"/>
      <w:start w:val="3"/>
    </w:lvl>
  </w:abstractNum>
  <w:abstractNum w:abstractNumId="225">
    <w:nsid w:val="BB13C1"/>
    <w:multiLevelType w:val="hybridMultilevel"/>
    <w:lvl w:ilvl="0">
      <w:lvlJc w:val="left"/>
      <w:lvlText w:val="%1."/>
      <w:numFmt w:val="upperLetter"/>
      <w:start w:val="5"/>
    </w:lvl>
  </w:abstractNum>
  <w:abstractNum w:abstractNumId="226">
    <w:nsid w:val="271210C7"/>
    <w:multiLevelType w:val="hybridMultilevel"/>
    <w:lvl w:ilvl="0">
      <w:lvlJc w:val="left"/>
      <w:lvlText w:val="%1."/>
      <w:numFmt w:val="upperLetter"/>
      <w:start w:val="6"/>
    </w:lvl>
  </w:abstractNum>
  <w:abstractNum w:abstractNumId="227">
    <w:nsid w:val="217B22E4"/>
    <w:multiLevelType w:val="hybridMultilevel"/>
    <w:lvl w:ilvl="0">
      <w:lvlJc w:val="left"/>
      <w:lvlText w:val="%1."/>
      <w:numFmt w:val="upperLetter"/>
      <w:start w:val="8"/>
    </w:lvl>
  </w:abstractNum>
  <w:abstractNum w:abstractNumId="228">
    <w:nsid w:val="53E31A24"/>
    <w:multiLevelType w:val="hybridMultilevel"/>
    <w:lvl w:ilvl="0">
      <w:lvlJc w:val="left"/>
      <w:lvlText w:val="%1."/>
      <w:numFmt w:val="upperLetter"/>
      <w:start w:val="9"/>
    </w:lvl>
  </w:abstractNum>
  <w:abstractNum w:abstractNumId="229">
    <w:nsid w:val="6DC45E83"/>
    <w:multiLevelType w:val="hybridMultilevel"/>
    <w:lvl w:ilvl="0">
      <w:lvlJc w:val="left"/>
      <w:lvlText w:val="%1."/>
      <w:numFmt w:val="upperLetter"/>
      <w:start w:val="1"/>
    </w:lvl>
  </w:abstractNum>
  <w:abstractNum w:abstractNumId="230">
    <w:nsid w:val="17304A67"/>
    <w:multiLevelType w:val="hybridMultilevel"/>
    <w:lvl w:ilvl="0">
      <w:lvlJc w:val="left"/>
      <w:lvlText w:val="%1."/>
      <w:numFmt w:val="decimal"/>
      <w:start w:val="2"/>
    </w:lvl>
  </w:abstractNum>
  <w:abstractNum w:abstractNumId="231">
    <w:nsid w:val="2BB180D8"/>
    <w:multiLevelType w:val="hybridMultilevel"/>
    <w:lvl w:ilvl="0">
      <w:lvlJc w:val="left"/>
      <w:lvlText w:val="%1."/>
      <w:numFmt w:val="decimal"/>
      <w:start w:val="3"/>
    </w:lvl>
  </w:abstractNum>
  <w:abstractNum w:abstractNumId="232">
    <w:nsid w:val="556B69ED"/>
    <w:multiLevelType w:val="hybridMultilevel"/>
    <w:lvl w:ilvl="0">
      <w:lvlJc w:val="left"/>
      <w:lvlText w:val="%1."/>
      <w:numFmt w:val="decimal"/>
      <w:start w:val="4"/>
    </w:lvl>
  </w:abstractNum>
  <w:abstractNum w:abstractNumId="233">
    <w:nsid w:val="70836196"/>
    <w:multiLevelType w:val="hybridMultilevel"/>
    <w:lvl w:ilvl="0">
      <w:lvlJc w:val="left"/>
      <w:lvlText w:val="%1."/>
      <w:numFmt w:val="upperLetter"/>
      <w:start w:val="2"/>
    </w:lvl>
  </w:abstractNum>
  <w:abstractNum w:abstractNumId="234">
    <w:nsid w:val="539F7F12"/>
    <w:multiLevelType w:val="hybridMultilevel"/>
    <w:lvl w:ilvl="0">
      <w:lvlJc w:val="left"/>
      <w:lvlText w:val="%1."/>
      <w:numFmt w:val="upperLetter"/>
      <w:start w:val="3"/>
    </w:lvl>
  </w:abstractNum>
  <w:abstractNum w:abstractNumId="235">
    <w:nsid w:val="2817E7EC"/>
    <w:multiLevelType w:val="hybridMultilevel"/>
    <w:lvl w:ilvl="0">
      <w:lvlJc w:val="left"/>
      <w:lvlText w:val="%1."/>
      <w:numFmt w:val="upperLetter"/>
      <w:start w:val="4"/>
    </w:lvl>
  </w:abstractNum>
  <w:abstractNum w:abstractNumId="236">
    <w:nsid w:val="71482545"/>
    <w:multiLevelType w:val="hybridMultilevel"/>
    <w:lvl w:ilvl="0">
      <w:lvlJc w:val="left"/>
      <w:lvlText w:val="%1."/>
      <w:numFmt w:val="upperLetter"/>
      <w:start w:val="1"/>
    </w:lvl>
    <w:lvl w:ilvl="1">
      <w:lvlJc w:val="left"/>
      <w:lvlText w:val="%2."/>
      <w:numFmt w:val="decimal"/>
      <w:start w:val="1"/>
    </w:lvl>
  </w:abstractNum>
  <w:abstractNum w:abstractNumId="237">
    <w:nsid w:val="17D78639"/>
    <w:multiLevelType w:val="hybridMultilevel"/>
    <w:lvl w:ilvl="0">
      <w:lvlJc w:val="left"/>
      <w:lvlText w:val="%1."/>
      <w:numFmt w:val="decimal"/>
      <w:start w:val="4"/>
    </w:lvl>
  </w:abstractNum>
  <w:abstractNum w:abstractNumId="238">
    <w:nsid w:val="141D2302"/>
    <w:multiLevelType w:val="hybridMultilevel"/>
    <w:lvl w:ilvl="0">
      <w:lvlJc w:val="left"/>
      <w:lvlText w:val="%1."/>
      <w:numFmt w:val="decimal"/>
      <w:start w:val="11"/>
    </w:lvl>
  </w:abstractNum>
  <w:abstractNum w:abstractNumId="239">
    <w:nsid w:val="407168D8"/>
    <w:multiLevelType w:val="hybridMultilevel"/>
    <w:lvl w:ilvl="0">
      <w:lvlJc w:val="left"/>
      <w:lvlText w:val="%1."/>
      <w:numFmt w:val="decimal"/>
      <w:start w:val="1"/>
    </w:lvl>
  </w:abstractNum>
  <w:abstractNum w:abstractNumId="240">
    <w:nsid w:val="6A1B45E5"/>
    <w:multiLevelType w:val="hybridMultilevel"/>
    <w:lvl w:ilvl="0">
      <w:lvlJc w:val="left"/>
      <w:lvlText w:val="(%1)"/>
      <w:numFmt w:val="lowerRoman"/>
      <w:start w:val="4"/>
    </w:lvl>
    <w:lvl w:ilvl="1">
      <w:lvlJc w:val="left"/>
      <w:lvlText w:val="%2."/>
      <w:numFmt w:val="decimal"/>
      <w:start w:val="2"/>
    </w:lvl>
  </w:abstractNum>
  <w:abstractNum w:abstractNumId="241">
    <w:nsid w:val="567BD50A"/>
    <w:multiLevelType w:val="hybridMultilevel"/>
    <w:lvl w:ilvl="0">
      <w:lvlJc w:val="left"/>
      <w:lvlText w:val="%1."/>
      <w:numFmt w:val="decimal"/>
      <w:start w:val="1"/>
    </w:lvl>
  </w:abstractNum>
  <w:abstractNum w:abstractNumId="242">
    <w:nsid w:val="73BBD7F8"/>
    <w:multiLevelType w:val="hybridMultilevel"/>
    <w:lvl w:ilvl="0">
      <w:lvlJc w:val="left"/>
      <w:lvlText w:val="%1."/>
      <w:numFmt w:val="decimal"/>
      <w:start w:val="2"/>
    </w:lvl>
  </w:abstractNum>
  <w:abstractNum w:abstractNumId="243">
    <w:nsid w:val="1876589D"/>
    <w:multiLevelType w:val="hybridMultilevel"/>
    <w:lvl w:ilvl="0">
      <w:lvlJc w:val="left"/>
      <w:lvlText w:val="%1."/>
      <w:numFmt w:val="decimal"/>
      <w:start w:val="1"/>
    </w:lvl>
  </w:abstractNum>
  <w:abstractNum w:abstractNumId="244">
    <w:nsid w:val="327FAC77"/>
    <w:multiLevelType w:val="hybridMultilevel"/>
    <w:lvl w:ilvl="0">
      <w:lvlJc w:val="left"/>
      <w:lvlText w:val="%1."/>
      <w:numFmt w:val="decimal"/>
      <w:start w:val="5"/>
    </w:lvl>
  </w:abstractNum>
  <w:abstractNum w:abstractNumId="245">
    <w:nsid w:val="5A606509"/>
    <w:multiLevelType w:val="hybridMultilevel"/>
    <w:lvl w:ilvl="0">
      <w:lvlJc w:val="left"/>
      <w:lvlText w:val="%1."/>
      <w:numFmt w:val="decimal"/>
      <w:start w:val="1"/>
    </w:lvl>
  </w:abstractNum>
  <w:abstractNum w:abstractNumId="246">
    <w:nsid w:val="6F38E6D1"/>
    <w:multiLevelType w:val="hybridMultilevel"/>
    <w:lvl w:ilvl="0">
      <w:lvlJc w:val="left"/>
      <w:lvlText w:val="%1."/>
      <w:numFmt w:val="decimal"/>
      <w:start w:val="3"/>
    </w:lvl>
  </w:abstractNum>
  <w:abstractNum w:abstractNumId="247">
    <w:nsid w:val="46111BA5"/>
    <w:multiLevelType w:val="hybridMultilevel"/>
    <w:lvl w:ilvl="0">
      <w:lvlJc w:val="left"/>
      <w:lvlText w:val="%1."/>
      <w:numFmt w:val="decimal"/>
      <w:start w:val="4"/>
    </w:lvl>
    <w:lvl w:ilvl="1">
      <w:lvlJc w:val="left"/>
      <w:lvlText w:val="%2."/>
      <w:numFmt w:val="lowerLetter"/>
      <w:start w:val="1"/>
    </w:lvl>
  </w:abstractNum>
  <w:abstractNum w:abstractNumId="248">
    <w:nsid w:val="5E963896"/>
    <w:multiLevelType w:val="hybridMultilevel"/>
    <w:lvl w:ilvl="0">
      <w:lvlJc w:val="left"/>
      <w:lvlText w:val="%1."/>
      <w:numFmt w:val="decimal"/>
      <w:start w:val="8"/>
    </w:lvl>
  </w:abstractNum>
  <w:abstractNum w:abstractNumId="249">
    <w:nsid w:val="775BA7C1"/>
    <w:multiLevelType w:val="hybridMultilevel"/>
    <w:lvl w:ilvl="0">
      <w:lvlJc w:val="left"/>
      <w:lvlText w:val="%1."/>
      <w:numFmt w:val="decimal"/>
      <w:start w:val="10"/>
    </w:lvl>
  </w:abstractNum>
  <w:abstractNum w:abstractNumId="250">
    <w:nsid w:val="1DD6D6F4"/>
    <w:multiLevelType w:val="hybridMultilevel"/>
    <w:lvl w:ilvl="0">
      <w:lvlJc w:val="left"/>
      <w:lvlText w:val="%1."/>
      <w:numFmt w:val="decimal"/>
      <w:start w:val="11"/>
    </w:lvl>
  </w:abstractNum>
  <w:abstractNum w:abstractNumId="251">
    <w:nsid w:val="769A091F"/>
    <w:multiLevelType w:val="hybridMultilevel"/>
    <w:lvl w:ilvl="0">
      <w:lvlJc w:val="left"/>
      <w:lvlText w:val="%1."/>
      <w:numFmt w:val="decimal"/>
      <w:start w:val="12"/>
    </w:lvl>
  </w:abstractNum>
  <w:abstractNum w:abstractNumId="252">
    <w:nsid w:val="4695AE95"/>
    <w:multiLevelType w:val="hybridMultilevel"/>
    <w:lvl w:ilvl="0">
      <w:lvlJc w:val="left"/>
      <w:lvlText w:val="%1."/>
      <w:numFmt w:val="decimal"/>
      <w:start w:val="13"/>
    </w:lvl>
  </w:abstractNum>
  <w:abstractNum w:abstractNumId="253">
    <w:nsid w:val="777A4EAA"/>
    <w:multiLevelType w:val="hybridMultilevel"/>
    <w:lvl w:ilvl="0">
      <w:lvlJc w:val="left"/>
      <w:lvlText w:val="%1."/>
      <w:numFmt w:val="decimal"/>
      <w:start w:val="14"/>
    </w:lvl>
  </w:abstractNum>
  <w:abstractNum w:abstractNumId="254">
    <w:nsid w:val="3F48B98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5">
    <w:nsid w:val="46BA8FCA"/>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56">
    <w:nsid w:val="7835626C"/>
    <w:multiLevelType w:val="hybridMultilevel"/>
    <w:lvl w:ilvl="0">
      <w:lvlJc w:val="left"/>
      <w:lvlText w:val="%1."/>
      <w:numFmt w:val="lowerLetter"/>
      <w:start w:val="3"/>
    </w:lvl>
  </w:abstractNum>
  <w:abstractNum w:abstractNumId="257">
    <w:nsid w:val="665ACA49"/>
    <w:multiLevelType w:val="hybridMultilevel"/>
    <w:lvl w:ilvl="0">
      <w:lvlJc w:val="left"/>
      <w:lvlText w:val="(%1)"/>
      <w:numFmt w:val="lowerLetter"/>
      <w:start w:val="1"/>
    </w:lvl>
  </w:abstractNum>
  <w:abstractNum w:abstractNumId="258">
    <w:nsid w:val="6835B2AE"/>
    <w:multiLevelType w:val="hybridMultilevel"/>
    <w:lvl w:ilvl="0">
      <w:lvlJc w:val="left"/>
      <w:lvlText w:val="(%1)"/>
      <w:numFmt w:val="lowerLetter"/>
      <w:start w:val="2"/>
    </w:lvl>
  </w:abstractNum>
  <w:abstractNum w:abstractNumId="259">
    <w:nsid w:val="4C187C90"/>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2019-12-20T15:18:23Z</dcterms:created>
  <dcterms:modified xsi:type="dcterms:W3CDTF">2019-12-20T15:18:23Z</dcterms:modified>
</cp:coreProperties>
</file>