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Bausch Christoph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2000 SAINT JAMES PLACE,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43"/>
        <w:spacing w:after="0"/>
        <w:rPr>
          <w:sz w:val="20"/>
          <w:szCs w:val="20"/>
          <w:color w:val="auto"/>
        </w:rPr>
      </w:pPr>
      <w:r>
        <w:rPr>
          <w:rFonts w:ascii="Arial" w:cs="Arial" w:eastAsia="Arial" w:hAnsi="Arial"/>
          <w:sz w:val="18"/>
          <w:szCs w:val="18"/>
          <w:color w:val="0000FF"/>
        </w:rPr>
        <w:t>EVP and CFO</w:t>
      </w:r>
    </w:p>
    <w:p>
      <w:pPr>
        <w:spacing w:after="0" w:line="312"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01/31/2019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7"/>
              </w:rPr>
              <w:t>33,375</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0.64</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504,822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Christine M. Morrison, by</w:t>
            </w:r>
          </w:p>
        </w:tc>
        <w:tc>
          <w:tcPr>
            <w:tcW w:w="2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02/04/2019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2529"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2019-12-24T08:54:12Z</dcterms:created>
  <dcterms:modified xsi:type="dcterms:W3CDTF">2019-12-24T08:54:12Z</dcterms:modified>
</cp:coreProperties>
</file>