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25"/>
          <w:szCs w:val="25"/>
          <w:b w:val="1"/>
          <w:bCs w:val="1"/>
          <w:color w:val="auto"/>
        </w:rPr>
        <w:t>Washington, D.C. 20549</w:t>
      </w:r>
    </w:p>
    <w:p>
      <w:pPr>
        <w:spacing w:after="0" w:line="353"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FORM 11-K</w:t>
      </w:r>
    </w:p>
    <w:p>
      <w:pPr>
        <w:spacing w:after="0" w:line="350" w:lineRule="exact"/>
        <w:rPr>
          <w:sz w:val="24"/>
          <w:szCs w:val="24"/>
          <w:color w:val="auto"/>
        </w:rPr>
      </w:pPr>
    </w:p>
    <w:p>
      <w:pPr>
        <w:jc w:val="center"/>
        <w:ind w:left="2840"/>
        <w:spacing w:after="0" w:line="259" w:lineRule="auto"/>
        <w:rPr>
          <w:sz w:val="20"/>
          <w:szCs w:val="20"/>
          <w:color w:val="auto"/>
        </w:rPr>
      </w:pPr>
      <w:r>
        <w:rPr>
          <w:rFonts w:ascii="Arial" w:cs="Arial" w:eastAsia="Arial" w:hAnsi="Arial"/>
          <w:sz w:val="25"/>
          <w:szCs w:val="25"/>
          <w:b w:val="1"/>
          <w:bCs w:val="1"/>
          <w:color w:val="auto"/>
        </w:rPr>
        <w:t>FOR ANNUAL REPORTS OF EMPLOYEE STOCK PURCHASE, SAVINGS AND SIMILAR PLANS PURSUANT TO SECTION 15(d) OF THE SECURITIES EXCHANGE ACT OF 1934</w:t>
      </w:r>
    </w:p>
    <w:p>
      <w:pPr>
        <w:sectPr>
          <w:pgSz w:w="11900" w:h="16838" w:orient="portrait"/>
          <w:cols w:equalWidth="0" w:num="1">
            <w:col w:w="10219"/>
          </w:cols>
          <w:pgMar w:left="240" w:top="233" w:right="1440" w:bottom="1440" w:gutter="0" w:footer="0" w:header="0"/>
        </w:sectPr>
      </w:pPr>
    </w:p>
    <w:p>
      <w:pPr>
        <w:spacing w:after="0" w:line="200" w:lineRule="exact"/>
        <w:rPr>
          <w:sz w:val="24"/>
          <w:szCs w:val="24"/>
          <w:color w:val="auto"/>
        </w:rPr>
      </w:pPr>
    </w:p>
    <w:p>
      <w:pPr>
        <w:spacing w:after="0" w:line="399" w:lineRule="exact"/>
        <w:rPr>
          <w:sz w:val="24"/>
          <w:szCs w:val="24"/>
          <w:color w:val="auto"/>
        </w:rPr>
      </w:pPr>
    </w:p>
    <w:p>
      <w:pPr>
        <w:ind w:left="13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159"/>
        <w:spacing w:after="0"/>
        <w:rPr>
          <w:sz w:val="20"/>
          <w:szCs w:val="20"/>
          <w:color w:val="auto"/>
        </w:rPr>
      </w:pPr>
      <w:r>
        <w:rPr>
          <w:rFonts w:ascii="Arial" w:cs="Arial" w:eastAsia="Arial" w:hAnsi="Arial"/>
          <w:sz w:val="17"/>
          <w:szCs w:val="17"/>
          <w:b w:val="1"/>
          <w:bCs w:val="1"/>
          <w:color w:val="auto"/>
        </w:rPr>
        <w:t>ANNUAL REPORT PURSUANT TO SECTION 15(d)</w:t>
      </w:r>
    </w:p>
    <w:p>
      <w:pPr>
        <w:spacing w:after="0" w:line="39" w:lineRule="exact"/>
        <w:rPr>
          <w:sz w:val="24"/>
          <w:szCs w:val="24"/>
          <w:color w:val="auto"/>
        </w:rPr>
      </w:pPr>
    </w:p>
    <w:p>
      <w:pPr>
        <w:jc w:val="center"/>
        <w:ind w:right="2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5" w:lineRule="exact"/>
        <w:rPr>
          <w:sz w:val="24"/>
          <w:szCs w:val="24"/>
          <w:color w:val="auto"/>
        </w:rPr>
      </w:pPr>
    </w:p>
    <w:p>
      <w:pPr>
        <w:sectPr>
          <w:pgSz w:w="11900" w:h="16838" w:orient="portrait"/>
          <w:cols w:equalWidth="0" w:num="2">
            <w:col w:w="3140" w:space="720"/>
            <w:col w:w="6359"/>
          </w:cols>
          <w:pgMar w:left="240" w:top="233" w:right="1440" w:bottom="1440" w:gutter="0" w:footer="0" w:header="0"/>
          <w:type w:val="continuous"/>
        </w:sectPr>
      </w:pPr>
    </w:p>
    <w:p>
      <w:pPr>
        <w:jc w:val="center"/>
        <w:ind w:left="500"/>
        <w:spacing w:after="0"/>
        <w:rPr>
          <w:sz w:val="20"/>
          <w:szCs w:val="20"/>
          <w:color w:val="auto"/>
        </w:rPr>
      </w:pPr>
      <w:r>
        <w:rPr>
          <w:rFonts w:ascii="Arial" w:cs="Arial" w:eastAsia="Arial" w:hAnsi="Arial"/>
          <w:sz w:val="16"/>
          <w:szCs w:val="16"/>
          <w:b w:val="1"/>
          <w:bCs w:val="1"/>
          <w:color w:val="auto"/>
        </w:rPr>
        <w:t>For the fiscal year ended December 31, 2015</w:t>
      </w:r>
    </w:p>
    <w:p>
      <w:pPr>
        <w:spacing w:after="0" w:line="12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0219"/>
          </w:cols>
          <w:pgMar w:left="240" w:top="233" w:right="1440" w:bottom="1440" w:gutter="0" w:footer="0" w:header="0"/>
          <w:type w:val="continuous"/>
        </w:sectPr>
      </w:pPr>
    </w:p>
    <w:p>
      <w:pPr>
        <w:spacing w:after="0" w:line="252"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1979"/>
        <w:spacing w:after="0"/>
        <w:rPr>
          <w:sz w:val="20"/>
          <w:szCs w:val="20"/>
          <w:color w:val="auto"/>
        </w:rPr>
      </w:pPr>
      <w:r>
        <w:rPr>
          <w:rFonts w:ascii="Arial" w:cs="Arial" w:eastAsia="Arial" w:hAnsi="Arial"/>
          <w:sz w:val="17"/>
          <w:szCs w:val="17"/>
          <w:b w:val="1"/>
          <w:bCs w:val="1"/>
          <w:color w:val="auto"/>
        </w:rPr>
        <w:t>TRANSITION REPORT PURSUANT TO SECTION 15(d)</w:t>
      </w:r>
    </w:p>
    <w:p>
      <w:pPr>
        <w:spacing w:after="0" w:line="39" w:lineRule="exact"/>
        <w:rPr>
          <w:sz w:val="24"/>
          <w:szCs w:val="24"/>
          <w:color w:val="auto"/>
        </w:rPr>
      </w:pPr>
    </w:p>
    <w:p>
      <w:pPr>
        <w:jc w:val="center"/>
        <w:ind w:right="19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5" w:lineRule="exact"/>
        <w:rPr>
          <w:sz w:val="24"/>
          <w:szCs w:val="24"/>
          <w:color w:val="auto"/>
        </w:rPr>
      </w:pPr>
    </w:p>
    <w:p>
      <w:pPr>
        <w:sectPr>
          <w:pgSz w:w="11900" w:h="16838" w:orient="portrait"/>
          <w:cols w:equalWidth="0" w:num="2">
            <w:col w:w="2960" w:space="720"/>
            <w:col w:w="6539"/>
          </w:cols>
          <w:pgMar w:left="240" w:top="233" w:right="1440" w:bottom="1440" w:gutter="0" w:footer="0" w:header="0"/>
          <w:type w:val="continuous"/>
        </w:sectPr>
      </w:pPr>
    </w:p>
    <w:p>
      <w:pPr>
        <w:ind w:left="3760"/>
        <w:spacing w:after="0"/>
        <w:rPr>
          <w:sz w:val="20"/>
          <w:szCs w:val="20"/>
          <w:color w:val="auto"/>
        </w:rPr>
      </w:pPr>
      <w:r>
        <w:rPr>
          <w:rFonts w:ascii="Arial" w:cs="Arial" w:eastAsia="Arial" w:hAnsi="Arial"/>
          <w:sz w:val="16"/>
          <w:szCs w:val="16"/>
          <w:b w:val="1"/>
          <w:bCs w:val="1"/>
          <w:color w:val="auto"/>
        </w:rPr>
        <w:t>For the transition period from __________ to __________</w:t>
      </w:r>
    </w:p>
    <w:p>
      <w:pPr>
        <w:spacing w:after="0" w:line="244"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Commission file number 001-36504</w:t>
      </w:r>
    </w:p>
    <w:p>
      <w:pPr>
        <w:sectPr>
          <w:pgSz w:w="11900" w:h="16838" w:orient="portrait"/>
          <w:cols w:equalWidth="0" w:num="1">
            <w:col w:w="10219"/>
          </w:cols>
          <w:pgMar w:left="240" w:top="233" w:right="1440"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jc w:val="center"/>
        <w:ind w:left="1540" w:right="339"/>
        <w:spacing w:after="0" w:line="283" w:lineRule="auto"/>
        <w:rPr>
          <w:sz w:val="20"/>
          <w:szCs w:val="20"/>
          <w:color w:val="auto"/>
        </w:rPr>
      </w:pPr>
      <w:r>
        <w:rPr>
          <w:rFonts w:ascii="Arial" w:cs="Arial" w:eastAsia="Arial" w:hAnsi="Arial"/>
          <w:sz w:val="43"/>
          <w:szCs w:val="43"/>
          <w:b w:val="1"/>
          <w:bCs w:val="1"/>
          <w:color w:val="auto"/>
        </w:rPr>
        <w:t>WEATHERFORD INTERNATIONAL, LLC 401(k) SAVINGS PLAN</w:t>
      </w:r>
    </w:p>
    <w:p>
      <w:pPr>
        <w:spacing w:after="0" w:line="83" w:lineRule="exact"/>
        <w:rPr>
          <w:sz w:val="24"/>
          <w:szCs w:val="24"/>
          <w:color w:val="auto"/>
        </w:rPr>
      </w:pPr>
    </w:p>
    <w:p>
      <w:pPr>
        <w:ind w:left="4600"/>
        <w:spacing w:after="0"/>
        <w:rPr>
          <w:sz w:val="20"/>
          <w:szCs w:val="20"/>
          <w:color w:val="auto"/>
        </w:rPr>
      </w:pPr>
      <w:r>
        <w:rPr>
          <w:rFonts w:ascii="Arial" w:cs="Arial" w:eastAsia="Arial" w:hAnsi="Arial"/>
          <w:sz w:val="25"/>
          <w:szCs w:val="25"/>
          <w:b w:val="1"/>
          <w:bCs w:val="1"/>
          <w:color w:val="auto"/>
        </w:rPr>
        <w:t>2000 St. James Place</w:t>
      </w:r>
    </w:p>
    <w:p>
      <w:pPr>
        <w:spacing w:after="0" w:line="38"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Houston, Texas 77056</w:t>
      </w:r>
    </w:p>
    <w:p>
      <w:pPr>
        <w:spacing w:after="0" w:line="36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Weatherford International plc</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Bahnhofstrasse 1, 6340 Baar,</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Switzerland</w:t>
      </w:r>
    </w:p>
    <w:p>
      <w:pPr>
        <w:sectPr>
          <w:pgSz w:w="11900" w:h="16838" w:orient="portrait"/>
          <w:cols w:equalWidth="0" w:num="1">
            <w:col w:w="10219"/>
          </w:cols>
          <w:pgMar w:left="240" w:top="233"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STATEMENTS AND SUPPLEMENTAL SCHEDULE</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80" w:type="dxa"/>
            <w:vAlign w:val="bottom"/>
            <w:gridSpan w:val="7"/>
          </w:tcPr>
          <w:p>
            <w:pPr>
              <w:ind w:left="1800"/>
              <w:spacing w:after="0"/>
              <w:rPr>
                <w:sz w:val="20"/>
                <w:szCs w:val="20"/>
                <w:color w:val="auto"/>
              </w:rPr>
            </w:pPr>
            <w:r>
              <w:rPr>
                <w:rFonts w:ascii="Arial" w:cs="Arial" w:eastAsia="Arial" w:hAnsi="Arial"/>
                <w:sz w:val="18"/>
                <w:szCs w:val="18"/>
                <w:color w:val="auto"/>
              </w:rPr>
              <w:t>Page</w:t>
            </w: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03"/>
        </w:trPr>
        <w:tc>
          <w:tcPr>
            <w:tcW w:w="9040" w:type="dxa"/>
            <w:vAlign w:val="bottom"/>
            <w:gridSpan w:val="8"/>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080" w:type="dxa"/>
            <w:vAlign w:val="bottom"/>
            <w:gridSpan w:val="5"/>
          </w:tcPr>
          <w:p>
            <w:pPr>
              <w:jc w:val="center"/>
              <w:ind w:left="179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43"/>
        </w:trPr>
        <w:tc>
          <w:tcPr>
            <w:tcW w:w="9040" w:type="dxa"/>
            <w:vAlign w:val="bottom"/>
            <w:gridSpan w:val="8"/>
          </w:tcPr>
          <w:p>
            <w:pPr>
              <w:ind w:left="4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60" w:type="dxa"/>
            <w:vAlign w:val="bottom"/>
            <w:gridSpan w:val="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2015 and 2014</w:t>
              </w:r>
            </w:hyperlink>
          </w:p>
        </w:tc>
        <w:tc>
          <w:tcPr>
            <w:tcW w:w="2080" w:type="dxa"/>
            <w:vAlign w:val="bottom"/>
            <w:gridSpan w:val="5"/>
            <w:shd w:val="clear" w:color="auto" w:fill="CCEEFF"/>
          </w:tcPr>
          <w:p>
            <w:pPr>
              <w:jc w:val="center"/>
              <w:ind w:left="179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60" w:type="dxa"/>
            <w:vAlign w:val="bottom"/>
            <w:gridSpan w:val="6"/>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2015</w:t>
              </w:r>
            </w:hyperlink>
          </w:p>
        </w:tc>
        <w:tc>
          <w:tcPr>
            <w:tcW w:w="2080" w:type="dxa"/>
            <w:vAlign w:val="bottom"/>
            <w:gridSpan w:val="5"/>
          </w:tcPr>
          <w:p>
            <w:pPr>
              <w:jc w:val="center"/>
              <w:ind w:left="179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03"/>
        </w:trPr>
        <w:tc>
          <w:tcPr>
            <w:tcW w:w="9040" w:type="dxa"/>
            <w:vAlign w:val="bottom"/>
            <w:gridSpan w:val="8"/>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80" w:type="dxa"/>
            <w:vAlign w:val="bottom"/>
            <w:gridSpan w:val="5"/>
          </w:tcPr>
          <w:p>
            <w:pPr>
              <w:jc w:val="center"/>
              <w:ind w:left="179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43"/>
        </w:trPr>
        <w:tc>
          <w:tcPr>
            <w:tcW w:w="9040" w:type="dxa"/>
            <w:vAlign w:val="bottom"/>
            <w:gridSpan w:val="8"/>
          </w:tcPr>
          <w:p>
            <w:pPr>
              <w:ind w:left="40"/>
              <w:spacing w:after="0"/>
              <w:rPr>
                <w:sz w:val="20"/>
                <w:szCs w:val="20"/>
                <w:color w:val="auto"/>
              </w:rPr>
            </w:pPr>
            <w:r>
              <w:rPr>
                <w:rFonts w:ascii="Arial" w:cs="Arial" w:eastAsia="Arial" w:hAnsi="Arial"/>
                <w:sz w:val="18"/>
                <w:szCs w:val="18"/>
                <w:color w:val="auto"/>
              </w:rPr>
              <w:t>Supplemental Schedule:</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60" w:type="dxa"/>
            <w:vAlign w:val="bottom"/>
            <w:gridSpan w:val="6"/>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Schedule H, Line 4(i), Schedule of Assets (Held at End of Year)</w:t>
              </w:r>
            </w:hyperlink>
          </w:p>
        </w:tc>
        <w:tc>
          <w:tcPr>
            <w:tcW w:w="2080" w:type="dxa"/>
            <w:vAlign w:val="bottom"/>
            <w:gridSpan w:val="5"/>
            <w:shd w:val="clear" w:color="auto" w:fill="CCEEFF"/>
          </w:tcPr>
          <w:p>
            <w:pPr>
              <w:jc w:val="center"/>
              <w:ind w:left="1810"/>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905"/>
        </w:trPr>
        <w:tc>
          <w:tcPr>
            <w:tcW w:w="180" w:type="dxa"/>
            <w:vAlign w:val="bottom"/>
            <w:tcBorders>
              <w:top w:val="single" w:sz="8" w:color="CCEEFF"/>
            </w:tcBorders>
            <w:gridSpan w:val="2"/>
          </w:tcPr>
          <w:p>
            <w:pPr>
              <w:spacing w:after="0"/>
              <w:rPr>
                <w:sz w:val="24"/>
                <w:szCs w:val="24"/>
                <w:color w:val="auto"/>
              </w:rPr>
            </w:pPr>
          </w:p>
        </w:tc>
        <w:tc>
          <w:tcPr>
            <w:tcW w:w="4600" w:type="dxa"/>
            <w:vAlign w:val="bottom"/>
            <w:tcBorders>
              <w:top w:val="single" w:sz="8" w:color="0000EE"/>
            </w:tcBorders>
            <w:gridSpan w:val="3"/>
          </w:tcPr>
          <w:p>
            <w:pPr>
              <w:spacing w:after="0"/>
              <w:rPr>
                <w:sz w:val="24"/>
                <w:szCs w:val="24"/>
                <w:color w:val="auto"/>
              </w:rPr>
            </w:pPr>
          </w:p>
        </w:tc>
        <w:tc>
          <w:tcPr>
            <w:tcW w:w="1380" w:type="dxa"/>
            <w:vAlign w:val="bottom"/>
            <w:tcBorders>
              <w:top w:val="single" w:sz="8" w:color="CCEEFF"/>
            </w:tcBorders>
          </w:tcPr>
          <w:p>
            <w:pPr>
              <w:jc w:val="right"/>
              <w:ind w:right="310"/>
              <w:spacing w:after="0"/>
              <w:rPr>
                <w:sz w:val="20"/>
                <w:szCs w:val="20"/>
                <w:color w:val="auto"/>
              </w:rPr>
            </w:pPr>
            <w:r>
              <w:rPr>
                <w:rFonts w:ascii="Arial" w:cs="Arial" w:eastAsia="Arial" w:hAnsi="Arial"/>
                <w:sz w:val="18"/>
                <w:szCs w:val="18"/>
                <w:color w:val="auto"/>
              </w:rPr>
              <w:t>2</w:t>
            </w:r>
          </w:p>
        </w:tc>
        <w:tc>
          <w:tcPr>
            <w:tcW w:w="10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6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Benefits Administrative Committee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LLC 401(k) Savings Plan:</w:t>
      </w:r>
    </w:p>
    <w:p>
      <w:pPr>
        <w:spacing w:after="0" w:line="200" w:lineRule="exact"/>
        <w:rPr>
          <w:sz w:val="20"/>
          <w:szCs w:val="20"/>
          <w:color w:val="auto"/>
        </w:rPr>
      </w:pPr>
    </w:p>
    <w:p>
      <w:pPr>
        <w:jc w:val="both"/>
        <w:ind w:firstLine="540"/>
        <w:spacing w:after="0" w:line="246" w:lineRule="auto"/>
        <w:rPr>
          <w:sz w:val="20"/>
          <w:szCs w:val="20"/>
          <w:color w:val="auto"/>
        </w:rPr>
      </w:pPr>
      <w:r>
        <w:rPr>
          <w:rFonts w:ascii="Arial" w:cs="Arial" w:eastAsia="Arial" w:hAnsi="Arial"/>
          <w:sz w:val="20"/>
          <w:szCs w:val="20"/>
          <w:color w:val="auto"/>
        </w:rPr>
        <w:t>We have audited the accompanying statements of net assets available for benefits of the Weatherford International, LLC 401(k) Savings Plan (the “Plan”) as of December 31, 2015 and 2014, and the related statement of changes in net assets available for benefits for the year ended December 31, 2015. These financial statements are the responsibility of the Plan’s management. Our responsibility is to express an opinion on these financial statements based on our audits.</w:t>
      </w:r>
    </w:p>
    <w:p>
      <w:pPr>
        <w:spacing w:after="0" w:line="192"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9" w:lineRule="exact"/>
        <w:rPr>
          <w:sz w:val="20"/>
          <w:szCs w:val="20"/>
          <w:color w:val="auto"/>
        </w:rPr>
      </w:pPr>
    </w:p>
    <w:p>
      <w:pPr>
        <w:jc w:val="both"/>
        <w:ind w:firstLine="540"/>
        <w:spacing w:after="0" w:line="250"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net assets available for benefits of the Plan as of December 31, 2015 and 2014, and the changes in net assets available for benefits for the year ended December 31, 2015, in conformity with accounting principles generally accepted in the United States of America.</w:t>
      </w:r>
    </w:p>
    <w:p>
      <w:pPr>
        <w:spacing w:after="0" w:line="186" w:lineRule="exact"/>
        <w:rPr>
          <w:sz w:val="20"/>
          <w:szCs w:val="20"/>
          <w:color w:val="auto"/>
        </w:rPr>
      </w:pPr>
    </w:p>
    <w:p>
      <w:pPr>
        <w:jc w:val="both"/>
        <w:ind w:firstLine="540"/>
        <w:spacing w:after="0" w:line="271" w:lineRule="auto"/>
        <w:rPr>
          <w:sz w:val="20"/>
          <w:szCs w:val="20"/>
          <w:color w:val="auto"/>
        </w:rPr>
      </w:pPr>
      <w:r>
        <w:rPr>
          <w:rFonts w:ascii="Arial" w:cs="Arial" w:eastAsia="Arial" w:hAnsi="Arial"/>
          <w:sz w:val="18"/>
          <w:szCs w:val="18"/>
          <w:color w:val="auto"/>
        </w:rPr>
        <w:t>The supplemental information in the accompanying schedule H, line 4i, schedule of assets (held at end of year) as of December 31, 2015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Melton &amp; Melton, L.L.P.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27,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r>
      <w:tr>
        <w:trPr>
          <w:trHeight w:val="34"/>
        </w:trPr>
        <w:tc>
          <w:tcPr>
            <w:tcW w:w="7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34"/>
        </w:trPr>
        <w:tc>
          <w:tcPr>
            <w:tcW w:w="7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84"/>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Investments, at fair value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687,519,636</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791,507,694</w:t>
            </w:r>
          </w:p>
        </w:tc>
      </w:tr>
      <w:tr>
        <w:trPr>
          <w:trHeight w:val="318"/>
        </w:trPr>
        <w:tc>
          <w:tcPr>
            <w:tcW w:w="7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8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receivable from participants</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26,664,123</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29,451,351</w:t>
            </w: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Plan Sponsor contributions</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1,018,542</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2,857,964</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Participants’ contributions</w:t>
            </w: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1,934,401</w:t>
            </w: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Accrued income</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32,099</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Pending settlement</w:t>
            </w:r>
          </w:p>
        </w:tc>
        <w:tc>
          <w:tcPr>
            <w:tcW w:w="4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217,695</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145,527</w:t>
            </w:r>
          </w:p>
        </w:tc>
      </w:tr>
      <w:tr>
        <w:trPr>
          <w:trHeight w:val="284"/>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Receivables</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27,900,808</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34,421,342</w:t>
            </w: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REFLECTING INVESTMENTS AT FAIR VALUE</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715,420,444</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825,929,036</w:t>
            </w:r>
          </w:p>
        </w:tc>
      </w:tr>
      <w:tr>
        <w:trPr>
          <w:trHeight w:val="284"/>
        </w:trPr>
        <w:tc>
          <w:tcPr>
            <w:tcW w:w="7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(738,158)</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(1,984,120)</w:t>
            </w: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714,682,286</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823,944,916</w:t>
            </w:r>
          </w:p>
        </w:tc>
      </w:tr>
      <w:tr>
        <w:trPr>
          <w:trHeight w:val="20"/>
        </w:trPr>
        <w:tc>
          <w:tcPr>
            <w:tcW w:w="7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WEATHERFORD INTERNATIONAL, LLC 401(k) SAVINGS PLAN STATEMENT OF CHANGES IN NET ASSETS AVAILABLE FOR BENEFITS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220"/>
              <w:spacing w:after="0"/>
              <w:rPr>
                <w:sz w:val="20"/>
                <w:szCs w:val="20"/>
                <w:color w:val="auto"/>
              </w:rPr>
            </w:pPr>
            <w:r>
              <w:rPr>
                <w:rFonts w:ascii="Arial" w:cs="Arial" w:eastAsia="Arial" w:hAnsi="Arial"/>
                <w:sz w:val="18"/>
                <w:szCs w:val="18"/>
                <w:color w:val="auto"/>
              </w:rPr>
              <w:t>Interest income on investments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660,594</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on notes receivable from participants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1,109,615</w:t>
            </w: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Dividend income</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21,566,719</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appreciation in fair value of collective trusts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898,129</w:t>
            </w: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Net depreciation in fair value of common stock</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(17,134,244)</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depreciation in fair value of mutual funds</w:t>
            </w: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(24,402,127)</w:t>
            </w:r>
          </w:p>
        </w:tc>
      </w:tr>
      <w:tr>
        <w:trPr>
          <w:trHeight w:val="243"/>
        </w:trPr>
        <w:tc>
          <w:tcPr>
            <w:tcW w:w="9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(17,301,314)</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Contributions: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Participants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65,824,356</w:t>
            </w:r>
          </w:p>
        </w:tc>
      </w:tr>
      <w:tr>
        <w:trPr>
          <w:trHeight w:val="243"/>
        </w:trPr>
        <w:tc>
          <w:tcPr>
            <w:tcW w:w="9720" w:type="dxa"/>
            <w:vAlign w:val="bottom"/>
          </w:tcPr>
          <w:p>
            <w:pPr>
              <w:ind w:left="380"/>
              <w:spacing w:after="0"/>
              <w:rPr>
                <w:sz w:val="20"/>
                <w:szCs w:val="20"/>
                <w:color w:val="auto"/>
              </w:rPr>
            </w:pPr>
            <w:r>
              <w:rPr>
                <w:rFonts w:ascii="Arial" w:cs="Arial" w:eastAsia="Arial" w:hAnsi="Arial"/>
                <w:sz w:val="18"/>
                <w:szCs w:val="18"/>
                <w:color w:val="auto"/>
              </w:rPr>
              <w:t>Plan Sponsor</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34,414,954</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Rollovers</w:t>
            </w: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4,599,296</w:t>
            </w:r>
          </w:p>
        </w:tc>
      </w:tr>
      <w:tr>
        <w:trPr>
          <w:trHeight w:val="243"/>
        </w:trPr>
        <w:tc>
          <w:tcPr>
            <w:tcW w:w="9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104,838,606</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84"/>
        </w:trPr>
        <w:tc>
          <w:tcPr>
            <w:tcW w:w="9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w:t>
            </w:r>
          </w:p>
        </w:tc>
      </w:tr>
      <w:tr>
        <w:trPr>
          <w:trHeight w:val="264"/>
        </w:trPr>
        <w:tc>
          <w:tcPr>
            <w:tcW w:w="9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Total Additions</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87,539,134</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DEDUCTIONS: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Benefits paid to participants and beneficiaries</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195,730,033</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Administrative fees</w:t>
            </w: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1,071,731</w:t>
            </w:r>
          </w:p>
        </w:tc>
      </w:tr>
      <w:tr>
        <w:trPr>
          <w:trHeight w:val="270"/>
        </w:trPr>
        <w:tc>
          <w:tcPr>
            <w:tcW w:w="9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Deductions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196,801,764</w:t>
            </w:r>
          </w:p>
        </w:tc>
      </w:tr>
      <w:tr>
        <w:trPr>
          <w:trHeight w:val="270"/>
        </w:trPr>
        <w:tc>
          <w:tcPr>
            <w:tcW w:w="9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(109,262,630)</w:t>
            </w:r>
          </w:p>
        </w:tc>
      </w:tr>
      <w:tr>
        <w:trPr>
          <w:trHeight w:val="270"/>
        </w:trPr>
        <w:tc>
          <w:tcPr>
            <w:tcW w:w="9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beginning of year</w:t>
            </w: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823,944,916</w:t>
            </w:r>
          </w:p>
        </w:tc>
      </w:tr>
      <w:tr>
        <w:trPr>
          <w:trHeight w:val="270"/>
        </w:trPr>
        <w:tc>
          <w:tcPr>
            <w:tcW w:w="9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6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end of year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714,682,286</w:t>
            </w:r>
          </w:p>
        </w:tc>
      </w:tr>
      <w:tr>
        <w:trPr>
          <w:trHeight w:val="20"/>
        </w:trPr>
        <w:tc>
          <w:tcPr>
            <w:tcW w:w="9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PLAN:</w:t>
      </w:r>
    </w:p>
    <w:p>
      <w:pPr>
        <w:spacing w:after="0" w:line="25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description of the Weatherford International, LLC 401(k) Savings Plan (“the Plan”), provides only general information. Participants should refer to the Plan document for a more complete description of the Plan’s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Plan is a defined contribution plan established by the board of directors (“the Board of Directors”) of Weatherford International, LLC (“the Plan Sponsor”). Weatherford International, LLC is an indirect, wholly-owned subsidiary of Weatherford International plc.</w:t>
      </w:r>
    </w:p>
    <w:p>
      <w:pPr>
        <w:spacing w:after="0" w:line="170"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The Board of Directors appointed a committee (“the Benefits Administrative Committee”) to administer the Plan. Bank of America, N.A. serves as asset custodian and trustee of the Plan. The Plan is subject to the provisions of the Employee Retirement Income Security Act of 1974, as amended (“ERISA”).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firstLine="270"/>
        <w:spacing w:after="0" w:line="219" w:lineRule="exact"/>
        <w:rPr>
          <w:sz w:val="20"/>
          <w:szCs w:val="20"/>
          <w:color w:val="auto"/>
        </w:rPr>
      </w:pPr>
      <w:r>
        <w:rPr>
          <w:rFonts w:ascii="Arial" w:cs="Arial" w:eastAsia="Arial" w:hAnsi="Arial"/>
          <w:sz w:val="18"/>
          <w:szCs w:val="18"/>
          <w:color w:val="auto"/>
        </w:rPr>
        <w:t>All employees, other than employees who are subject to collective bargaining agreements and have not bargained to participate, employees who are nonresident aliens and receive no U.S.</w:t>
      </w:r>
      <w:r>
        <w:rPr>
          <w:rFonts w:ascii="MS PGothic" w:cs="MS PGothic" w:eastAsia="MS PGothic" w:hAnsi="MS PGothic"/>
          <w:sz w:val="18"/>
          <w:szCs w:val="18"/>
          <w:color w:val="auto"/>
        </w:rPr>
        <w:t>‑</w:t>
      </w:r>
      <w:r>
        <w:rPr>
          <w:rFonts w:ascii="Arial" w:cs="Arial" w:eastAsia="Arial" w:hAnsi="Arial"/>
          <w:sz w:val="18"/>
          <w:szCs w:val="18"/>
          <w:color w:val="auto"/>
        </w:rPr>
        <w:t>source income from the Plan Sponsor and employees who are members of other retirement plans sponsored by the Plan Sponsor or one of its subsidiaries outside the United States or employed by an affiliate company that has not adopted the Plan, are eligible to participate in the Plan on their dates of hire but are not eligible to participate for purposes of the Plan Sponsor’s matching or discretionary contributions until the employee has completed one year of continuous service.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An eligible employee may elect to contribute by payroll deductions to the Plan on a pre-tax and/or Roth basis subject to certain limitations, up to 50 percent and on an after-tax basis, up to 16 percent of his or her considered compensation, as defined by the Plan. In addition, participants may contribute amounts representing rollovers and/or direct transfers from other qualified plans.</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Employees who are eligible to make elective deferrals under the Plan and who have attained the age of 50 before the close of the Plan year are permitted to make catch-up contributions subject to certain limitations.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Plan Sponsor automatically deducts and contributes to the Plan 3 percent of the considered compensation for each newly eligible employee who has not voluntarily elected a salary deferral. No automatic deduction is taken for those employees who have elected to defer a different percentage of covered compensation or for those who have elected not to participate in the salary deferral. In addition, for those participants with a pre-tax contribution rate of between 1 percent and 5 percent, their rate will be increased automatically by 1 percent annually to a maximum of 6 percent, unless they elect to opt out of the automatic increase.</w:t>
      </w:r>
    </w:p>
    <w:p>
      <w:pPr>
        <w:spacing w:after="0" w:line="18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During 2015, the Plan Sponsor made matching contributions equal to 100 percent of the participant’s pre-tax and/or Roth contributions up to 4 percent of considered compensation, as defined by the Plan, on a plan year basis. Considered compensation used to calculate the Plan Sponsor match includes overtime, bonuses and commissions but does not include relocation expenses, severance pay, or any amounts paid after an employee’s severance from employment. The Plan Sponsor, solely at the discretion of the Board of Directors, may make additional discretionary contributions. There were no additional discretionary contributions made for the year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Accounts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Each participant’s account is charged with certain expenses and credited with the participant’s contributions, the Plan Sponsor’s matching contributions, an allocation of the Plan Sponsor’s discretionary contribution, if any, and Plan earnings or losses thereon. Earnings or losses are allocated by investment based on the ratio of the participant’s account invested in a particular investment to all participants’ accounts in that investment.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For the year ended December 31, 2015, participants had the following investment options: fourteen mutual funds, two collective trusts, a money market account and Weatherford International plc ordinary shares (“Weatherford Shares”). Each participant who invested in Weatherford Shares had the right to vote the shares in his or her account with respect to any matter that came before the shareholders for a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Participants are immediately vested in their elective deferral account, rollovers from other qualified plans, the participant’s Plan Sponsor match and discretionary contribution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 xml:space="preserve">Participants may borrow from their vested account balances a minimum of $1,000 up to a maximum equal to the lesser of $50,000 reduced by the highest outstanding loan balance in the preceding one-year period or one half of the fair value of the participant’s vested account balance. Loan maturity dates range from one year to five years except when the loan is used to purchase a participant’s principal residence. In the case of home loans, all such loans are required to be repaid within ten years. The loans are fully secured by a pledge of the participant’s vested account balance and bear interest at the prime rate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at the date of the loan plus 1% or at a rate determined by the Benefits Administrative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Withdrawals and Terminations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 participant may withdraw the value of his or her after-tax contributions or rollover contributions from the Plan at any time and for any reason during the year, with a minimum withdrawal of $500. The participant’s pre-tax contributions, Roth contributions and Plan Sponsor contributions will be available to a participant who has attained age 59-1/2 or in the event of severe and immediate financial hardship. Withdrawals based on financial hardship result in a suspension of participant contributions for six months.</w:t>
      </w:r>
    </w:p>
    <w:p>
      <w:pPr>
        <w:spacing w:after="0" w:line="1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In the event of normal retirement, total and permanent disability or death while actively employed, the full value of the participant’s account balance will be made available to the participant or his or her beneficiary as a lump sum. Upon termination of employment, the participant’s entire account balance will be available for withdrawal. If a participant has not elected otherwise, all mandatory distributions less than $1,000 are paid directly to the participant, while those in excess of $1,000, but not greater than $5,000, are automatically rolled over into individual retirement accounts selected by the Benefits Administrative Committee. Certain benefits related to other forms of payment are protected by the Plan.</w:t>
      </w:r>
    </w:p>
    <w:p>
      <w:pPr>
        <w:spacing w:after="0" w:line="33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accompanying financial statements are prepared and presented in accordance with the accrual method of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and schedules.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Investments</w:t>
      </w:r>
    </w:p>
    <w:p>
      <w:pPr>
        <w:spacing w:after="0" w:line="225"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Plan’s investments are stated at fair value.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Invesco Stable Value Retirement Fund, a collective trust, invests in fully benefit-responsive investment contracts.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fees and are expensed when they are incurred. No allowance for credit losses has been recorded as of December 31, 2015 or 2014. If a participant ceases to make loan repayments and the plan administrator deems the participant loan to be a distribution, the participant loan balance is reduced and a benefit payment is recorded.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Recognition</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Interest and dividend income is recorded when earned. Purchases and sales of securities are recorded on a trade-date basis. Realized gains (losses) on the sale of investments and unrealized appreciation (depreciation) in the fair value of investments are shown as net appreciation (depreciation) in fair value of collective trusts, common stock and mutual funds on the Statement of Changes in Net Assets Available for Benefits. No dividends were paid on Weatherford Shares during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Benefits are recorded when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 of the Plan</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Participant accounts are charged and credited quarterly for recordkeeping fees and revenue sharing, respectively. Other administrative fees incurred by the Plan are paid by the Plan Sponsor, except for participant loan fees, which are paid from the account of the participant requesting the loan. Fees that are paid by the Plan Sponsor are excluded from these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In May 2015, the Financial Accounting Standards Board (“FASB”) issued Accounting Standards Update (“ASU”) No. 2015-07, </w:t>
      </w:r>
      <w:r>
        <w:rPr>
          <w:rFonts w:ascii="Arial" w:cs="Arial" w:eastAsia="Arial" w:hAnsi="Arial"/>
          <w:sz w:val="17"/>
          <w:szCs w:val="17"/>
          <w:i w:val="1"/>
          <w:iCs w:val="1"/>
          <w:color w:val="auto"/>
        </w:rPr>
        <w:t>Disclosures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Investments in Certain Entities That Calculate Net Asset Value per Share (or Its Equivalent), </w:t>
      </w:r>
      <w:r>
        <w:rPr>
          <w:rFonts w:ascii="Arial" w:cs="Arial" w:eastAsia="Arial" w:hAnsi="Arial"/>
          <w:sz w:val="17"/>
          <w:szCs w:val="17"/>
          <w:color w:val="auto"/>
        </w:rPr>
        <w:t>(“ASU 2015-07”). ASU 2015-07 amended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Codification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by eliminating the requirement to categorize investments in the fair value hierarchy if their fair value is measured at net asset value per share (or its equivalent) using the practical expedient in the FASB’s fair value measurement guidance. Adoption of ASU 2015-07 is required retrospectively and is effective for fiscal years beginning after December 15, 2016, although, early adoption is permitted. Management is currently evaluating the effect that this update will have on the Plan’s financials.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July 2015, the FASB issued ASU No. 2015-12, </w:t>
      </w:r>
      <w:r>
        <w:rPr>
          <w:rFonts w:ascii="Arial" w:cs="Arial" w:eastAsia="Arial" w:hAnsi="Arial"/>
          <w:sz w:val="17"/>
          <w:szCs w:val="17"/>
          <w:i w:val="1"/>
          <w:iCs w:val="1"/>
          <w:color w:val="auto"/>
        </w:rPr>
        <w:t>Plan Accounting: Defined Benefit Pension Plans (Topic 960), Defined Contribution Pension Plans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962), Health and Welfare Benefit Plans (Topic 965) </w:t>
      </w:r>
      <w:r>
        <w:rPr>
          <w:rFonts w:ascii="Arial" w:cs="Arial" w:eastAsia="Arial" w:hAnsi="Arial"/>
          <w:sz w:val="17"/>
          <w:szCs w:val="17"/>
          <w:color w:val="auto"/>
        </w:rPr>
        <w:t>(“ASU 2015-12”). ASU 2015-12 simplifies certain financial statement reporting and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and is presented in three parts. Part I, </w:t>
      </w:r>
      <w:r>
        <w:rPr>
          <w:rFonts w:ascii="Arial" w:cs="Arial" w:eastAsia="Arial" w:hAnsi="Arial"/>
          <w:sz w:val="17"/>
          <w:szCs w:val="17"/>
          <w:i w:val="1"/>
          <w:iCs w:val="1"/>
          <w:color w:val="auto"/>
        </w:rPr>
        <w:t>Fully Benefit-Responsive Investment Contracts</w:t>
      </w:r>
      <w:r>
        <w:rPr>
          <w:rFonts w:ascii="Arial" w:cs="Arial" w:eastAsia="Arial" w:hAnsi="Arial"/>
          <w:sz w:val="17"/>
          <w:szCs w:val="17"/>
          <w:color w:val="auto"/>
        </w:rPr>
        <w:t xml:space="preserve">, requires that fully benefit-responsive investment contracts are measured, presented and disclosed only at contract value. Part II, </w:t>
      </w:r>
      <w:r>
        <w:rPr>
          <w:rFonts w:ascii="Arial" w:cs="Arial" w:eastAsia="Arial" w:hAnsi="Arial"/>
          <w:sz w:val="17"/>
          <w:szCs w:val="17"/>
          <w:i w:val="1"/>
          <w:iCs w:val="1"/>
          <w:color w:val="auto"/>
        </w:rPr>
        <w:t>Plan Investment Disclosures</w:t>
      </w:r>
      <w:r>
        <w:rPr>
          <w:rFonts w:ascii="Arial" w:cs="Arial" w:eastAsia="Arial" w:hAnsi="Arial"/>
          <w:sz w:val="17"/>
          <w:szCs w:val="17"/>
          <w:color w:val="auto"/>
        </w:rPr>
        <w:t xml:space="preserve">, eliminates the requirement to disclose individual investments that represent 5 percent or more of net assets available for benefits, eliminates the requirement to disclose net appreciation or depreciation for investments by general type and also eliminates disaggregation of investment classifications. Part III, </w:t>
      </w:r>
      <w:r>
        <w:rPr>
          <w:rFonts w:ascii="Arial" w:cs="Arial" w:eastAsia="Arial" w:hAnsi="Arial"/>
          <w:sz w:val="17"/>
          <w:szCs w:val="17"/>
          <w:i w:val="1"/>
          <w:iCs w:val="1"/>
          <w:color w:val="auto"/>
        </w:rPr>
        <w:t>Measurement Date Practical Expedient</w:t>
      </w:r>
      <w:r>
        <w:rPr>
          <w:rFonts w:ascii="Arial" w:cs="Arial" w:eastAsia="Arial" w:hAnsi="Arial"/>
          <w:sz w:val="17"/>
          <w:szCs w:val="17"/>
          <w:color w:val="auto"/>
        </w:rPr>
        <w:t>, permits plans to measure investments and investment-related accounts as of the month-end date that is closest to the plan’s fiscal year end, when the fiscal period does not coincide with a month-end. Adoption of all three parts of ASU 2015-12 is effective for fiscal years beginning after December 15, 2015, although earlier application is permitted. Parts I and II are effective on a retrospective basis and Part III is effective on a prospective basis. Plan management is currently evaluating the effect that this update will have on the Plan’s financials.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6"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Individual investments that represent 5 percent or more of the Plan’s net assets available for benefits at December 31, 2015 and 2014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0"/>
                <w:szCs w:val="20"/>
                <w:color w:val="auto"/>
              </w:rPr>
            </w:pPr>
          </w:p>
        </w:tc>
      </w:tr>
      <w:tr>
        <w:trPr>
          <w:trHeight w:val="34"/>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34"/>
        </w:trPr>
        <w:tc>
          <w:tcPr>
            <w:tcW w:w="8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Invesco Stable Value Retirement Fund (stated at contract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105,451,132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116,712,954</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Vanguard Mid Cap Index Fund</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78,667,751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84,583,504</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BlackRock Equity Index Non-Lendable Fund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62,923,621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67,962,998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Weatherford Shares</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51,645,986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76,376,568</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Frost Total Return Bond Fund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49,114,448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Harbor International Fund</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44,075,948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53,646,398</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Oakmark Fund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37,403,730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69,929,385</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BlackRock Global Allocation Fund</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36,792,211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Invesco Equity and Income Fund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36,338,647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PIMCO Total Return Fund</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61,017,287</w:t>
            </w:r>
          </w:p>
        </w:tc>
      </w:tr>
    </w:tbl>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fair value of the Invesco Stable Value Retirement Fund totaled $106,189,290 and $118,697,074 at December 31, 2015 and 2014, respectively.</w:t>
      </w:r>
    </w:p>
    <w:p>
      <w:pPr>
        <w:spacing w:after="0" w:line="39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0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Accounting Standards Codification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to sell an asset or paid to transfer a liability in an orderly transaction between market participants at the measurement date. ASC 820 establishes a fair value hierarchy that distinguishes between market participant assumptions developed based on market data obtained from independent sources (observable inputs) and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that are both significant to the fair value measurement and unobservable.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accordance with ASC 820, the following tables present the Plan’s assets that are measured and recognized at fair value on a recurring basis classified under the appropriate level of the fair value hierarchy as of December 31, 2015 and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8"/>
              </w:rPr>
              <w:t>Assets at Fair Value as of December 31, 2015</w:t>
            </w:r>
          </w:p>
        </w:tc>
      </w:tr>
      <w:tr>
        <w:trPr>
          <w:trHeight w:val="34"/>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15,542,670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15,542,670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growth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19,486,267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19,486,267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small/mid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31,783,534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31,783,534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78,667,751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78,667,751</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growth</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28,098,193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28,098,193</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large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37,403,730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37,403,730</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26,459,584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26,459,584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Domestic/foreign allocation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73,130,858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73,130,858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77,305,959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77,305,959</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66,888,929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66,888,929</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11,993,264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11,993,264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51,645,986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51,645,986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Collective trusts: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Stable value(b)</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106,189,290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106,189,290</w:t>
            </w:r>
          </w:p>
        </w:tc>
      </w:tr>
      <w:tr>
        <w:trPr>
          <w:trHeight w:val="284"/>
        </w:trPr>
        <w:tc>
          <w:tcPr>
            <w:tcW w:w="6760" w:type="dxa"/>
            <w:vAlign w:val="bottom"/>
          </w:tcPr>
          <w:p>
            <w:pPr>
              <w:ind w:left="180"/>
              <w:spacing w:after="0"/>
              <w:rPr>
                <w:sz w:val="20"/>
                <w:szCs w:val="20"/>
                <w:color w:val="auto"/>
              </w:rPr>
            </w:pPr>
            <w:r>
              <w:rPr>
                <w:rFonts w:ascii="Arial" w:cs="Arial" w:eastAsia="Arial" w:hAnsi="Arial"/>
                <w:sz w:val="18"/>
                <w:szCs w:val="18"/>
                <w:color w:val="auto"/>
              </w:rPr>
              <w:t>Large cap blend(c)</w:t>
            </w:r>
          </w:p>
        </w:tc>
        <w:tc>
          <w:tcPr>
            <w:tcW w:w="3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62,923,621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62,923,621</w:t>
            </w:r>
          </w:p>
        </w:tc>
      </w:tr>
      <w:tr>
        <w:trPr>
          <w:trHeight w:val="257"/>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518,406,725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169,112,911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687,519,636</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89"/>
              </w:rPr>
              <w:t>Assets at Fair Value as of December 31, 2014</w:t>
            </w:r>
          </w:p>
        </w:tc>
      </w:tr>
      <w:tr>
        <w:trPr>
          <w:trHeight w:val="34"/>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Level 2</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34"/>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12,908,611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12,908,611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Domestic small/mid cap growth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29,902,369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29,902,369</w:t>
            </w: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Domestic small/mid cap value</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35,492,988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35,492,988</w:t>
            </w: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Domestic small/mid cap blend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84,583,504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84,583,504</w:t>
            </w: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Domestic large cap growth</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31,348,442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31,348,442</w:t>
            </w: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Domestic large cap blend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69,929,385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69,929,385</w:t>
            </w: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Domestic large cap value</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25,763,674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25,763,674</w:t>
            </w: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Domestic/foreign allocation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66,086,547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66,086,547</w:t>
            </w: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Foreign stock</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89,630,176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89,630,176</w:t>
            </w: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81,239,284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81,239,284</w:t>
            </w: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1,586,074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1,586,074</w:t>
            </w: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stock(a)</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76,376,568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76,376,568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Collective trusts: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Stable value(b)</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118,697,074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118,697,074</w:t>
            </w:r>
          </w:p>
        </w:tc>
      </w:tr>
      <w:tr>
        <w:trPr>
          <w:trHeight w:val="284"/>
        </w:trPr>
        <w:tc>
          <w:tcPr>
            <w:tcW w:w="6720" w:type="dxa"/>
            <w:vAlign w:val="bottom"/>
          </w:tcPr>
          <w:p>
            <w:pPr>
              <w:ind w:left="120"/>
              <w:spacing w:after="0"/>
              <w:rPr>
                <w:sz w:val="20"/>
                <w:szCs w:val="20"/>
                <w:color w:val="auto"/>
              </w:rPr>
            </w:pPr>
            <w:r>
              <w:rPr>
                <w:rFonts w:ascii="Arial" w:cs="Arial" w:eastAsia="Arial" w:hAnsi="Arial"/>
                <w:sz w:val="18"/>
                <w:szCs w:val="18"/>
                <w:color w:val="auto"/>
              </w:rPr>
              <w:t>Large cap blend(c)</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67,962,998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67,962,998</w:t>
            </w:r>
          </w:p>
        </w:tc>
      </w:tr>
      <w:tr>
        <w:trPr>
          <w:trHeight w:val="257"/>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604,847,622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186,660,072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791,507,694</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4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investments in common stock are all Weatherford Shares.</w:t>
      </w:r>
    </w:p>
    <w:p>
      <w:pPr>
        <w:spacing w:after="0" w:line="225" w:lineRule="exact"/>
        <w:rPr>
          <w:rFonts w:ascii="Arial" w:cs="Arial" w:eastAsia="Arial" w:hAnsi="Arial"/>
          <w:sz w:val="18"/>
          <w:szCs w:val="18"/>
          <w:color w:val="auto"/>
        </w:rPr>
      </w:pPr>
    </w:p>
    <w:p>
      <w:pPr>
        <w:jc w:val="both"/>
        <w:ind w:left="840" w:hanging="319"/>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category includes a collective trust that is designed to provide preservation of capital, liquidity and current income at levels that are typically higher than those provided by money market funds. The trust invests primarily in synthetic guaranteed investment contracts and a short-term investment fund. Participant-directed redemptions have no restrictions; however, the Plan is subject to a two-year notice provision if redemption is initiated. For further discussion of the value of the trust, see Note 2.</w:t>
      </w:r>
    </w:p>
    <w:p>
      <w:pPr>
        <w:spacing w:after="0" w:line="186" w:lineRule="exact"/>
        <w:rPr>
          <w:rFonts w:ascii="Arial" w:cs="Arial" w:eastAsia="Arial" w:hAnsi="Arial"/>
          <w:sz w:val="18"/>
          <w:szCs w:val="18"/>
          <w:color w:val="auto"/>
        </w:rPr>
      </w:pPr>
    </w:p>
    <w:p>
      <w:pPr>
        <w:jc w:val="both"/>
        <w:ind w:left="840" w:hanging="319"/>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category includes a collective trust that is designed to provide investment results that, before expenses, replicate the total return of the Standard &amp; Poor’s 500 Composite Stock Price Index (“S&amp;P 500 Index”). The trust invests primarily in a portfolio of equity securities designed to substantially equal the performance of the S&amp;P 500 Index. There are currently no redemption restrictions on this investment. The fair value of the investment in this category has been estimated using the net asset value per share.</w:t>
      </w:r>
    </w:p>
    <w:p>
      <w:pPr>
        <w:spacing w:after="0" w:line="1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Common stock is valued at the closing price reported on the active market on which the individual securities are traded. Money market and mutual funds are valued at the net asset value (“NAV”) of shares held by the Plan at year end.</w:t>
      </w:r>
    </w:p>
    <w:p>
      <w:pPr>
        <w:spacing w:after="0" w:line="17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2015 and 2014. The inputs and methodologies used for valuing securities are not an indication of the risk associated with investing in those securities.</w:t>
      </w:r>
    </w:p>
    <w:p>
      <w:pPr>
        <w:spacing w:after="0" w:line="18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Plan provides for various investments in collective trusts, money market, mutual funds and common stock. 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2015 and 2014, the Plan was a holder of approximately 85 percent and 87 percent, respectively, of the assets held by the BlackRock Equity Index Non-Lendable Fund.</w:t>
      </w:r>
    </w:p>
    <w:p>
      <w:pPr>
        <w:spacing w:after="0" w:line="16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PARTY-IN-INTEREST TRANSACTIONS: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Certain investments of the Plan are maintained by Bank of America, N.A. Bank of America, N.A. is the trustee of the Plan and, therefore, these transactions qualify as party-in-interest transactions. Additionally, a portion of the Plan’s assets were invested in Weatherford Shares as of December 31, 2015 and 2014. Because the Plan Sponsor was an indirect, wholly-owned subsidiary of Weatherford International plc at December 31, 2015 and 2014, transactions involving Weatherford Shares qualified as party-in-interest transactions. All of these transactions, including notes receivable from participants, were exempt from the prohibited transactions rules.</w:t>
      </w:r>
    </w:p>
    <w:p>
      <w:pPr>
        <w:spacing w:after="0" w:line="184"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TERMINATION:</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Although it has not expressed any intent to do so, the Plan Sponsor has the right under the Plan to discontinue contributions at any time and to terminate the Plan subject to the provisions of ERISA.</w:t>
      </w:r>
    </w:p>
    <w:p>
      <w:pPr>
        <w:spacing w:after="0" w:line="16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STATUS:</w:t>
      </w:r>
    </w:p>
    <w:p>
      <w:pPr>
        <w:spacing w:after="0" w:line="229"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Plan received a determination letter from the Internal Revenue Service (“IRS”) dated March 9, 2016 stating that the Plan is qualified under Section 401(a) of the Internal Revenue Code (the “Code”) and, therefore, the related trust is exempt from taxation. Once qualified, the Plan is required to operate in conformity with the Code to maintain its qualification. The Plan administrator has indicated that the Plan’s operations are in compliance with the Code.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6"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7"/>
          <w:szCs w:val="17"/>
          <w:color w:val="auto"/>
        </w:rPr>
        <w:t>The following is a reconciliation of net assets available for benefits per the financial statements at December 31, 2015 and 2014 to the Form 5500: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20"/>
                <w:szCs w:val="20"/>
                <w:color w:val="auto"/>
              </w:rPr>
            </w:pPr>
          </w:p>
        </w:tc>
      </w:tr>
      <w:tr>
        <w:trPr>
          <w:trHeight w:val="34"/>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r>
      <w:tr>
        <w:trPr>
          <w:trHeight w:val="34"/>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the financial statements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714,682,286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823,944,916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Amounts allocated to withdrawing participants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(1,696,110)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(723,250)</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738,158</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1,984,120</w:t>
            </w:r>
          </w:p>
        </w:tc>
      </w:tr>
      <w:tr>
        <w:trPr>
          <w:trHeight w:val="230"/>
        </w:trPr>
        <w:tc>
          <w:tcPr>
            <w:tcW w:w="75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assets available for benefits per the Form 5500</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713,724,334</w:t>
            </w:r>
          </w:p>
        </w:tc>
        <w:tc>
          <w:tcPr>
            <w:tcW w:w="10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825,205,786</w:t>
            </w: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The following is a reconciliation of the net decrease in net assets available for benefits per the financial statements for the year ended December 31, 2015 to the Form 5500: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40"/>
              <w:spacing w:after="0"/>
              <w:rPr>
                <w:sz w:val="20"/>
                <w:szCs w:val="20"/>
                <w:color w:val="auto"/>
              </w:rPr>
            </w:pPr>
            <w:r>
              <w:rPr>
                <w:rFonts w:ascii="Arial" w:cs="Arial" w:eastAsia="Arial" w:hAnsi="Arial"/>
                <w:sz w:val="18"/>
                <w:szCs w:val="18"/>
                <w:color w:val="auto"/>
              </w:rPr>
              <w:t>Net decrease in net assets available for benefits per the financial statements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(109,262,630)</w:t>
            </w:r>
          </w:p>
        </w:tc>
      </w:tr>
      <w:tr>
        <w:trPr>
          <w:trHeight w:val="27"/>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allocated to withdrawing participants at December 31, 2015</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(1,696,110)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Amounts allocated to withdrawing participants at December 31, 2014</w:t>
            </w:r>
          </w:p>
        </w:tc>
        <w:tc>
          <w:tcPr>
            <w:tcW w:w="3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723,250</w:t>
            </w:r>
          </w:p>
        </w:tc>
      </w:tr>
      <w:tr>
        <w:trPr>
          <w:trHeight w:val="27"/>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2015</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738,158</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2014</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(1,984,120)</w:t>
            </w:r>
          </w:p>
        </w:tc>
      </w:tr>
      <w:tr>
        <w:trPr>
          <w:trHeight w:val="34"/>
        </w:trPr>
        <w:tc>
          <w:tcPr>
            <w:tcW w:w="9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net assets available for benefits per Form 5500</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(111,481,452)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Amounts allocated to withdrawing participants are recorded on the Form 5500 for benefit claims that have been processed and approved for payment prior to December 31, 2015 and 2014, but not yet paid as of that date.</w:t>
      </w:r>
    </w:p>
    <w:p>
      <w:pPr>
        <w:spacing w:after="0" w:line="17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accompanying financial statements present fully benefit-responsive contracts at contract value. The Form 5500 requires fully benefit-responsive contracts to be reported at fair value.</w:t>
      </w:r>
    </w:p>
    <w:p>
      <w:pPr>
        <w:spacing w:after="0" w:line="16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Effective January 1, 2016, the Plan was amended and restated. As of that date, for the purpose of sharing in the Plan Sponsor match and discretionary contributions, an employee is eligible to participate on the first day the employee completes an hour of service. In addition, Weatherford Shares were removed as an investment option.</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Due to the economic downturn, the Plan was amended in March and effective after April 20, 2016, the Plan Sponsor matching contributions to the Plan were temporarily suspended.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6"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H, LINE 4(i), SCHEDULE OF ASSETS (HELD AT END OF YEAR)</w:t>
      </w:r>
    </w:p>
    <w:p>
      <w:pPr>
        <w:jc w:val="center"/>
        <w:spacing w:after="0"/>
        <w:tabs>
          <w:tab w:leader="none" w:pos="180" w:val="left"/>
        </w:tabs>
        <w:rPr>
          <w:sz w:val="20"/>
          <w:szCs w:val="20"/>
          <w:color w:val="auto"/>
        </w:rPr>
      </w:pPr>
      <w:r>
        <w:rPr>
          <w:rFonts w:ascii="Arial" w:cs="Arial" w:eastAsia="Arial" w:hAnsi="Arial"/>
          <w:sz w:val="20"/>
          <w:szCs w:val="20"/>
          <w:b w:val="1"/>
          <w:bCs w:val="1"/>
          <w:color w:val="auto"/>
        </w:rPr>
        <w:t>EIN: 04-2515019</w:t>
      </w:r>
      <w:r>
        <w:rPr>
          <w:sz w:val="20"/>
          <w:szCs w:val="20"/>
          <w:color w:val="auto"/>
        </w:rPr>
        <w:tab/>
      </w:r>
      <w:r>
        <w:rPr>
          <w:rFonts w:ascii="Arial" w:cs="Arial" w:eastAsia="Arial" w:hAnsi="Arial"/>
          <w:sz w:val="18"/>
          <w:szCs w:val="18"/>
          <w:b w:val="1"/>
          <w:bCs w:val="1"/>
          <w:color w:val="auto"/>
        </w:rPr>
        <w:t>PN: 002</w:t>
      </w:r>
    </w:p>
    <w:p>
      <w:pPr>
        <w:jc w:val="center"/>
        <w:spacing w:after="0"/>
        <w:rPr>
          <w:sz w:val="20"/>
          <w:szCs w:val="20"/>
          <w:color w:val="auto"/>
        </w:rPr>
      </w:pPr>
      <w:r>
        <w:rPr>
          <w:rFonts w:ascii="Arial" w:cs="Arial" w:eastAsia="Arial" w:hAnsi="Arial"/>
          <w:sz w:val="20"/>
          <w:szCs w:val="20"/>
          <w:b w:val="1"/>
          <w:bCs w:val="1"/>
          <w:color w:val="auto"/>
        </w:rPr>
        <w:t>DECEMBER 31, 2015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Principal Number</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gridSpan w:val="2"/>
          </w:tcPr>
          <w:p>
            <w:pPr>
              <w:ind w:left="80"/>
              <w:spacing w:after="0"/>
              <w:rPr>
                <w:sz w:val="20"/>
                <w:szCs w:val="20"/>
                <w:color w:val="auto"/>
              </w:rPr>
            </w:pPr>
            <w:r>
              <w:rPr>
                <w:rFonts w:ascii="Arial" w:cs="Arial" w:eastAsia="Arial" w:hAnsi="Arial"/>
                <w:sz w:val="18"/>
                <w:szCs w:val="18"/>
                <w:b w:val="1"/>
                <w:bCs w:val="1"/>
                <w:color w:val="auto"/>
              </w:rPr>
              <w:t>(a)</w:t>
            </w:r>
          </w:p>
        </w:tc>
        <w:tc>
          <w:tcPr>
            <w:tcW w:w="2980" w:type="dxa"/>
            <w:vAlign w:val="bottom"/>
            <w:gridSpan w:val="2"/>
          </w:tcPr>
          <w:p>
            <w:pPr>
              <w:ind w:left="680"/>
              <w:spacing w:after="0"/>
              <w:rPr>
                <w:sz w:val="20"/>
                <w:szCs w:val="20"/>
                <w:color w:val="auto"/>
              </w:rPr>
            </w:pPr>
            <w:r>
              <w:rPr>
                <w:rFonts w:ascii="Arial" w:cs="Arial" w:eastAsia="Arial" w:hAnsi="Arial"/>
                <w:sz w:val="18"/>
                <w:szCs w:val="18"/>
                <w:b w:val="1"/>
                <w:bCs w:val="1"/>
                <w:color w:val="auto"/>
              </w:rPr>
              <w:t>(b) Identity of Issue</w:t>
            </w:r>
          </w:p>
        </w:tc>
        <w:tc>
          <w:tcPr>
            <w:tcW w:w="4780" w:type="dxa"/>
            <w:vAlign w:val="bottom"/>
            <w:gridSpan w:val="2"/>
          </w:tcPr>
          <w:p>
            <w:pPr>
              <w:ind w:left="1220"/>
              <w:spacing w:after="0"/>
              <w:rPr>
                <w:sz w:val="20"/>
                <w:szCs w:val="20"/>
                <w:color w:val="auto"/>
              </w:rPr>
            </w:pPr>
            <w:r>
              <w:rPr>
                <w:rFonts w:ascii="Arial" w:cs="Arial" w:eastAsia="Arial" w:hAnsi="Arial"/>
                <w:sz w:val="18"/>
                <w:szCs w:val="18"/>
                <w:b w:val="1"/>
                <w:bCs w:val="1"/>
                <w:color w:val="auto"/>
              </w:rPr>
              <w:t>(c) Description of Investment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Units/Shares</w:t>
            </w:r>
          </w:p>
        </w:tc>
        <w:tc>
          <w:tcPr>
            <w:tcW w:w="1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(e) Current Value</w:t>
            </w:r>
          </w:p>
        </w:tc>
        <w:tc>
          <w:tcPr>
            <w:tcW w:w="0" w:type="dxa"/>
            <w:vAlign w:val="bottom"/>
          </w:tcPr>
          <w:p>
            <w:pPr>
              <w:spacing w:after="0"/>
              <w:rPr>
                <w:sz w:val="1"/>
                <w:szCs w:val="1"/>
                <w:color w:val="auto"/>
              </w:rPr>
            </w:pPr>
          </w:p>
        </w:tc>
      </w:tr>
      <w:tr>
        <w:trPr>
          <w:trHeight w:val="34"/>
        </w:trPr>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COLLECTIVE TRUSTS:</w:t>
            </w:r>
          </w:p>
        </w:tc>
        <w:tc>
          <w:tcPr>
            <w:tcW w:w="4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BlackRock</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BlackRock Equity Index Non-Lendable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4,003,768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62,923,621</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Invesco</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Invesco Stable Value Retirement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105,451,132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106,189,290</w:t>
            </w:r>
          </w:p>
        </w:tc>
        <w:tc>
          <w:tcPr>
            <w:tcW w:w="0" w:type="dxa"/>
            <w:vAlign w:val="bottom"/>
          </w:tcPr>
          <w:p>
            <w:pPr>
              <w:spacing w:after="0"/>
              <w:rPr>
                <w:sz w:val="1"/>
                <w:szCs w:val="1"/>
                <w:color w:val="auto"/>
              </w:rPr>
            </w:pPr>
          </w:p>
        </w:tc>
      </w:tr>
      <w:tr>
        <w:trPr>
          <w:trHeight w:val="284"/>
        </w:trPr>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gridSpan w:val="2"/>
          </w:tcPr>
          <w:p>
            <w:pPr>
              <w:ind w:left="1180"/>
              <w:spacing w:after="0"/>
              <w:rPr>
                <w:sz w:val="20"/>
                <w:szCs w:val="20"/>
                <w:color w:val="auto"/>
              </w:rPr>
            </w:pPr>
            <w:r>
              <w:rPr>
                <w:rFonts w:ascii="Arial" w:cs="Arial" w:eastAsia="Arial" w:hAnsi="Arial"/>
                <w:sz w:val="18"/>
                <w:szCs w:val="18"/>
                <w:color w:val="auto"/>
              </w:rPr>
              <w:t>Total collective trusts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169,112,911</w:t>
            </w:r>
          </w:p>
        </w:tc>
        <w:tc>
          <w:tcPr>
            <w:tcW w:w="0" w:type="dxa"/>
            <w:vAlign w:val="bottom"/>
          </w:tcPr>
          <w:p>
            <w:pPr>
              <w:spacing w:after="0"/>
              <w:rPr>
                <w:sz w:val="1"/>
                <w:szCs w:val="1"/>
                <w:color w:val="auto"/>
              </w:rPr>
            </w:pPr>
          </w:p>
        </w:tc>
      </w:tr>
      <w:tr>
        <w:trPr>
          <w:trHeight w:val="244"/>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4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American Beacon</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American Beacon Small Cap Value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1,415,117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31,783,534</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American Funds</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American Funds Growth Fund of America</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28,098,193</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American Funds</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American Washington Mutual Investors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688,156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26,459,584</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Baron Capital Growth</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Baron Growth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19,486,267</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BlackRock</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BlackRock Global Allocation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2,051,992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36,792,211</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DFA</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DFA Global Real Estate SEC Instl</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11,993,264</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Frost</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Frost Total Return Bond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4,815,142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49,114,448</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Goldman Sachs</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Goldman Sachs High Yield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8,470,627</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Harbor</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Harbor International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741,645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44,075,948</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Invesco</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Invesco Equity and Income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36,338,647</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MFS</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MFS International New Discovery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1,170,071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33,230,011</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Oakmark</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Oakmark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37,403,730</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Vanguard</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Vanguard Mid Cap Index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2,394,756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78,667,751</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Vanguard</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Vanguard Inflation-Protected Securities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905,925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9,303,854</w:t>
            </w:r>
          </w:p>
        </w:tc>
        <w:tc>
          <w:tcPr>
            <w:tcW w:w="0" w:type="dxa"/>
            <w:vAlign w:val="bottom"/>
          </w:tcPr>
          <w:p>
            <w:pPr>
              <w:spacing w:after="0"/>
              <w:rPr>
                <w:sz w:val="1"/>
                <w:szCs w:val="1"/>
                <w:color w:val="auto"/>
              </w:rPr>
            </w:pPr>
          </w:p>
        </w:tc>
      </w:tr>
      <w:tr>
        <w:trPr>
          <w:trHeight w:val="284"/>
        </w:trPr>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gridSpan w:val="2"/>
          </w:tcPr>
          <w:p>
            <w:pPr>
              <w:ind w:left="1180"/>
              <w:spacing w:after="0"/>
              <w:rPr>
                <w:sz w:val="20"/>
                <w:szCs w:val="20"/>
                <w:color w:val="auto"/>
              </w:rPr>
            </w:pPr>
            <w:r>
              <w:rPr>
                <w:rFonts w:ascii="Arial" w:cs="Arial" w:eastAsia="Arial" w:hAnsi="Arial"/>
                <w:sz w:val="18"/>
                <w:szCs w:val="18"/>
                <w:color w:val="auto"/>
              </w:rPr>
              <w:t>Total mutual funds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451,218,069</w:t>
            </w:r>
          </w:p>
        </w:tc>
        <w:tc>
          <w:tcPr>
            <w:tcW w:w="0" w:type="dxa"/>
            <w:vAlign w:val="bottom"/>
          </w:tcPr>
          <w:p>
            <w:pPr>
              <w:spacing w:after="0"/>
              <w:rPr>
                <w:sz w:val="1"/>
                <w:szCs w:val="1"/>
                <w:color w:val="auto"/>
              </w:rPr>
            </w:pPr>
          </w:p>
        </w:tc>
      </w:tr>
      <w:tr>
        <w:trPr>
          <w:trHeight w:val="244"/>
        </w:trPr>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4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Weatherford International plc</w:t>
            </w:r>
          </w:p>
        </w:tc>
        <w:tc>
          <w:tcPr>
            <w:tcW w:w="4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Ordinary shares of Weatherford International plc</w:t>
            </w: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6,155,660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51,645,986</w:t>
            </w:r>
          </w:p>
        </w:tc>
        <w:tc>
          <w:tcPr>
            <w:tcW w:w="0" w:type="dxa"/>
            <w:vAlign w:val="bottom"/>
          </w:tcPr>
          <w:p>
            <w:pPr>
              <w:spacing w:after="0"/>
              <w:rPr>
                <w:sz w:val="1"/>
                <w:szCs w:val="1"/>
                <w:color w:val="auto"/>
              </w:rPr>
            </w:pPr>
          </w:p>
        </w:tc>
      </w:tr>
      <w:tr>
        <w:trPr>
          <w:trHeight w:val="277"/>
        </w:trPr>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7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Total common stock</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51,645,986</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Bank of America, N.A.</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Retirement Bank Account (RBA)</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13,843,215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13,843,215</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BlackRock</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BIF Money Fund</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1,699,455</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rates ranging from 4.25% to 9.25% with varying</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26,664,123</w:t>
            </w:r>
          </w:p>
        </w:tc>
        <w:tc>
          <w:tcPr>
            <w:tcW w:w="0" w:type="dxa"/>
            <w:vAlign w:val="bottom"/>
          </w:tcPr>
          <w:p>
            <w:pPr>
              <w:spacing w:after="0"/>
              <w:rPr>
                <w:sz w:val="1"/>
                <w:szCs w:val="1"/>
                <w:color w:val="auto"/>
              </w:rPr>
            </w:pPr>
          </w:p>
        </w:tc>
      </w:tr>
      <w:tr>
        <w:trPr>
          <w:trHeight w:val="251"/>
        </w:trPr>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Participant loans</w:t>
            </w: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maturity dates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780" w:type="dxa"/>
            <w:vAlign w:val="bottom"/>
            <w:gridSpan w:val="2"/>
          </w:tcPr>
          <w:p>
            <w:pPr>
              <w:ind w:left="118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714,183,759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Party-in-interest.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Column (d) Cost was omitted as all investments are participant-directed.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THE PLAN. Pursuant to the requirements of the Securities Exchange Act of 1934, the Benefits Administrative Committee, which administers the Plan, has duly caused this annual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WEATHERFORD INTERNATIONAL, LLC</w:t>
      </w:r>
    </w:p>
    <w:p>
      <w:pPr>
        <w:spacing w:after="0" w:line="54"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401(k) SAVINGS PLAN</w:t>
      </w:r>
    </w:p>
    <w:p>
      <w:pPr>
        <w:spacing w:after="0" w:line="324" w:lineRule="exact"/>
        <w:rPr>
          <w:sz w:val="20"/>
          <w:szCs w:val="20"/>
          <w:color w:val="auto"/>
        </w:rPr>
      </w:pPr>
    </w:p>
    <w:p>
      <w:pPr>
        <w:ind w:left="1180"/>
        <w:spacing w:after="0"/>
        <w:tabs>
          <w:tab w:leader="none" w:pos="3560" w:val="left"/>
        </w:tabs>
        <w:rPr>
          <w:sz w:val="20"/>
          <w:szCs w:val="20"/>
          <w:color w:val="auto"/>
        </w:rPr>
      </w:pPr>
      <w:r>
        <w:rPr>
          <w:rFonts w:ascii="Arial" w:cs="Arial" w:eastAsia="Arial" w:hAnsi="Arial"/>
          <w:sz w:val="20"/>
          <w:szCs w:val="20"/>
          <w:color w:val="auto"/>
        </w:rPr>
        <w:t>Date: June 27, 2016</w:t>
      </w:r>
      <w:r>
        <w:rPr>
          <w:sz w:val="20"/>
          <w:szCs w:val="20"/>
          <w:color w:val="auto"/>
        </w:rPr>
        <w:tab/>
      </w:r>
      <w:r>
        <w:rPr>
          <w:rFonts w:ascii="Arial" w:cs="Arial" w:eastAsia="Arial" w:hAnsi="Arial"/>
          <w:sz w:val="18"/>
          <w:szCs w:val="18"/>
          <w:color w:val="auto"/>
        </w:rPr>
        <w:t>/s/ Kathy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27305</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4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Kathy Bauer</w:t>
      </w:r>
    </w:p>
    <w:p>
      <w:pPr>
        <w:spacing w:after="0" w:line="54" w:lineRule="exact"/>
        <w:rPr>
          <w:sz w:val="20"/>
          <w:szCs w:val="20"/>
          <w:color w:val="auto"/>
        </w:rPr>
      </w:pPr>
    </w:p>
    <w:p>
      <w:pPr>
        <w:ind w:left="3580" w:right="1860"/>
        <w:spacing w:after="0" w:line="316" w:lineRule="auto"/>
        <w:rPr>
          <w:sz w:val="20"/>
          <w:szCs w:val="20"/>
          <w:color w:val="auto"/>
        </w:rPr>
      </w:pPr>
      <w:r>
        <w:rPr>
          <w:rFonts w:ascii="Arial" w:cs="Arial" w:eastAsia="Arial" w:hAnsi="Arial"/>
          <w:sz w:val="18"/>
          <w:szCs w:val="18"/>
          <w:color w:val="auto"/>
        </w:rPr>
        <w:t>HR COE Director and Chairman of the Benefits Administrative Committee for Weatherford International, LLC and Weatherford International plc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INDEX TO EXHIBITS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Exhibit</w:t>
      </w:r>
    </w:p>
    <w:p>
      <w:pPr>
        <w:spacing w:after="0" w:line="54"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6"/>
          <w:szCs w:val="16"/>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Description</w:t>
      </w:r>
    </w:p>
    <w:p>
      <w:pPr>
        <w:spacing w:after="0" w:line="37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125"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We consent to the incorporation by reference in the Registration Statements (Form S-8 Nos. 333-112378 and 333-36598) pertaining to the Weatherford International, LLC 401(k) Savings Plan of our report dated June 27, 2016, with respect to the financial statements and schedule of the Weatherford International, LLC 401(k) Savings Plan included in this Annual Report (Form 11-K) as of December 31, 2015 and 2014 and for the year ended December 31, 2015.</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Melton &amp; Melton, L.L.P.</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June 27, 2016</w:t>
      </w:r>
    </w:p>
    <w:sectPr>
      <w:pgSz w:w="11900" w:h="16838" w:orient="portrait"/>
      <w:cols w:equalWidth="0" w:num="1">
        <w:col w:w="11420"/>
      </w:cols>
      <w:pgMar w:left="240" w:top="6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2019-12-09T00:32:13Z</dcterms:created>
  <dcterms:modified xsi:type="dcterms:W3CDTF">2019-12-09T00:32:13Z</dcterms:modified>
</cp:coreProperties>
</file>