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Bausch Christoph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01/24/2019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43"/>
        <w:spacing w:after="0"/>
        <w:rPr>
          <w:sz w:val="20"/>
          <w:szCs w:val="20"/>
          <w:color w:val="auto"/>
        </w:rPr>
      </w:pPr>
      <w:r>
        <w:rPr>
          <w:rFonts w:ascii="Arial" w:cs="Arial" w:eastAsia="Arial" w:hAnsi="Arial"/>
          <w:sz w:val="18"/>
          <w:szCs w:val="18"/>
          <w:color w:val="0000FF"/>
        </w:rPr>
        <w:t>EVP and CFO</w:t>
      </w:r>
    </w:p>
    <w:p>
      <w:pPr>
        <w:spacing w:after="0" w:line="31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01/24/2019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83"/>
              </w:rPr>
              <w:t>23,201</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538,197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Christine M. Morrison, by</w:t>
            </w:r>
          </w:p>
        </w:tc>
        <w:tc>
          <w:tcPr>
            <w:tcW w:w="2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01/25/2019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252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2019-12-24T08:44:20Z</dcterms:created>
  <dcterms:modified xsi:type="dcterms:W3CDTF">2019-12-24T08:44:20Z</dcterms:modified>
</cp:coreProperties>
</file>