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6"/>
          </w:tcPr>
          <w:p>
            <w:pPr>
              <w:spacing w:after="0"/>
              <w:rPr>
                <w:sz w:val="20"/>
                <w:szCs w:val="20"/>
                <w:color w:val="auto"/>
              </w:rPr>
            </w:pPr>
            <w:r>
              <w:rPr>
                <w:rFonts w:ascii="Arial" w:cs="Arial" w:eastAsia="Arial" w:hAnsi="Arial"/>
                <w:sz w:val="18"/>
                <w:szCs w:val="18"/>
                <w:color w:val="auto"/>
                <w:w w:val="91"/>
              </w:rPr>
              <w:t>CUSIP NO. G48833100</w:t>
            </w:r>
          </w:p>
        </w:tc>
        <w:tc>
          <w:tcPr>
            <w:tcW w:w="120" w:type="dxa"/>
            <w:vAlign w:val="bottom"/>
          </w:tcPr>
          <w:p>
            <w:pPr>
              <w:spacing w:after="0"/>
              <w:rPr>
                <w:sz w:val="20"/>
                <w:szCs w:val="20"/>
                <w:color w:val="auto"/>
              </w:rPr>
            </w:pPr>
          </w:p>
        </w:tc>
        <w:tc>
          <w:tcPr>
            <w:tcW w:w="7000" w:type="dxa"/>
            <w:vAlign w:val="bottom"/>
          </w:tcPr>
          <w:p>
            <w:pPr>
              <w:ind w:left="3740"/>
              <w:spacing w:after="0"/>
              <w:rPr>
                <w:sz w:val="20"/>
                <w:szCs w:val="20"/>
                <w:color w:val="auto"/>
              </w:rPr>
            </w:pPr>
            <w:r>
              <w:rPr>
                <w:rFonts w:ascii="Arial" w:cs="Arial" w:eastAsia="Arial" w:hAnsi="Arial"/>
                <w:sz w:val="18"/>
                <w:szCs w:val="18"/>
                <w:color w:val="auto"/>
              </w:rPr>
              <w:t>13G</w:t>
            </w:r>
          </w:p>
        </w:tc>
        <w:tc>
          <w:tcPr>
            <w:tcW w:w="2560" w:type="dxa"/>
            <w:vAlign w:val="bottom"/>
          </w:tcPr>
          <w:p>
            <w:pPr>
              <w:ind w:left="94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gridSpan w:val="5"/>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820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 OF REPORTING PERSON</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Dodge &amp; Cox</w:t>
            </w:r>
          </w:p>
        </w:tc>
        <w:tc>
          <w:tcPr>
            <w:tcW w:w="7000" w:type="dxa"/>
            <w:vAlign w:val="bottom"/>
            <w:tcBorders>
              <w:bottom w:val="single" w:sz="8" w:color="auto"/>
            </w:tcBorders>
          </w:tcPr>
          <w:p>
            <w:pPr>
              <w:jc w:val="right"/>
              <w:ind w:right="5230"/>
              <w:spacing w:after="0"/>
              <w:rPr>
                <w:sz w:val="20"/>
                <w:szCs w:val="20"/>
                <w:color w:val="auto"/>
              </w:rPr>
            </w:pPr>
            <w:r>
              <w:rPr>
                <w:rFonts w:ascii="Arial" w:cs="Arial" w:eastAsia="Arial" w:hAnsi="Arial"/>
                <w:sz w:val="18"/>
                <w:szCs w:val="18"/>
                <w:color w:val="auto"/>
              </w:rPr>
              <w:t>94-1441976</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2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(b)</w:t>
            </w:r>
          </w:p>
        </w:tc>
        <w:tc>
          <w:tcPr>
            <w:tcW w:w="7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tcBorders>
            <w:gridSpan w:val="5"/>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California - U.S.A.</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80,646,971</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0</w:t>
            </w:r>
          </w:p>
        </w:tc>
        <w:tc>
          <w:tcPr>
            <w:tcW w:w="700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71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83,005,521</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71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7120" w:type="dxa"/>
            <w:vAlign w:val="bottom"/>
            <w:gridSpan w:val="2"/>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0</w:t>
            </w: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75"/>
              </w:rPr>
              <w:t>AGGREGATE</w:t>
            </w:r>
          </w:p>
        </w:tc>
        <w:tc>
          <w:tcPr>
            <w:tcW w:w="7200" w:type="dxa"/>
            <w:vAlign w:val="bottom"/>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5"/>
              </w:rPr>
              <w:t>83,005,521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Pr>
          <w:p>
            <w:pPr>
              <w:ind w:left="3040"/>
              <w:spacing w:after="0"/>
              <w:rPr>
                <w:sz w:val="20"/>
                <w:szCs w:val="20"/>
                <w:color w:val="auto"/>
              </w:rPr>
            </w:pPr>
            <w:r>
              <w:rPr>
                <w:rFonts w:ascii="Arial" w:cs="Arial" w:eastAsia="Arial" w:hAnsi="Arial"/>
                <w:sz w:val="18"/>
                <w:szCs w:val="18"/>
                <w:color w:val="auto"/>
              </w:rPr>
              <w:t>PAGE 2 OF 4 PAGES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Weatherford International public limited company</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Bahnhofstrasse 1</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Baar CH 6340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Ordinary Shares</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G48833100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83,005,521</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8.4%</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80,646,971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83,005,521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Weatherford International public limited company.</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13,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Compliance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2019-12-08T10:59:21Z</dcterms:created>
  <dcterms:modified xsi:type="dcterms:W3CDTF">2019-12-08T10:59:21Z</dcterms:modified>
</cp:coreProperties>
</file>