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16,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Weatherford International public limited company</w:t>
      </w:r>
    </w:p>
    <w:p>
      <w:pPr>
        <w:spacing w:after="0" w:line="7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Ireland</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001-36504</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98-0606750</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820" w:space="720"/>
            <w:col w:w="3120"/>
          </w:cols>
          <w:pgMar w:left="240" w:top="544" w:right="259" w:bottom="0" w:gutter="0" w:footer="0" w:header="0"/>
          <w:type w:val="continuous"/>
        </w:sectPr>
      </w:pPr>
    </w:p>
    <w:p>
      <w:pPr>
        <w:ind w:left="132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400"/>
          </w:cols>
          <w:pgMar w:left="240" w:top="544" w:right="259" w:bottom="0" w:gutter="0" w:footer="0" w:header="0"/>
          <w:type w:val="continuous"/>
        </w:sectPr>
      </w:pPr>
    </w:p>
    <w:p>
      <w:pPr>
        <w:spacing w:after="0" w:line="218"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Weststrasse 1, 6340 Baar, Switzerland</w:t>
      </w:r>
    </w:p>
    <w:p>
      <w:pPr>
        <w:spacing w:after="0" w:line="50" w:lineRule="exact"/>
        <w:rPr>
          <w:sz w:val="24"/>
          <w:szCs w:val="24"/>
          <w:color w:val="auto"/>
        </w:rPr>
      </w:pPr>
    </w:p>
    <w:p>
      <w:pPr>
        <w:ind w:left="13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CH 6340</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544" w:right="259" w:bottom="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+41.22.816.1500</w:t>
      </w:r>
    </w:p>
    <w:p>
      <w:pPr>
        <w:spacing w:after="0" w:line="200" w:lineRule="exact"/>
        <w:rPr>
          <w:sz w:val="24"/>
          <w:szCs w:val="24"/>
          <w:color w:val="auto"/>
        </w:rPr>
      </w:pPr>
    </w:p>
    <w:p>
      <w:pPr>
        <w:spacing w:after="0" w:line="24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ind w:left="340"/>
        <w:spacing w:after="0"/>
        <w:tabs>
          <w:tab w:leader="none" w:pos="25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7"/>
          <w:szCs w:val="17"/>
          <w:color w:val="auto"/>
        </w:rPr>
        <w:t>o</w:t>
      </w:r>
    </w:p>
    <w:p>
      <w:pPr>
        <w:spacing w:after="0" w:line="22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4"/>
          <w:szCs w:val="24"/>
          <w:color w:val="auto"/>
        </w:rPr>
      </w:pPr>
    </w:p>
    <w:p>
      <w:pPr>
        <w:ind w:firstLine="648"/>
        <w:spacing w:after="0" w:line="285" w:lineRule="auto"/>
        <w:rPr>
          <w:sz w:val="20"/>
          <w:szCs w:val="20"/>
          <w:color w:val="auto"/>
        </w:rPr>
      </w:pPr>
      <w:r>
        <w:rPr>
          <w:rFonts w:ascii="Arial" w:cs="Arial" w:eastAsia="Arial" w:hAnsi="Arial"/>
          <w:sz w:val="16"/>
          <w:szCs w:val="16"/>
          <w:color w:val="auto"/>
        </w:rPr>
        <w:t>On August 16, 2018, (1) Weatherford International Ltd., a Bermuda exempted company (“Weatherford Bermuda”) and WOFS Assurance Limited, a Bermuda exempted company, as borrowers, and Weatherford International plc, an Irish public limited company (“Weatherford Ireland”), as guarantor, entered into Amendment No. 3 to Amended and Restated Credit Agreement (“Revolving Amendment”) with JPMorgan Chase Bank, N.A., as administrative agent, and the other lenders and parties thereto, (2) Weatherford Bermuda, as borrower, and Weatherford Ireland, as guarantor, entered into Amendment No. 3 to Term Loan Agreement (“Term Loan Amendment”) with JPMorgan Chase Bank, N.A., as administrative agent, and the other lenders and parties thereto and</w:t>
      </w:r>
    </w:p>
    <w:p>
      <w:pPr>
        <w:spacing w:after="0" w:line="2" w:lineRule="exact"/>
        <w:rPr>
          <w:sz w:val="24"/>
          <w:szCs w:val="24"/>
          <w:color w:val="auto"/>
        </w:rPr>
      </w:pPr>
    </w:p>
    <w:p>
      <w:pPr>
        <w:ind w:right="160" w:firstLine="8"/>
        <w:spacing w:after="0" w:line="255" w:lineRule="auto"/>
        <w:tabs>
          <w:tab w:leader="none" w:pos="252"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Bermuda, as borrower, and Weatherford Ireland, as guarantor, entered into a 364-Day Revolving Credit Agreement (“364-Day Credit Agreement”) with JPMorgan Chase Bank, N.A., as administrative agent, Morgan Stanley Senior Funding, Inc., as collateral agent, and the other lenders and parties thereto. The 364-Day Credit Agreement matures on August 15, 2019.</w:t>
      </w:r>
    </w:p>
    <w:p>
      <w:pPr>
        <w:spacing w:after="0" w:line="190" w:lineRule="exact"/>
        <w:rPr>
          <w:sz w:val="24"/>
          <w:szCs w:val="24"/>
          <w:color w:val="auto"/>
        </w:rPr>
      </w:pPr>
    </w:p>
    <w:p>
      <w:pPr>
        <w:ind w:right="60" w:firstLine="648"/>
        <w:spacing w:after="0" w:line="255" w:lineRule="auto"/>
        <w:rPr>
          <w:sz w:val="20"/>
          <w:szCs w:val="20"/>
          <w:color w:val="auto"/>
        </w:rPr>
      </w:pPr>
      <w:r>
        <w:rPr>
          <w:rFonts w:ascii="Arial" w:cs="Arial" w:eastAsia="Arial" w:hAnsi="Arial"/>
          <w:sz w:val="18"/>
          <w:szCs w:val="18"/>
          <w:color w:val="auto"/>
        </w:rPr>
        <w:t>Weatherford had total commitments of $900 million under its Amended and Restated Credit Agreement, dated as of May 9, 2016 (“A&amp;R Credit Agreement”), which matures on July 12, 2019. As of August 16, 2018, Weatherford now has two revolving credit facilities totaling $900 million, comprised of an unsecured senior revolving credit facility in the amount of $583 million, and the secured second lien 364-Day Credit Agreement in the amount of $317 million. On November 14, 2018, the commitments of the extending lenders (as defined below) under the unsecured senior revolving credit facility will be reduced by $54 million. At such date, the total commitments under the two revolving credit facilities will total $846 million. Below is an illustration of the borrowing capacity available under each of the two revolving credit facilities (i) as of the closing date and (ii) following the November 14, 2018 commitment reduction.</w:t>
      </w:r>
    </w:p>
    <w:p>
      <w:pPr>
        <w:sectPr>
          <w:pgSz w:w="11900" w:h="16838" w:orient="portrait"/>
          <w:cols w:equalWidth="0" w:num="1">
            <w:col w:w="11400"/>
          </w:cols>
          <w:pgMar w:left="240" w:top="544" w:right="259" w:bottom="0" w:gutter="0" w:footer="0" w:header="0"/>
          <w:type w:val="continuous"/>
        </w:sectPr>
      </w:pPr>
    </w:p>
    <w:bookmarkStart w:id="1" w:name="page2"/>
    <w:bookmarkEnd w:id="1"/>
    <w:tbl>
      <w:tblPr>
        <w:tblLayout w:type="fixed"/>
        <w:tblInd w:w="660" w:type="dxa"/>
        <w:tblCellMar>
          <w:top w:w="0" w:type="dxa"/>
          <w:left w:w="0" w:type="dxa"/>
          <w:bottom w:w="0" w:type="dxa"/>
          <w:right w:w="0" w:type="dxa"/>
        </w:tblCellMar>
      </w:tblPr>
      <w:tr>
        <w:trPr>
          <w:trHeight w:val="171"/>
        </w:trPr>
        <w:tc>
          <w:tcPr>
            <w:tcW w:w="4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6/30/2018</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8/16/2018</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11/14/2018</w:t>
            </w:r>
          </w:p>
        </w:tc>
        <w:tc>
          <w:tcPr>
            <w:tcW w:w="100" w:type="dxa"/>
            <w:vAlign w:val="bottom"/>
            <w:tcBorders>
              <w:bottom w:val="single" w:sz="8" w:color="CCEEFF"/>
            </w:tcBorders>
          </w:tcPr>
          <w:p>
            <w:pPr>
              <w:spacing w:after="0"/>
              <w:rPr>
                <w:sz w:val="14"/>
                <w:szCs w:val="14"/>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Unsecured A&amp;R Credit Agreement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Extended Portion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357</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Non-extended Portion</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Secured Second Lien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317</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r>
      <w:tr>
        <w:trPr>
          <w:trHeight w:val="210"/>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Commitments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Weatherford also has $350 million in borrowings under the Term Loan Agreement as of June 30, 2018 and August 16, 2018 and is required to repay $12.5 million in principal on the last day of each quarter. Weatherford expects outstanding borrowings under the Term Loan Agreement as of November 14, 2018 to be approximately $337.5 million.</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Pursuant to the Revolving Amendment, certain lenders agreed to extend their revolving commitments under the senior revolving credit facility (such lenders, representing $674 million, including the 364-Day Credit Agreement, the “extending lenders”). For the extending lenders, the A&amp;R Credit Agreement, as amended by the Revolving Amendment, matures on July 13, 2020 in the amount of $357 million, and is subject to an earlier maturity of June 12, 2020 if, under certain circumstances, there is more than $50 million of Weatherford Bermuda’s 2020 senior notes issued and outstanding on such date. For lenders that have not agreed to extend their revolving commitments (such lenders, representing $226 million), the A&amp;R Credit Agreement matures on July 12, 2019.</w:t>
      </w:r>
    </w:p>
    <w:p>
      <w:pPr>
        <w:spacing w:after="0" w:line="19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addition, pursuant to each of the Revolving Amendment and the Term Loan Amendment, Weatherford Ireland secured consents to modify each of the A&amp;R Credit Agreement and Term Loan Agreement, dated as of May 4, 2016, to permit the debt and the liens (as described below) to be incurred under the 364-Day Credit Agreement and to make other modifications, certain of which are detailed below.</w:t>
      </w:r>
    </w:p>
    <w:p>
      <w:pPr>
        <w:spacing w:after="0" w:line="18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Revolving Amendment and the Term Loan Amendment revised the A&amp;R Credit Agreement and Term Loan Agreement, respectively, to, among other things, (a) increase the amount of receivables purchase facilities and factoring transactions permitted thereunder from $300 million to $400 million in any fiscal year, so long as any transactions do not exceed $100 million in any fiscal quarter; (b) limit the principal amount of permitted Specified Senior Indebtedness (as defined therein) to $200 million at any time outstanding; (c) increase the permitted principal amount secured by liens on cash and cash equivalents to secure obligations in respect of certain credit support instruments from $25 million to $100 million; and (d) incorporate a Current Asset Coverage Ratio (Total Current Asset Value to Total Measured Secured Indebtedness, as defined in the A&amp;R Credit Agreement and Term Loan Agreement) of not less than 2.1 to 1 so long as the 364-Day Credit Agreement is in full force and effect.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Regarding the 364-Day Credit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Loans under the 364-Day Credit Agreement are subject to varying rates of interest based on whether the loan is a Eurodollar loan or an alternate base rate loan.</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Eurodollar Loans</w:t>
      </w:r>
      <w:r>
        <w:rPr>
          <w:rFonts w:ascii="Arial" w:cs="Arial" w:eastAsia="Arial" w:hAnsi="Arial"/>
          <w:sz w:val="18"/>
          <w:szCs w:val="18"/>
          <w:color w:val="auto"/>
        </w:rPr>
        <w:t>. Eurodollar loans bear interest at the Eurodollar rate, which is LIBOR, plus the applicable margin. The applicable margin ranges</w:t>
      </w:r>
      <w:r>
        <w:rPr>
          <w:rFonts w:ascii="Arial" w:cs="Arial" w:eastAsia="Arial" w:hAnsi="Arial"/>
          <w:sz w:val="18"/>
          <w:szCs w:val="18"/>
          <w:i w:val="1"/>
          <w:iCs w:val="1"/>
          <w:color w:val="auto"/>
        </w:rPr>
        <w:t xml:space="preserve"> </w:t>
      </w:r>
      <w:r>
        <w:rPr>
          <w:rFonts w:ascii="Arial" w:cs="Arial" w:eastAsia="Arial" w:hAnsi="Arial"/>
          <w:sz w:val="18"/>
          <w:szCs w:val="18"/>
          <w:color w:val="auto"/>
        </w:rPr>
        <w:t>from 2.175% to 3.95% depending on the Specified Senior Leverage Ratio (as described below).</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Alternate Base Rate Loans</w:t>
      </w:r>
      <w:r>
        <w:rPr>
          <w:rFonts w:ascii="Arial" w:cs="Arial" w:eastAsia="Arial" w:hAnsi="Arial"/>
          <w:sz w:val="18"/>
          <w:szCs w:val="18"/>
          <w:color w:val="auto"/>
        </w:rPr>
        <w:t>. Alternate base rate loans bear interest at the alternate base rate plus the applicable margin. The applicable margin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A&amp;R Credit Agreement ranges from 1.175% to 2.95% depending on the Specified Senior Leverage Ratio.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Security</w:t>
      </w:r>
    </w:p>
    <w:p>
      <w:pPr>
        <w:spacing w:after="0" w:line="225"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Obligations under the 364-Day Credit Agreement are secured by the current assets of certain subsidiaries of Weatherford Ireland. Accordingly, certain subsidiaries of Weatherford Ireland entered into a 364-Day Facility U.S. Pledge and Security Agreement (“U.S. Pledge and Security Agreement”), dated as of August 16, 2018, by and among the subsidiary parties thereto and Morgan Stanley Senior Funding, Inc., as collateral agent under the 364-Day Credit Agreement, pursuant to which certain subsidiaries granted to Morgan Stanley Senior Funding, Inc., on behalf of the lenders, a security interest in certain current assets. In addition, obligations under the 364-Day Credit Agreement are guaranteed by Weatherford Ireland and a material portion of its subsidiaries pursuant to an Affiliate Guaranty, dated as of August 16, 2018, by Weatherford Ireland and certain subsidiary parties thereto, as guarantors, in favor of JPMorgan Chase Bank, N.A., as administrative agent under the 364-Day Credit Agreement (the “Guaranty”).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364-Day Credit Agreement contains customary representations and warranties and contain covenants including, among others, the following:</w:t>
      </w:r>
    </w:p>
    <w:p>
      <w:pPr>
        <w:spacing w:after="0" w:line="248" w:lineRule="exact"/>
        <w:rPr>
          <w:sz w:val="20"/>
          <w:szCs w:val="20"/>
          <w:color w:val="auto"/>
        </w:rPr>
      </w:pPr>
    </w:p>
    <w:p>
      <w:pPr>
        <w:ind w:left="1240" w:hanging="584"/>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prohibition against incurring debt, subject to permitted exceptions;</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restriction on creating liens on assets and the assets of our operating subsidiaries, subject to permitted exceptions;</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mergers and asset dispositions;</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use of proceeds, investments, transactions with affiliates, or change of principal business;</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provision limiting derivative transactions; and</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232"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the following financial covenants (the first three of which remain unchanged from the A&amp;R Agreement and Term Loan Agreement):</w:t>
      </w:r>
    </w:p>
    <w:p>
      <w:pPr>
        <w:sectPr>
          <w:pgSz w:w="11900" w:h="16838" w:orient="portrait"/>
          <w:cols w:equalWidth="0" w:num="1">
            <w:col w:w="11400"/>
          </w:cols>
          <w:pgMar w:left="240" w:top="333" w:right="259" w:bottom="45" w:gutter="0" w:footer="0" w:header="0"/>
        </w:sectPr>
      </w:pPr>
    </w:p>
    <w:bookmarkStart w:id="2" w:name="page3"/>
    <w:bookmarkEnd w:id="2"/>
    <w:p>
      <w:pPr>
        <w:ind w:left="1960" w:right="220" w:hanging="655"/>
        <w:spacing w:after="0" w:line="277" w:lineRule="auto"/>
        <w:tabs>
          <w:tab w:leader="none" w:pos="1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Specified Senior Leverage Ratio (Specified Senior Indebtedness to Specified Consolidated Adjusted EBITDA) of no greater than 2.5 to 1.</w:t>
      </w:r>
    </w:p>
    <w:p>
      <w:pPr>
        <w:spacing w:after="0" w:line="170" w:lineRule="exact"/>
        <w:rPr>
          <w:rFonts w:ascii="Arial" w:cs="Arial" w:eastAsia="Arial" w:hAnsi="Arial"/>
          <w:sz w:val="18"/>
          <w:szCs w:val="18"/>
          <w:color w:val="auto"/>
        </w:rPr>
      </w:pPr>
    </w:p>
    <w:p>
      <w:pPr>
        <w:ind w:left="1960" w:right="440" w:hanging="655"/>
        <w:spacing w:after="0" w:line="277" w:lineRule="auto"/>
        <w:tabs>
          <w:tab w:leader="none" w:pos="1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Specified Leverage and LC Ratio (Specified Senior Indebtedness and all Specified Letters of Credit to Specified Consolidated Adjusted EBITDA) of no greater than 3.5 to 1.</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Specified Asset Coverage Ratio (Total Specified Asset Value to Specified Senior Indebtedness) of at least 4 to 1.</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Current Asset Coverage Ratio (Total Current Asset Value to Total Measured Secured Indebtedness) of not less than 2.1 to 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364-Day Credit Agreement contains customary events of default that include, among other things, the failure to comply with the financial ratios described above, non-payment of principal, interest or fees, violation of covenants, inaccuracy of representations and warranties, bankruptcy and insolvency events, material judgments, cross-defaults to material indebtedness and events constituting a change of control. If an event of default occurs and is continuing, all amounts outstanding under the 364-Day Credit Agreement may become immediately due and payable.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or “Other”</w:t>
      </w:r>
    </w:p>
    <w:p>
      <w:pPr>
        <w:spacing w:after="0" w:line="225"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The foregoing descriptions of the Revolving Amendment, Term Loan Amendment, the 364-Day Credit Agreement, the U.S. Pledge and Security Agreement and the Guaranty are summaries only and are qualified in their entirety by reference to the Revolving Amendment, Term Loan Amendment, the 364-Day Credit Agreement, the U.S. Pledge and Security Agreement and the Guaranty, copies of which are attached as Exhibit 10.1, Exhibit 10.2, Exhibit 10.3, Exhibit 10.4 and Exhibit 10.5, respectively, to this Current Report on Form 8-K and are incorporated herein by reference.</w:t>
      </w:r>
    </w:p>
    <w:p>
      <w:pPr>
        <w:spacing w:after="0" w:line="15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disclosure required by this item and contained in Item 1.01 above in this Form 8-K is incorporated by reference.</w:t>
      </w:r>
    </w:p>
    <w:p>
      <w:pPr>
        <w:spacing w:after="0" w:line="221"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280" w:hanging="624"/>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40" w:type="dxa"/>
            <w:vAlign w:val="bottom"/>
            <w:gridSpan w:val="8"/>
            <w:vMerge w:val="restart"/>
          </w:tcPr>
          <w:p>
            <w:pPr>
              <w:ind w:left="360"/>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40" w:type="dxa"/>
            <w:vAlign w:val="bottom"/>
            <w:gridSpan w:val="8"/>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tcBorders>
              <w:top w:val="single" w:sz="8" w:color="auto"/>
            </w:tcBorders>
          </w:tcPr>
          <w:p>
            <w:pPr>
              <w:jc w:val="right"/>
              <w:ind w:right="230"/>
              <w:spacing w:after="0" w:line="170"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980" w:type="dxa"/>
            <w:vAlign w:val="bottom"/>
            <w:tcBorders>
              <w:top w:val="single" w:sz="8" w:color="auto"/>
              <w:bottom w:val="single" w:sz="8" w:color="0000EE"/>
            </w:tcBorders>
            <w:gridSpan w:val="9"/>
          </w:tcPr>
          <w:p>
            <w:pPr>
              <w:spacing w:after="0" w:line="170"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Amendment No. 3 to Amended and Restated Credit Agreement, dated August 16, 2018, among Weatherford International Ltd. (Bermuda),</w:t>
              </w:r>
            </w:hyperlink>
          </w:p>
        </w:tc>
        <w:tc>
          <w:tcPr>
            <w:tcW w:w="160" w:type="dxa"/>
            <w:vAlign w:val="bottom"/>
            <w:tcBorders>
              <w:top w:val="single" w:sz="8" w:color="auto"/>
            </w:tcBorders>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Weatherford International plc (Ireland), the lenders party thereto and JPMorgan Chase Bank, N.A., as administrative agent.</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gridSpan w:val="2"/>
          </w:tcPr>
          <w:p>
            <w:pPr>
              <w:jc w:val="right"/>
              <w:ind w:right="23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95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Amendment No. 3 to Term Loan Agreement, dated August 16, 2018, among Weatherford International Ltd. (Bermuda), Weatherford</w:t>
              </w:r>
            </w:hyperlink>
          </w:p>
        </w:tc>
        <w:tc>
          <w:tcPr>
            <w:tcW w:w="60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International plc (Ireland), the lenders party thereto and JPMorgan Chase Bank, N.A., as administrative agent.</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0" w:type="dxa"/>
            <w:vAlign w:val="bottom"/>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gridSpan w:val="2"/>
          </w:tcPr>
          <w:p>
            <w:pPr>
              <w:jc w:val="right"/>
              <w:ind w:right="23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2"/>
              </w:rPr>
            </w:pPr>
            <w:hyperlink w:anchor="page123">
              <w:r>
                <w:rPr>
                  <w:rFonts w:ascii="Arial" w:cs="Arial" w:eastAsia="Arial" w:hAnsi="Arial"/>
                  <w:sz w:val="18"/>
                  <w:szCs w:val="18"/>
                  <w:color w:val="0000EE"/>
                  <w:w w:val="92"/>
                </w:rPr>
                <w:t>364-Day Revolving Credit Agreement, dated August 16, 2018, among Weatherford International Ltd. (Bermuda), Weatherford International</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tcBorders>
              <w:top w:val="single" w:sz="8" w:color="0000EE"/>
            </w:tcBorders>
            <w:gridSpan w:val="11"/>
          </w:tcPr>
          <w:p>
            <w:pPr>
              <w:spacing w:after="0" w:line="196" w:lineRule="exact"/>
              <w:rPr>
                <w:rFonts w:ascii="Arial" w:cs="Arial" w:eastAsia="Arial" w:hAnsi="Arial"/>
                <w:sz w:val="18"/>
                <w:szCs w:val="18"/>
                <w:color w:val="0000EE"/>
                <w:w w:val="91"/>
              </w:rPr>
            </w:pPr>
            <w:hyperlink w:anchor="page123">
              <w:r>
                <w:rPr>
                  <w:rFonts w:ascii="Arial" w:cs="Arial" w:eastAsia="Arial" w:hAnsi="Arial"/>
                  <w:sz w:val="18"/>
                  <w:szCs w:val="18"/>
                  <w:color w:val="0000EE"/>
                  <w:w w:val="91"/>
                </w:rPr>
                <w:t>plc (Ireland), the lenders party thereto, JPMorgan Chase Bank, N.A., as administrative agent and Morgan Stanley Senior Funding, Inc., as</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23">
              <w:r>
                <w:rPr>
                  <w:rFonts w:ascii="Arial" w:cs="Arial" w:eastAsia="Arial" w:hAnsi="Arial"/>
                  <w:sz w:val="18"/>
                  <w:szCs w:val="18"/>
                  <w:color w:val="0000EE"/>
                  <w:w w:val="89"/>
                </w:rPr>
                <w:t>collateral agent.</w:t>
              </w:r>
            </w:hyperlink>
          </w:p>
        </w:tc>
        <w:tc>
          <w:tcPr>
            <w:tcW w:w="8760" w:type="dxa"/>
            <w:vAlign w:val="bottom"/>
            <w:tcBorders>
              <w:top w:val="single" w:sz="8" w:color="0000EE"/>
            </w:tcBorders>
            <w:gridSpan w:val="7"/>
          </w:tcPr>
          <w:p>
            <w:pPr>
              <w:spacing w:after="0"/>
              <w:rPr>
                <w:sz w:val="17"/>
                <w:szCs w:val="17"/>
                <w:color w:val="auto"/>
              </w:rPr>
            </w:pPr>
          </w:p>
        </w:tc>
        <w:tc>
          <w:tcPr>
            <w:tcW w:w="24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gridSpan w:val="2"/>
          </w:tcPr>
          <w:p>
            <w:pPr>
              <w:jc w:val="right"/>
              <w:ind w:right="23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5"/>
              </w:rPr>
            </w:pPr>
            <w:hyperlink w:anchor="page208">
              <w:r>
                <w:rPr>
                  <w:rFonts w:ascii="Arial" w:cs="Arial" w:eastAsia="Arial" w:hAnsi="Arial"/>
                  <w:sz w:val="18"/>
                  <w:szCs w:val="18"/>
                  <w:color w:val="0000EE"/>
                  <w:w w:val="95"/>
                </w:rPr>
                <w:t>364-Day Facility U.S. Pledge and Security Agreement, dated as of August 16, 2018, by and among the subsidiaries party thereto and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208">
              <w:r>
                <w:rPr>
                  <w:rFonts w:ascii="Arial" w:cs="Arial" w:eastAsia="Arial" w:hAnsi="Arial"/>
                  <w:sz w:val="18"/>
                  <w:szCs w:val="18"/>
                  <w:color w:val="0000EE"/>
                  <w:w w:val="90"/>
                </w:rPr>
                <w:t>Morgan Stanley Senior Funding, Inc., as collateral agent.</w:t>
              </w:r>
            </w:hyperlink>
          </w:p>
        </w:tc>
        <w:tc>
          <w:tcPr>
            <w:tcW w:w="5440" w:type="dxa"/>
            <w:vAlign w:val="bottom"/>
            <w:tcBorders>
              <w:top w:val="single" w:sz="8" w:color="0000EE"/>
            </w:tcBorders>
            <w:gridSpan w:val="3"/>
          </w:tcPr>
          <w:p>
            <w:pPr>
              <w:spacing w:after="0"/>
              <w:rPr>
                <w:sz w:val="17"/>
                <w:szCs w:val="17"/>
                <w:color w:val="auto"/>
              </w:rPr>
            </w:pPr>
          </w:p>
        </w:tc>
        <w:tc>
          <w:tcPr>
            <w:tcW w:w="60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gridSpan w:val="2"/>
          </w:tcPr>
          <w:p>
            <w:pPr>
              <w:jc w:val="right"/>
              <w:ind w:right="23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4"/>
                <w:szCs w:val="24"/>
                <w:color w:val="auto"/>
              </w:rPr>
            </w:pPr>
          </w:p>
        </w:tc>
        <w:tc>
          <w:tcPr>
            <w:tcW w:w="98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26">
              <w:r>
                <w:rPr>
                  <w:rFonts w:ascii="Arial" w:cs="Arial" w:eastAsia="Arial" w:hAnsi="Arial"/>
                  <w:sz w:val="18"/>
                  <w:szCs w:val="18"/>
                  <w:color w:val="0000EE"/>
                  <w:w w:val="91"/>
                </w:rPr>
                <w:t>Affiliate Guaranty, dated August 16, 2018, by Weatherford International plc and the subsidiaries party thereto, as guarantors, in favor of</w:t>
              </w:r>
            </w:hyperlink>
          </w:p>
        </w:tc>
        <w:tc>
          <w:tcPr>
            <w:tcW w:w="36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rPr>
            </w:pPr>
            <w:hyperlink w:anchor="page226">
              <w:r>
                <w:rPr>
                  <w:rFonts w:ascii="Arial" w:cs="Arial" w:eastAsia="Arial" w:hAnsi="Arial"/>
                  <w:sz w:val="18"/>
                  <w:szCs w:val="18"/>
                  <w:color w:val="0000EE"/>
                </w:rPr>
                <w:t>JPMorgan Chase Bank, N.A., as administrative agent.</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3860" w:type="dxa"/>
            <w:vAlign w:val="bottom"/>
            <w:tcBorders>
              <w:top w:val="single" w:sz="8" w:color="0000EE"/>
            </w:tcBorders>
            <w:gridSpan w:val="2"/>
          </w:tcPr>
          <w:p>
            <w:pPr>
              <w:spacing w:after="0"/>
              <w:rPr>
                <w:sz w:val="24"/>
                <w:szCs w:val="24"/>
                <w:color w:val="auto"/>
              </w:rPr>
            </w:pPr>
          </w:p>
        </w:tc>
        <w:tc>
          <w:tcPr>
            <w:tcW w:w="4040" w:type="dxa"/>
            <w:vAlign w:val="bottom"/>
            <w:gridSpan w:val="2"/>
          </w:tcPr>
          <w:p>
            <w:pPr>
              <w:jc w:val="right"/>
              <w:ind w:right="3348"/>
              <w:spacing w:after="0"/>
              <w:rPr>
                <w:sz w:val="20"/>
                <w:szCs w:val="20"/>
                <w:color w:val="auto"/>
              </w:rPr>
            </w:pPr>
            <w:r>
              <w:rPr>
                <w:rFonts w:ascii="Arial" w:cs="Arial" w:eastAsia="Arial" w:hAnsi="Arial"/>
                <w:sz w:val="18"/>
                <w:szCs w:val="18"/>
                <w:color w:val="auto"/>
              </w:rPr>
              <w:t>4</w:t>
            </w: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8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vMerge w:val="restart"/>
          </w:tcPr>
          <w:p>
            <w:pPr>
              <w:jc w:val="right"/>
              <w:ind w:right="4390"/>
              <w:spacing w:after="0"/>
              <w:rPr>
                <w:sz w:val="20"/>
                <w:szCs w:val="20"/>
                <w:color w:val="auto"/>
              </w:rPr>
            </w:pPr>
            <w:r>
              <w:rPr>
                <w:rFonts w:ascii="Arial" w:cs="Arial" w:eastAsia="Arial" w:hAnsi="Arial"/>
                <w:sz w:val="18"/>
                <w:szCs w:val="18"/>
                <w:color w:val="auto"/>
                <w:w w:val="90"/>
              </w:rPr>
              <w:t>Date: August 20, 2018</w:t>
            </w:r>
          </w:p>
        </w:tc>
        <w:tc>
          <w:tcPr>
            <w:tcW w:w="5300" w:type="dxa"/>
            <w:vAlign w:val="bottom"/>
          </w:tcPr>
          <w:p>
            <w:pPr>
              <w:spacing w:after="0"/>
              <w:rPr>
                <w:sz w:val="20"/>
                <w:szCs w:val="20"/>
                <w:color w:val="auto"/>
              </w:rPr>
            </w:pPr>
            <w:r>
              <w:rPr>
                <w:rFonts w:ascii="Arial" w:cs="Arial" w:eastAsia="Arial" w:hAnsi="Arial"/>
                <w:sz w:val="18"/>
                <w:szCs w:val="18"/>
                <w:b w:val="1"/>
                <w:bCs w:val="1"/>
                <w:color w:val="auto"/>
              </w:rPr>
              <w:t>Weatherford International plc</w:t>
            </w:r>
          </w:p>
        </w:tc>
        <w:tc>
          <w:tcPr>
            <w:tcW w:w="0" w:type="dxa"/>
            <w:vAlign w:val="bottom"/>
          </w:tcPr>
          <w:p>
            <w:pPr>
              <w:spacing w:after="0"/>
              <w:rPr>
                <w:sz w:val="1"/>
                <w:szCs w:val="1"/>
                <w:color w:val="auto"/>
              </w:rPr>
            </w:pPr>
          </w:p>
        </w:tc>
      </w:tr>
      <w:tr>
        <w:trPr>
          <w:trHeight w:val="216"/>
        </w:trPr>
        <w:tc>
          <w:tcPr>
            <w:tcW w:w="6120" w:type="dxa"/>
            <w:vAlign w:val="bottom"/>
            <w:vMerge w:val="continue"/>
          </w:tcPr>
          <w:p>
            <w:pPr>
              <w:spacing w:after="0"/>
              <w:rPr>
                <w:sz w:val="18"/>
                <w:szCs w:val="18"/>
                <w:color w:val="auto"/>
              </w:rPr>
            </w:pPr>
          </w:p>
        </w:tc>
        <w:tc>
          <w:tcPr>
            <w:tcW w:w="5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6120" w:type="dxa"/>
            <w:vAlign w:val="bottom"/>
          </w:tcPr>
          <w:p>
            <w:pPr>
              <w:jc w:val="right"/>
              <w:ind w:right="90"/>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 Bausch</w:t>
            </w:r>
          </w:p>
        </w:tc>
        <w:tc>
          <w:tcPr>
            <w:tcW w:w="0" w:type="dxa"/>
            <w:vAlign w:val="bottom"/>
          </w:tcPr>
          <w:p>
            <w:pPr>
              <w:spacing w:after="0"/>
              <w:rPr>
                <w:sz w:val="1"/>
                <w:szCs w:val="1"/>
                <w:color w:val="auto"/>
              </w:rPr>
            </w:pPr>
          </w:p>
        </w:tc>
      </w:tr>
      <w:tr>
        <w:trPr>
          <w:trHeight w:val="195"/>
        </w:trPr>
        <w:tc>
          <w:tcPr>
            <w:tcW w:w="61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Name:</w:t>
            </w:r>
          </w:p>
        </w:tc>
        <w:tc>
          <w:tcPr>
            <w:tcW w:w="5300" w:type="dxa"/>
            <w:vAlign w:val="bottom"/>
          </w:tcPr>
          <w:p>
            <w:pPr>
              <w:spacing w:after="0" w:line="195" w:lineRule="exact"/>
              <w:rPr>
                <w:sz w:val="20"/>
                <w:szCs w:val="20"/>
                <w:color w:val="auto"/>
              </w:rPr>
            </w:pPr>
            <w:r>
              <w:rPr>
                <w:rFonts w:ascii="Arial" w:cs="Arial" w:eastAsia="Arial" w:hAnsi="Arial"/>
                <w:sz w:val="18"/>
                <w:szCs w:val="18"/>
                <w:color w:val="auto"/>
              </w:rPr>
              <w:t>Christoph Bausch</w:t>
            </w:r>
          </w:p>
        </w:tc>
        <w:tc>
          <w:tcPr>
            <w:tcW w:w="0" w:type="dxa"/>
            <w:vAlign w:val="bottom"/>
          </w:tcPr>
          <w:p>
            <w:pPr>
              <w:spacing w:after="0"/>
              <w:rPr>
                <w:sz w:val="1"/>
                <w:szCs w:val="1"/>
                <w:color w:val="auto"/>
              </w:rPr>
            </w:pPr>
          </w:p>
        </w:tc>
      </w:tr>
      <w:tr>
        <w:trPr>
          <w:trHeight w:val="230"/>
        </w:trPr>
        <w:tc>
          <w:tcPr>
            <w:tcW w:w="6120" w:type="dxa"/>
            <w:vAlign w:val="bottom"/>
          </w:tcPr>
          <w:p>
            <w:pPr>
              <w:jc w:val="right"/>
              <w:ind w:right="90"/>
              <w:spacing w:after="0"/>
              <w:rPr>
                <w:sz w:val="20"/>
                <w:szCs w:val="20"/>
                <w:color w:val="auto"/>
              </w:rPr>
            </w:pPr>
            <w:r>
              <w:rPr>
                <w:rFonts w:ascii="Arial" w:cs="Arial" w:eastAsia="Arial" w:hAnsi="Arial"/>
                <w:sz w:val="18"/>
                <w:szCs w:val="18"/>
                <w:color w:val="auto"/>
              </w:rPr>
              <w:t>Title:</w:t>
            </w:r>
          </w:p>
        </w:tc>
        <w:tc>
          <w:tcPr>
            <w:tcW w:w="53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40" w:top="125" w:right="199" w:bottom="368" w:gutter="0" w:footer="0" w:header="0"/>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368"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 AMENDED AND RESTATED CREDIT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August 16, 2018</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AMENDMENT NO. 3 TO AMENDED AND RESTATED CREDIT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as of</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August 16, 2018 by and among Weatherford International plc, an Irish public limited liability company (“</w:t>
      </w:r>
      <w:r>
        <w:rPr>
          <w:rFonts w:ascii="Arial" w:cs="Arial" w:eastAsia="Arial" w:hAnsi="Arial"/>
          <w:sz w:val="17"/>
          <w:szCs w:val="17"/>
          <w:u w:val="single" w:color="auto"/>
          <w:color w:val="auto"/>
        </w:rPr>
        <w:t>WIL-Ireland</w:t>
      </w:r>
      <w:r>
        <w:rPr>
          <w:rFonts w:ascii="Arial" w:cs="Arial" w:eastAsia="Arial" w:hAnsi="Arial"/>
          <w:sz w:val="17"/>
          <w:szCs w:val="17"/>
          <w:color w:val="auto"/>
        </w:rPr>
        <w:t>”), Weatherford International Ltd.,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Bermuda exempted company (“</w:t>
      </w:r>
      <w:r>
        <w:rPr>
          <w:rFonts w:ascii="Arial" w:cs="Arial" w:eastAsia="Arial" w:hAnsi="Arial"/>
          <w:sz w:val="16"/>
          <w:szCs w:val="16"/>
          <w:u w:val="single" w:color="auto"/>
          <w:color w:val="auto"/>
        </w:rPr>
        <w:t>WIL-Bermuda</w:t>
      </w:r>
      <w:r>
        <w:rPr>
          <w:rFonts w:ascii="Arial" w:cs="Arial" w:eastAsia="Arial" w:hAnsi="Arial"/>
          <w:sz w:val="16"/>
          <w:szCs w:val="16"/>
          <w:color w:val="auto"/>
        </w:rPr>
        <w:t>”), WOFS Assurance Limited, a Bermuda exempted company (“</w:t>
      </w:r>
      <w:r>
        <w:rPr>
          <w:rFonts w:ascii="Arial" w:cs="Arial" w:eastAsia="Arial" w:hAnsi="Arial"/>
          <w:sz w:val="16"/>
          <w:szCs w:val="16"/>
          <w:u w:val="single" w:color="auto"/>
          <w:color w:val="auto"/>
        </w:rPr>
        <w:t>WOFS</w:t>
      </w:r>
      <w:r>
        <w:rPr>
          <w:rFonts w:ascii="Arial" w:cs="Arial" w:eastAsia="Arial" w:hAnsi="Arial"/>
          <w:sz w:val="16"/>
          <w:szCs w:val="16"/>
          <w:color w:val="auto"/>
        </w:rPr>
        <w:t>”, and together with WIL-Bermuda,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Borrowers</w:t>
      </w:r>
      <w:r>
        <w:rPr>
          <w:rFonts w:ascii="Arial" w:cs="Arial" w:eastAsia="Arial" w:hAnsi="Arial"/>
          <w:sz w:val="17"/>
          <w:szCs w:val="17"/>
          <w:color w:val="auto"/>
        </w:rPr>
        <w:t>”), each financial institution listed on the signature pages hereof as an Extending Lender (as defined below), JPMorgan Chase Bank, N.A.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JPMorgan</w:t>
      </w:r>
      <w:r>
        <w:rPr>
          <w:rFonts w:ascii="Arial" w:cs="Arial" w:eastAsia="Arial" w:hAnsi="Arial"/>
          <w:sz w:val="16"/>
          <w:szCs w:val="16"/>
          <w:color w:val="auto"/>
        </w:rPr>
        <w:t>”), in its capacity as administrative agent for the Lenders (in such capacity, together with its successors and permitted assigns in such capacity,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each of JPMorgan, Deutsche Bank AG New York Branch, The Toronto Dominion Bank, New York Branch and Wells Fargo Bank,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National Association (“</w:t>
      </w:r>
      <w:r>
        <w:rPr>
          <w:rFonts w:ascii="Arial" w:cs="Arial" w:eastAsia="Arial" w:hAnsi="Arial"/>
          <w:sz w:val="16"/>
          <w:szCs w:val="16"/>
          <w:u w:val="single" w:color="auto"/>
          <w:color w:val="auto"/>
        </w:rPr>
        <w:t>Wells Fargo</w:t>
      </w:r>
      <w:r>
        <w:rPr>
          <w:rFonts w:ascii="Arial" w:cs="Arial" w:eastAsia="Arial" w:hAnsi="Arial"/>
          <w:sz w:val="16"/>
          <w:szCs w:val="16"/>
          <w:color w:val="auto"/>
        </w:rPr>
        <w:t>”), as Issuing Banks (collectively, the “</w:t>
      </w:r>
      <w:r>
        <w:rPr>
          <w:rFonts w:ascii="Arial" w:cs="Arial" w:eastAsia="Arial" w:hAnsi="Arial"/>
          <w:sz w:val="16"/>
          <w:szCs w:val="16"/>
          <w:u w:val="single" w:color="auto"/>
          <w:color w:val="auto"/>
        </w:rPr>
        <w:t>Issuing Banks</w:t>
      </w:r>
      <w:r>
        <w:rPr>
          <w:rFonts w:ascii="Arial" w:cs="Arial" w:eastAsia="Arial" w:hAnsi="Arial"/>
          <w:sz w:val="16"/>
          <w:szCs w:val="16"/>
          <w:color w:val="auto"/>
        </w:rPr>
        <w:t>”) and JPMorgan, as the Swingline Lender (the “</w:t>
      </w:r>
      <w:r>
        <w:rPr>
          <w:rFonts w:ascii="Arial" w:cs="Arial" w:eastAsia="Arial" w:hAnsi="Arial"/>
          <w:sz w:val="16"/>
          <w:szCs w:val="16"/>
          <w:u w:val="single" w:color="auto"/>
          <w:color w:val="auto"/>
        </w:rPr>
        <w:t>Swingline Lender</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the Existing Revolving Credit Agreement (as defined below).</w:t>
      </w:r>
    </w:p>
    <w:p>
      <w:pPr>
        <w:spacing w:after="0" w:line="211"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color w:val="auto"/>
        </w:rPr>
        <w:t>WHEREAS, the Borrowers, WIL-Ireland, the Existing Lenders (as defined below), the Administrative Agent, the Issuing Banks and the Swingline Lender are parties to that certain Amended and Restated Credit Agreement dated as of May 9, 2016 (as amended by that certain Amendment No. 1 to Amended and Restated Credit Agreement, dated as of July 19, 2016, by that certain Amendment No. 2 to Amended and Restated Credit Agreement, dated as of April 17, 2017, and by that certain Joinder Agreement, dated as of September 7, 2017, the “</w:t>
      </w:r>
      <w:r>
        <w:rPr>
          <w:rFonts w:ascii="Arial" w:cs="Arial" w:eastAsia="Arial" w:hAnsi="Arial"/>
          <w:sz w:val="16"/>
          <w:szCs w:val="16"/>
          <w:u w:val="single" w:color="auto"/>
          <w:color w:val="auto"/>
        </w:rPr>
        <w:t>Existing Revolving Credit Agreement</w:t>
      </w:r>
      <w:r>
        <w:rPr>
          <w:rFonts w:ascii="Arial" w:cs="Arial" w:eastAsia="Arial" w:hAnsi="Arial"/>
          <w:sz w:val="16"/>
          <w:szCs w:val="16"/>
          <w:color w:val="auto"/>
        </w:rPr>
        <w:t>”);</w:t>
      </w:r>
    </w:p>
    <w:p>
      <w:pPr>
        <w:spacing w:after="0" w:line="154"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WHEREAS, WIL-Ireland and the Borrowers have invited each Existing Lender (i) to extend all of its Revolving Credit Commitment (and the Maturity Date for its Revolving Credit Loans and other Revolving Credit Exposure) under the Existing Revolving Credit Agreement (with respect to any Existing Lender, its “</w:t>
      </w:r>
      <w:r>
        <w:rPr>
          <w:rFonts w:ascii="Arial" w:cs="Arial" w:eastAsia="Arial" w:hAnsi="Arial"/>
          <w:sz w:val="18"/>
          <w:szCs w:val="18"/>
          <w:u w:val="single" w:color="auto"/>
          <w:color w:val="auto"/>
        </w:rPr>
        <w:t>Existing Revolving Credit Commitment</w:t>
      </w:r>
      <w:r>
        <w:rPr>
          <w:rFonts w:ascii="Arial" w:cs="Arial" w:eastAsia="Arial" w:hAnsi="Arial"/>
          <w:sz w:val="18"/>
          <w:szCs w:val="18"/>
          <w:color w:val="auto"/>
        </w:rPr>
        <w:t>”) and (ii) to provide a proportionate 364-Day Revolving Credit Commitment (as defined below) subject to its Existing Revolving Credit Commitment being reduced by an amount that is at least equal to such 364-Day Revolving Credit Commitment (collectively, the “</w:t>
      </w:r>
      <w:r>
        <w:rPr>
          <w:rFonts w:ascii="Arial" w:cs="Arial" w:eastAsia="Arial" w:hAnsi="Arial"/>
          <w:sz w:val="18"/>
          <w:szCs w:val="18"/>
          <w:u w:val="single" w:color="auto"/>
          <w:color w:val="auto"/>
        </w:rPr>
        <w:t>Extending Lender Transactions</w:t>
      </w:r>
      <w:r>
        <w:rPr>
          <w:rFonts w:ascii="Arial" w:cs="Arial" w:eastAsia="Arial" w:hAnsi="Arial"/>
          <w:sz w:val="18"/>
          <w:szCs w:val="18"/>
          <w:color w:val="auto"/>
        </w:rPr>
        <w:t>”);</w:t>
      </w:r>
    </w:p>
    <w:p>
      <w:pPr>
        <w:spacing w:after="0" w:line="188"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WHEREAS, WIL-Bermuda desires to enter into that certain 364-Day Revolving Credit Agreement (as defined below) evidencing a new 364-day second lien revolving credit facility in an initial aggregate principal amount of up to $316,742,581.42 (the facility evidenced by the 364-Day Revolving Credit Agreement and the other 364-Day Revolving Credit Documents (as defined below), the “</w:t>
      </w:r>
      <w:r>
        <w:rPr>
          <w:rFonts w:ascii="Arial" w:cs="Arial" w:eastAsia="Arial" w:hAnsi="Arial"/>
          <w:sz w:val="17"/>
          <w:szCs w:val="17"/>
          <w:u w:val="single" w:color="auto"/>
          <w:color w:val="auto"/>
        </w:rPr>
        <w:t>364-Day Revolving Credit Facility</w:t>
      </w:r>
      <w:r>
        <w:rPr>
          <w:rFonts w:ascii="Arial" w:cs="Arial" w:eastAsia="Arial" w:hAnsi="Arial"/>
          <w:sz w:val="17"/>
          <w:szCs w:val="17"/>
          <w:color w:val="auto"/>
        </w:rPr>
        <w:t>”), the proceeds of which on the date hereof shall be used to prepay outstanding Revolving Credit Loans as described herein;</w:t>
      </w:r>
    </w:p>
    <w:p>
      <w:pPr>
        <w:spacing w:after="0" w:line="171" w:lineRule="exact"/>
        <w:rPr>
          <w:sz w:val="20"/>
          <w:szCs w:val="20"/>
          <w:color w:val="auto"/>
        </w:rPr>
      </w:pPr>
    </w:p>
    <w:p>
      <w:pPr>
        <w:ind w:right="80" w:firstLine="1297"/>
        <w:spacing w:after="0" w:line="308" w:lineRule="auto"/>
        <w:rPr>
          <w:sz w:val="20"/>
          <w:szCs w:val="20"/>
          <w:color w:val="auto"/>
        </w:rPr>
      </w:pPr>
      <w:r>
        <w:rPr>
          <w:rFonts w:ascii="Arial" w:cs="Arial" w:eastAsia="Arial" w:hAnsi="Arial"/>
          <w:sz w:val="17"/>
          <w:szCs w:val="17"/>
          <w:color w:val="auto"/>
        </w:rPr>
        <w:t>WHEREAS, the Borrowers desire to reduce the unused Commitments of each Existing Lender that elects to become a Participating Lender (as defined below) in an amount that is at least equal to such Participating Lender’s 364-Day Revolving Credit Commitment;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WHEREAS, the parties hereto have agreed to amend the Existing Revolving Credit Agreement in the form of the Amended Revolving Credit Agreement (as defined below);</w:t>
      </w:r>
    </w:p>
    <w:p>
      <w:pPr>
        <w:spacing w:after="0" w:line="170" w:lineRule="exact"/>
        <w:rPr>
          <w:sz w:val="20"/>
          <w:szCs w:val="20"/>
          <w:color w:val="auto"/>
        </w:rPr>
      </w:pPr>
    </w:p>
    <w:p>
      <w:pPr>
        <w:ind w:right="500" w:firstLine="1297"/>
        <w:spacing w:after="0" w:line="342" w:lineRule="auto"/>
        <w:rPr>
          <w:sz w:val="20"/>
          <w:szCs w:val="20"/>
          <w:color w:val="auto"/>
        </w:rPr>
      </w:pPr>
      <w:r>
        <w:rPr>
          <w:rFonts w:ascii="Arial" w:cs="Arial" w:eastAsia="Arial" w:hAnsi="Arial"/>
          <w:sz w:val="16"/>
          <w:szCs w:val="16"/>
          <w:color w:val="auto"/>
        </w:rPr>
        <w:t>NOW, THEREFORE, in consideration of the premises set forth above, the terms and conditions contained herein, and other good and valuable consideration, the receipt and sufficiency of which are hereby acknowledged, the parties hereto have agreed to enter into this Amendment.</w:t>
      </w:r>
    </w:p>
    <w:p>
      <w:pPr>
        <w:spacing w:after="0" w:line="124" w:lineRule="exact"/>
        <w:rPr>
          <w:sz w:val="20"/>
          <w:szCs w:val="20"/>
          <w:color w:val="auto"/>
        </w:rPr>
      </w:pPr>
    </w:p>
    <w:p>
      <w:pPr>
        <w:ind w:left="1960" w:hanging="65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Defined Terms.</w:t>
      </w:r>
    </w:p>
    <w:p>
      <w:pPr>
        <w:spacing w:after="0" w:line="225" w:lineRule="exact"/>
        <w:rPr>
          <w:sz w:val="20"/>
          <w:szCs w:val="20"/>
          <w:color w:val="auto"/>
        </w:rPr>
      </w:pPr>
    </w:p>
    <w:p>
      <w:pPr>
        <w:ind w:left="1940" w:hanging="635"/>
        <w:spacing w:after="0"/>
        <w:tabs>
          <w:tab w:leader="none" w:pos="1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Capitalized terms used but not defined herein shall have the meanings assigned to such terms in the Existing Revolving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960" w:hanging="655"/>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used in this Amendment:</w:t>
      </w:r>
    </w:p>
    <w:p>
      <w:pPr>
        <w:spacing w:after="0" w:line="225" w:lineRule="exact"/>
        <w:rPr>
          <w:sz w:val="20"/>
          <w:szCs w:val="20"/>
          <w:color w:val="auto"/>
        </w:rPr>
      </w:pPr>
    </w:p>
    <w:p>
      <w:pPr>
        <w:jc w:val="both"/>
        <w:ind w:left="660" w:right="2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364-Day Revolving Credit Agreement</w:t>
      </w:r>
      <w:r>
        <w:rPr>
          <w:rFonts w:ascii="Arial" w:cs="Arial" w:eastAsia="Arial" w:hAnsi="Arial"/>
          <w:sz w:val="17"/>
          <w:szCs w:val="17"/>
          <w:color w:val="auto"/>
        </w:rPr>
        <w:t>” means that certain 364-Day Revolving Credit Agreement dated as of the Amendment Effective Date by and among, WIL-Bermuda, as the borrower thereunder, WIL-Ireland, the lenders from time to time party thereto, JPMorgan Chase Bank, N.A., as the administrative agent thereunder and Morgan Stanley Bank, N.A., as the collateral agent thereunder.</w:t>
      </w:r>
    </w:p>
    <w:p>
      <w:pPr>
        <w:spacing w:after="0" w:line="166" w:lineRule="exact"/>
        <w:rPr>
          <w:sz w:val="20"/>
          <w:szCs w:val="20"/>
          <w:color w:val="auto"/>
        </w:rPr>
      </w:pPr>
    </w:p>
    <w:p>
      <w:pPr>
        <w:ind w:left="660"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364-Day Revolving Credit Commitment</w:t>
      </w:r>
      <w:r>
        <w:rPr>
          <w:rFonts w:ascii="Arial" w:cs="Arial" w:eastAsia="Arial" w:hAnsi="Arial"/>
          <w:sz w:val="18"/>
          <w:szCs w:val="18"/>
          <w:color w:val="auto"/>
        </w:rPr>
        <w:t>” means, with respect to any “Lender” under and as defined in the 364-Day Revolving Credit Agreement, such Lender’s “Commitment” under and as defined in the 364-Day Revolving Credit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364-Day Revolving Credit Documents</w:t>
      </w:r>
      <w:r>
        <w:rPr>
          <w:rFonts w:ascii="Arial" w:cs="Arial" w:eastAsia="Arial" w:hAnsi="Arial"/>
          <w:sz w:val="16"/>
          <w:szCs w:val="16"/>
          <w:color w:val="auto"/>
        </w:rPr>
        <w:t>” means the “Loan Documents” under and as defined in the 364-Day Revolving Credit Agreement.</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364-Day Revolving Credit Loans</w:t>
      </w:r>
      <w:r>
        <w:rPr>
          <w:rFonts w:ascii="Arial" w:cs="Arial" w:eastAsia="Arial" w:hAnsi="Arial"/>
          <w:sz w:val="18"/>
          <w:szCs w:val="18"/>
          <w:color w:val="auto"/>
        </w:rPr>
        <w:t>” means the “Loans” under and as defined in the 364-Day Revolving Credit Agreement.</w:t>
      </w:r>
    </w:p>
    <w:p>
      <w:pPr>
        <w:spacing w:after="0" w:line="225" w:lineRule="exact"/>
        <w:rPr>
          <w:sz w:val="20"/>
          <w:szCs w:val="20"/>
          <w:color w:val="auto"/>
        </w:rPr>
      </w:pPr>
    </w:p>
    <w:p>
      <w:pPr>
        <w:ind w:left="660"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Lender</w:t>
      </w:r>
      <w:r>
        <w:rPr>
          <w:rFonts w:ascii="Arial" w:cs="Arial" w:eastAsia="Arial" w:hAnsi="Arial"/>
          <w:sz w:val="18"/>
          <w:szCs w:val="18"/>
          <w:color w:val="auto"/>
        </w:rPr>
        <w:t>” means any Lender party to the Existing Revolving Credit Agreement immediately prior to the effectiveness of the Amended Revolving Credit Agreement.</w:t>
      </w:r>
    </w:p>
    <w:p>
      <w:pPr>
        <w:spacing w:after="0" w:line="170" w:lineRule="exact"/>
        <w:rPr>
          <w:sz w:val="20"/>
          <w:szCs w:val="20"/>
          <w:color w:val="auto"/>
        </w:rPr>
      </w:pPr>
    </w:p>
    <w:p>
      <w:pPr>
        <w:ind w:left="660" w:right="7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Required Lenders</w:t>
      </w:r>
      <w:r>
        <w:rPr>
          <w:rFonts w:ascii="Arial" w:cs="Arial" w:eastAsia="Arial" w:hAnsi="Arial"/>
          <w:sz w:val="18"/>
          <w:szCs w:val="18"/>
          <w:color w:val="auto"/>
        </w:rPr>
        <w:t>” means the “Required Lenders” under and as defined in the Existing Revolving Credit Agreement, as determined immediately prior to the effectiveness of this Amendment.</w:t>
      </w:r>
    </w:p>
    <w:p>
      <w:pPr>
        <w:spacing w:after="0" w:line="170" w:lineRule="exact"/>
        <w:rPr>
          <w:sz w:val="20"/>
          <w:szCs w:val="20"/>
          <w:color w:val="auto"/>
        </w:rPr>
      </w:pPr>
    </w:p>
    <w:p>
      <w:pPr>
        <w:ind w:left="66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xml:space="preserve">” means any Existing Lender </w:t>
      </w:r>
      <w:r>
        <w:rPr>
          <w:rFonts w:ascii="Arial" w:cs="Arial" w:eastAsia="Arial" w:hAnsi="Arial"/>
          <w:sz w:val="17"/>
          <w:szCs w:val="17"/>
          <w:color w:val="auto"/>
        </w:rPr>
        <w:t>with respect to its “Extended Commitment” (under and as defined in the Amended Revolving</w:t>
      </w:r>
      <w:r>
        <w:rPr>
          <w:rFonts w:ascii="Arial" w:cs="Arial" w:eastAsia="Arial" w:hAnsi="Arial"/>
          <w:sz w:val="18"/>
          <w:szCs w:val="18"/>
          <w:color w:val="auto"/>
        </w:rPr>
        <w:t xml:space="preserve"> </w:t>
      </w:r>
      <w:r>
        <w:rPr>
          <w:rFonts w:ascii="Arial" w:cs="Arial" w:eastAsia="Arial" w:hAnsi="Arial"/>
          <w:sz w:val="17"/>
          <w:szCs w:val="17"/>
          <w:color w:val="auto"/>
        </w:rPr>
        <w:t>Credit Agreement)</w:t>
      </w:r>
      <w:r>
        <w:rPr>
          <w:rFonts w:ascii="Arial" w:cs="Arial" w:eastAsia="Arial" w:hAnsi="Arial"/>
          <w:sz w:val="18"/>
          <w:szCs w:val="18"/>
          <w:color w:val="auto"/>
        </w:rPr>
        <w:t>.</w:t>
      </w:r>
    </w:p>
    <w:p>
      <w:pPr>
        <w:spacing w:after="0" w:line="170" w:lineRule="exact"/>
        <w:rPr>
          <w:sz w:val="20"/>
          <w:szCs w:val="20"/>
          <w:color w:val="auto"/>
        </w:rPr>
      </w:pPr>
    </w:p>
    <w:p>
      <w:pPr>
        <w:ind w:left="660"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xml:space="preserve">” means any Existing Lender </w:t>
      </w:r>
      <w:r>
        <w:rPr>
          <w:rFonts w:ascii="Arial" w:cs="Arial" w:eastAsia="Arial" w:hAnsi="Arial"/>
          <w:sz w:val="17"/>
          <w:szCs w:val="17"/>
          <w:color w:val="auto"/>
        </w:rPr>
        <w:t>with respect to its “Non-Extended Commitment” (under and as defined in the Amended</w:t>
      </w:r>
      <w:r>
        <w:rPr>
          <w:rFonts w:ascii="Arial" w:cs="Arial" w:eastAsia="Arial" w:hAnsi="Arial"/>
          <w:sz w:val="18"/>
          <w:szCs w:val="18"/>
          <w:color w:val="auto"/>
        </w:rPr>
        <w:t xml:space="preserve"> </w:t>
      </w:r>
      <w:r>
        <w:rPr>
          <w:rFonts w:ascii="Arial" w:cs="Arial" w:eastAsia="Arial" w:hAnsi="Arial"/>
          <w:sz w:val="17"/>
          <w:szCs w:val="17"/>
          <w:color w:val="auto"/>
        </w:rPr>
        <w:t>Revolving Credit Agreement)</w:t>
      </w:r>
      <w:r>
        <w:rPr>
          <w:rFonts w:ascii="Arial" w:cs="Arial" w:eastAsia="Arial" w:hAnsi="Arial"/>
          <w:sz w:val="18"/>
          <w:szCs w:val="18"/>
          <w:color w:val="auto"/>
        </w:rPr>
        <w:t>.</w:t>
      </w:r>
    </w:p>
    <w:p>
      <w:pPr>
        <w:sectPr>
          <w:pgSz w:w="11900" w:h="16838" w:orient="portrait"/>
          <w:cols w:equalWidth="0" w:num="1">
            <w:col w:w="11420"/>
          </w:cols>
          <w:pgMar w:left="240" w:top="121"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0" w:gutter="0" w:footer="0" w:header="0"/>
          <w:type w:val="continuous"/>
        </w:sectPr>
      </w:pPr>
    </w:p>
    <w:bookmarkStart w:id="4" w:name="page5"/>
    <w:bookmarkEnd w:id="4"/>
    <w:p>
      <w:pPr>
        <w:ind w:left="660" w:right="700" w:firstLine="64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Participating Lender</w:t>
      </w:r>
      <w:r>
        <w:rPr>
          <w:rFonts w:ascii="Arial" w:cs="Arial" w:eastAsia="Arial" w:hAnsi="Arial"/>
          <w:sz w:val="18"/>
          <w:szCs w:val="18"/>
          <w:color w:val="auto"/>
        </w:rPr>
        <w:t>” means any Existing Lender that has agreed to participate in the Extending Lender Transactions described in Section 2(a) of this Amendment with respect to its Existing Revolving Credit Commitment.</w:t>
      </w:r>
    </w:p>
    <w:p>
      <w:pPr>
        <w:spacing w:after="0" w:line="170" w:lineRule="exact"/>
        <w:rPr>
          <w:sz w:val="20"/>
          <w:szCs w:val="20"/>
          <w:color w:val="auto"/>
        </w:rPr>
      </w:pPr>
    </w:p>
    <w:p>
      <w:pPr>
        <w:ind w:left="1960" w:hanging="655"/>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Election of Extending Lenders.</w:t>
      </w:r>
    </w:p>
    <w:p>
      <w:pPr>
        <w:spacing w:after="0" w:line="225" w:lineRule="exact"/>
        <w:rPr>
          <w:sz w:val="20"/>
          <w:szCs w:val="20"/>
          <w:color w:val="auto"/>
        </w:rPr>
      </w:pPr>
    </w:p>
    <w:p>
      <w:pPr>
        <w:ind w:left="1940" w:hanging="635"/>
        <w:spacing w:after="0"/>
        <w:tabs>
          <w:tab w:leader="none" w:pos="1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By its execution below, each Lender identified as an Extending Lender on its signature page hereto hereby acknowledges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agrees that:</w:t>
      </w:r>
    </w:p>
    <w:p>
      <w:pPr>
        <w:spacing w:after="0" w:line="211" w:lineRule="exact"/>
        <w:rPr>
          <w:sz w:val="20"/>
          <w:szCs w:val="20"/>
          <w:color w:val="auto"/>
        </w:rPr>
      </w:pPr>
    </w:p>
    <w:p>
      <w:pPr>
        <w:ind w:left="1960" w:right="260" w:hanging="655"/>
        <w:spacing w:after="0" w:line="259" w:lineRule="auto"/>
        <w:tabs>
          <w:tab w:leader="none" w:pos="1981"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Lender has made an election to be, and shall immediately upon the effectiveness of the Amended Revolving Credit Agreement on the Amendment Effective Date become, an “Extending Lender” under and as defined in the Amended Revolving Credit Agreement, with all the rights and obligations of an Extending Lender thereunder, with respect to its “Extended Commitment” (under and as defined in the Amended Revolving Credit Agreement); and</w:t>
      </w:r>
    </w:p>
    <w:p>
      <w:pPr>
        <w:spacing w:after="0" w:line="186" w:lineRule="exact"/>
        <w:rPr>
          <w:rFonts w:ascii="Arial" w:cs="Arial" w:eastAsia="Arial" w:hAnsi="Arial"/>
          <w:sz w:val="18"/>
          <w:szCs w:val="18"/>
          <w:color w:val="auto"/>
        </w:rPr>
      </w:pPr>
    </w:p>
    <w:p>
      <w:pPr>
        <w:ind w:left="1960" w:hanging="655"/>
        <w:spacing w:after="0" w:line="259" w:lineRule="auto"/>
        <w:tabs>
          <w:tab w:leader="none" w:pos="1991"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Lender has made an election to be, and shall immediately upon the effectiveness of the 364-Day Revolving Credit Agreement on the Amendment Effective Date become, a “Lender” under and as defined in the 364-Day Revolving Credit Agreement, with all the rights and obligations of a “Lender” thereunder, with respect to and to the extent of its 364-Day Revolving Credit Commitment.</w:t>
      </w:r>
    </w:p>
    <w:p>
      <w:pPr>
        <w:spacing w:after="0" w:line="187" w:lineRule="exact"/>
        <w:rPr>
          <w:sz w:val="20"/>
          <w:szCs w:val="20"/>
          <w:color w:val="auto"/>
        </w:rPr>
      </w:pPr>
    </w:p>
    <w:p>
      <w:pPr>
        <w:ind w:right="20" w:firstLine="1305"/>
        <w:spacing w:after="0" w:line="297" w:lineRule="auto"/>
        <w:tabs>
          <w:tab w:leader="none" w:pos="19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Notwithstanding any contrary historical designation in the Existing Revolving Credit Agreement, each Lender that is not identified as an Extending Lender on its signature page hereto with respect to its “Commitment” (under and as defined in the Existing Revolving Credit Agreement) or that otherwise does not sign a signature page hereto shall, upon the effectiveness of the Amended Revolving Credit Agreement on the Amendment Effective Date, be a “Non-Extending Lender” under and as defined in the Amended Revolving Credit Agreement, with all the rights and obligations of a Non-Extending Lender thereunder, with respect to its “Non-Extended Commitment” (under and as defined in the Amended Revolving Credit Agreement).</w:t>
      </w:r>
    </w:p>
    <w:p>
      <w:pPr>
        <w:spacing w:after="0" w:line="158" w:lineRule="exact"/>
        <w:rPr>
          <w:rFonts w:ascii="Arial" w:cs="Arial" w:eastAsia="Arial" w:hAnsi="Arial"/>
          <w:sz w:val="16"/>
          <w:szCs w:val="16"/>
          <w:color w:val="auto"/>
        </w:rPr>
      </w:pPr>
    </w:p>
    <w:p>
      <w:pPr>
        <w:ind w:right="140" w:firstLine="1305"/>
        <w:spacing w:after="0" w:line="259" w:lineRule="auto"/>
        <w:tabs>
          <w:tab w:leader="none" w:pos="195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 reflects each Existing Lender’s, as applicable, “Extended Commitment” (under and as defined in the Amended Revolving Credit Agreement), “Non-Extended Commitment” (under and as defined in the Amended Revolving Credit Agreement) and 364-Day Revolving Credit Commitment, in each case, on the Amendment Effective Date immediately after giving effect to the Specified Prepayment (as defined below) and the Commitment Reduction (as defined below).</w:t>
      </w:r>
    </w:p>
    <w:p>
      <w:pPr>
        <w:spacing w:after="0" w:line="187" w:lineRule="exact"/>
        <w:rPr>
          <w:sz w:val="20"/>
          <w:szCs w:val="20"/>
          <w:color w:val="auto"/>
        </w:rPr>
      </w:pPr>
    </w:p>
    <w:p>
      <w:pPr>
        <w:ind w:right="200" w:firstLine="1305"/>
        <w:spacing w:after="0" w:line="259" w:lineRule="auto"/>
        <w:tabs>
          <w:tab w:leader="none" w:pos="194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Consent to 364-Day Revolving Credit Facility</w:t>
      </w:r>
      <w:r>
        <w:rPr>
          <w:rFonts w:ascii="Arial" w:cs="Arial" w:eastAsia="Arial" w:hAnsi="Arial"/>
          <w:sz w:val="18"/>
          <w:szCs w:val="18"/>
          <w:color w:val="auto"/>
        </w:rPr>
        <w:t>. On the Amendment Effective Date, but immediately prior to the effectiveness of the Amended Revolving Credit Agreement, notwithstanding anything to the contrary in the Existing Revolving Credit Agreement (including, without limitation, in Sections 8.01 and 8.04 thereof), the Existing Required Lenders hereby consent to the 364-Day Revolving Credit Facility, including the execution and delivery of the 364-Day Revolving Credit Agreement and the other 364-Day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Documents by the “Obligors” thereunder.</w:t>
      </w:r>
    </w:p>
    <w:p>
      <w:pPr>
        <w:spacing w:after="0" w:line="225" w:lineRule="exact"/>
        <w:rPr>
          <w:sz w:val="20"/>
          <w:szCs w:val="20"/>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Reduction of Existing Revolving Credit Commitments of Extending Lenders.</w:t>
      </w:r>
    </w:p>
    <w:p>
      <w:pPr>
        <w:spacing w:after="0" w:line="225" w:lineRule="exact"/>
        <w:rPr>
          <w:sz w:val="20"/>
          <w:szCs w:val="20"/>
          <w:color w:val="auto"/>
        </w:rPr>
      </w:pPr>
    </w:p>
    <w:p>
      <w:pPr>
        <w:ind w:right="40" w:firstLine="1305"/>
        <w:spacing w:after="0" w:line="291" w:lineRule="auto"/>
        <w:tabs>
          <w:tab w:leader="none" w:pos="194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Repayment of Revolving Loans</w:t>
      </w:r>
      <w:r>
        <w:rPr>
          <w:rFonts w:ascii="Arial" w:cs="Arial" w:eastAsia="Arial" w:hAnsi="Arial"/>
          <w:sz w:val="16"/>
          <w:szCs w:val="16"/>
          <w:color w:val="auto"/>
        </w:rPr>
        <w:t>. Immediately upon receipt of the proceeds of the 364-Day Revolving Credit Loans under the 364-Day Revolving Credit Agreement, WIL-Bermuda shall prepay the Revolving Credit Loans of the Existing Lenders ratably in accordance with Sections</w:t>
      </w:r>
    </w:p>
    <w:p>
      <w:pPr>
        <w:spacing w:after="0" w:line="261" w:lineRule="auto"/>
        <w:rPr>
          <w:rFonts w:ascii="Arial" w:cs="Arial" w:eastAsia="Arial" w:hAnsi="Arial"/>
          <w:sz w:val="16"/>
          <w:szCs w:val="16"/>
          <w:color w:val="auto"/>
        </w:rPr>
      </w:pPr>
      <w:r>
        <w:rPr>
          <w:rFonts w:ascii="Arial" w:cs="Arial" w:eastAsia="Arial" w:hAnsi="Arial"/>
          <w:sz w:val="18"/>
          <w:szCs w:val="18"/>
          <w:color w:val="auto"/>
        </w:rPr>
        <w:t>2.08(a) and 2.08(b) of the Existing Revolving Credit Agreement by an aggregate principal amount equal to $316,742,581.42 (such prepayment, the “</w:t>
      </w:r>
      <w:r>
        <w:rPr>
          <w:rFonts w:ascii="Arial" w:cs="Arial" w:eastAsia="Arial" w:hAnsi="Arial"/>
          <w:sz w:val="18"/>
          <w:szCs w:val="18"/>
          <w:u w:val="single" w:color="auto"/>
          <w:color w:val="auto"/>
        </w:rPr>
        <w:t>Specified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Prepayment</w:t>
      </w:r>
      <w:r>
        <w:rPr>
          <w:rFonts w:ascii="Arial" w:cs="Arial" w:eastAsia="Arial" w:hAnsi="Arial"/>
          <w:sz w:val="18"/>
          <w:szCs w:val="18"/>
          <w:color w:val="auto"/>
        </w:rPr>
        <w:t>”). The Existing Required Lenders hereby waive any requirement of prior notice of such Specified Prepayment.</w:t>
      </w:r>
    </w:p>
    <w:p>
      <w:pPr>
        <w:spacing w:after="0" w:line="183" w:lineRule="exact"/>
        <w:rPr>
          <w:rFonts w:ascii="Arial" w:cs="Arial" w:eastAsia="Arial" w:hAnsi="Arial"/>
          <w:sz w:val="16"/>
          <w:szCs w:val="16"/>
          <w:color w:val="auto"/>
        </w:rPr>
      </w:pPr>
    </w:p>
    <w:p>
      <w:pPr>
        <w:ind w:firstLine="1305"/>
        <w:spacing w:after="0" w:line="272" w:lineRule="auto"/>
        <w:tabs>
          <w:tab w:leader="none" w:pos="1952"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Commitment Reduction</w:t>
      </w:r>
      <w:r>
        <w:rPr>
          <w:rFonts w:ascii="Arial" w:cs="Arial" w:eastAsia="Arial" w:hAnsi="Arial"/>
          <w:sz w:val="17"/>
          <w:szCs w:val="17"/>
          <w:color w:val="auto"/>
        </w:rPr>
        <w:t xml:space="preserve">. Immediately following the Specified Prepayment on the Amendment Effective Date, notwithstanding anything to the contrary in </w:t>
      </w:r>
      <w:r>
        <w:rPr>
          <w:rFonts w:ascii="Arial" w:cs="Arial" w:eastAsia="Arial" w:hAnsi="Arial"/>
          <w:sz w:val="17"/>
          <w:szCs w:val="17"/>
          <w:u w:val="single" w:color="auto"/>
          <w:color w:val="auto"/>
        </w:rPr>
        <w:t>Section 2.06(c)</w:t>
      </w:r>
      <w:r>
        <w:rPr>
          <w:rFonts w:ascii="Arial" w:cs="Arial" w:eastAsia="Arial" w:hAnsi="Arial"/>
          <w:sz w:val="17"/>
          <w:szCs w:val="17"/>
          <w:color w:val="auto"/>
        </w:rPr>
        <w:t xml:space="preserve"> of the Existing Revolving Credit Agreement, the unused Commitment of each Participating Lender shall be automatically reduced (without any further action or consent by any Person) by the amount necessary to reflect the “Extended Commitment” (under the Amended Revolving Credit Agreement) of such Participating Lender as set forth on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hereto, which amount shall be no less than such Participating Lender’s 364-Day Revolving Credit Commitment (all such reductions being referred to collectively as the “</w:t>
      </w:r>
      <w:r>
        <w:rPr>
          <w:rFonts w:ascii="Arial" w:cs="Arial" w:eastAsia="Arial" w:hAnsi="Arial"/>
          <w:sz w:val="17"/>
          <w:szCs w:val="17"/>
          <w:u w:val="single" w:color="auto"/>
          <w:color w:val="auto"/>
        </w:rPr>
        <w:t>Commitment Reduction</w:t>
      </w:r>
      <w:r>
        <w:rPr>
          <w:rFonts w:ascii="Arial" w:cs="Arial" w:eastAsia="Arial" w:hAnsi="Arial"/>
          <w:sz w:val="17"/>
          <w:szCs w:val="17"/>
          <w:color w:val="auto"/>
        </w:rPr>
        <w:t>”). The Existing Required Lenders hereby waive any requirement of prior notice of any such Commitment Reduction or any requirement that such Commitment Reduction be made ratably among the Existing Lenders or the Extending Lenders, as the case may be.</w:t>
      </w:r>
    </w:p>
    <w:p>
      <w:pPr>
        <w:spacing w:after="0" w:line="177" w:lineRule="exact"/>
        <w:rPr>
          <w:rFonts w:ascii="Arial" w:cs="Arial" w:eastAsia="Arial" w:hAnsi="Arial"/>
          <w:sz w:val="17"/>
          <w:szCs w:val="17"/>
          <w:color w:val="auto"/>
        </w:rPr>
      </w:pPr>
    </w:p>
    <w:p>
      <w:pPr>
        <w:ind w:right="120" w:firstLine="1305"/>
        <w:spacing w:after="0" w:line="277" w:lineRule="auto"/>
        <w:tabs>
          <w:tab w:leader="none" w:pos="195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For the avoidance of doubt, the Borrowers shall indemnify all applicable Lenders for breakage costs incurred in connection with the Specified Prepayment in accordance with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of the Existing Revolving Credit Agreement.</w:t>
      </w:r>
    </w:p>
    <w:p>
      <w:pPr>
        <w:spacing w:after="0" w:line="170" w:lineRule="exact"/>
        <w:rPr>
          <w:sz w:val="20"/>
          <w:szCs w:val="20"/>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Amendment of the Existing Revolving Credit Agreement; Borrowings and Reallocations.</w:t>
      </w:r>
    </w:p>
    <w:p>
      <w:pPr>
        <w:spacing w:after="0" w:line="225" w:lineRule="exact"/>
        <w:rPr>
          <w:sz w:val="20"/>
          <w:szCs w:val="20"/>
          <w:color w:val="auto"/>
        </w:rPr>
      </w:pPr>
    </w:p>
    <w:p>
      <w:pPr>
        <w:ind w:right="20" w:firstLine="1305"/>
        <w:spacing w:after="0" w:line="272" w:lineRule="auto"/>
        <w:tabs>
          <w:tab w:leader="none" w:pos="1942"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Effective from and after the Amendment Effective Date, (i) the Existing Revolving Credit Agreement is hereby amended to read as set forth in </w:t>
      </w:r>
      <w:r>
        <w:rPr>
          <w:rFonts w:ascii="Arial" w:cs="Arial" w:eastAsia="Arial" w:hAnsi="Arial"/>
          <w:sz w:val="17"/>
          <w:szCs w:val="17"/>
          <w:u w:val="single" w:color="auto"/>
          <w:color w:val="auto"/>
        </w:rPr>
        <w:t>Annex II</w:t>
      </w:r>
      <w:r>
        <w:rPr>
          <w:rFonts w:ascii="Arial" w:cs="Arial" w:eastAsia="Arial" w:hAnsi="Arial"/>
          <w:sz w:val="17"/>
          <w:szCs w:val="17"/>
          <w:color w:val="auto"/>
        </w:rPr>
        <w:t xml:space="preserve"> hereto, (ii) Exhibit B-1 (Form of Borrowing Request), Exhibit B-2 (Form of Swingline Borrowing Request) and Exhibit F (Form of Letter of Credit Request) to the Existing Revolving Credit Agreement (but no other Exhibits thereto) are hereby amended to read as set forth in </w:t>
      </w:r>
      <w:r>
        <w:rPr>
          <w:rFonts w:ascii="Arial" w:cs="Arial" w:eastAsia="Arial" w:hAnsi="Arial"/>
          <w:sz w:val="17"/>
          <w:szCs w:val="17"/>
          <w:u w:val="single" w:color="auto"/>
          <w:color w:val="auto"/>
        </w:rPr>
        <w:t>Annex III</w:t>
      </w:r>
      <w:r>
        <w:rPr>
          <w:rFonts w:ascii="Arial" w:cs="Arial" w:eastAsia="Arial" w:hAnsi="Arial"/>
          <w:sz w:val="17"/>
          <w:szCs w:val="17"/>
          <w:color w:val="auto"/>
        </w:rPr>
        <w:t xml:space="preserve"> hereto, (iii) Schedule 1.01B (LC Commitments) to the Existing Revolving Credit Agreement is deleted, and (iv) Schedule 1.01C (Initial Guarantors, to be renamed “Guarantors on the Amendment No. 3 Effective Date”), Schedule 2.01 (Commitments) and Schedule 3.01 (Existing Letters of Credit) to the Existing Revolving Credit Agreement (but no other Schedules thereto) are hereby amended to read as set forth in </w:t>
      </w:r>
      <w:r>
        <w:rPr>
          <w:rFonts w:ascii="Arial" w:cs="Arial" w:eastAsia="Arial" w:hAnsi="Arial"/>
          <w:sz w:val="17"/>
          <w:szCs w:val="17"/>
          <w:u w:val="single" w:color="auto"/>
          <w:color w:val="auto"/>
        </w:rPr>
        <w:t>Annex IV</w:t>
      </w:r>
      <w:r>
        <w:rPr>
          <w:rFonts w:ascii="Arial" w:cs="Arial" w:eastAsia="Arial" w:hAnsi="Arial"/>
          <w:sz w:val="17"/>
          <w:szCs w:val="17"/>
          <w:color w:val="auto"/>
        </w:rPr>
        <w:t xml:space="preserve"> hereto (the Existing Revolving Credit Agreement, amended as reflected in this Section 5(a), the “</w:t>
      </w:r>
      <w:r>
        <w:rPr>
          <w:rFonts w:ascii="Arial" w:cs="Arial" w:eastAsia="Arial" w:hAnsi="Arial"/>
          <w:sz w:val="17"/>
          <w:szCs w:val="17"/>
          <w:u w:val="single" w:color="auto"/>
          <w:color w:val="auto"/>
        </w:rPr>
        <w:t>Amended Revolving Credit Agreement</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260" w:firstLine="1305"/>
        <w:spacing w:after="0" w:line="308" w:lineRule="auto"/>
        <w:tabs>
          <w:tab w:leader="none" w:pos="1952"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immediately after giving effect to the transactions contemplated hereby on the Amendment Effective Date, Revolving Credit Loans and Revolving Credit Exposure are not held by the Revolving Credit Lenders ratably in accordance with their Extended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33" w:right="239" w:bottom="0" w:gutter="0" w:footer="0" w:header="0"/>
        </w:sectPr>
      </w:pPr>
    </w:p>
    <w:bookmarkStart w:id="5" w:name="page6"/>
    <w:bookmarkEnd w:id="5"/>
    <w:p>
      <w:pPr>
        <w:ind w:right="20"/>
        <w:spacing w:after="0" w:line="259" w:lineRule="auto"/>
        <w:rPr>
          <w:sz w:val="20"/>
          <w:szCs w:val="20"/>
          <w:color w:val="auto"/>
        </w:rPr>
      </w:pPr>
      <w:r>
        <w:rPr>
          <w:rFonts w:ascii="Arial" w:cs="Arial" w:eastAsia="Arial" w:hAnsi="Arial"/>
          <w:sz w:val="18"/>
          <w:szCs w:val="18"/>
          <w:color w:val="auto"/>
        </w:rPr>
        <w:t xml:space="preserve">Commitments and Non-Extended Commitments, either (i) WIL-Bermuda shall make any necessary repayments and reborrowings of existing Revolving Credit Loans or (ii) the Administrative Agent shall otherwise administer any required assignment and reallocation of outstanding Revolving Credit Loans and Revolving Credit Exposure ratably among the Revolving Credit Lenders; provided that the Borrowers shall indemnify all applicable Lenders for breakage costs in accordance with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of the Amended Revolving Credit Agreement.</w:t>
      </w:r>
    </w:p>
    <w:p>
      <w:pPr>
        <w:spacing w:after="0" w:line="187" w:lineRule="exact"/>
        <w:rPr>
          <w:sz w:val="20"/>
          <w:szCs w:val="20"/>
          <w:color w:val="auto"/>
        </w:rPr>
      </w:pPr>
    </w:p>
    <w:p>
      <w:pPr>
        <w:ind w:right="160" w:firstLine="1305"/>
        <w:spacing w:after="0" w:line="277" w:lineRule="auto"/>
        <w:tabs>
          <w:tab w:leader="none" w:pos="194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Conditions of Amendment Effective Date</w:t>
      </w:r>
      <w:r>
        <w:rPr>
          <w:rFonts w:ascii="Arial" w:cs="Arial" w:eastAsia="Arial" w:hAnsi="Arial"/>
          <w:sz w:val="18"/>
          <w:szCs w:val="18"/>
          <w:color w:val="auto"/>
        </w:rPr>
        <w:t>. This Amendment shall only become effective on the date (the “</w:t>
      </w:r>
      <w:r>
        <w:rPr>
          <w:rFonts w:ascii="Arial" w:cs="Arial" w:eastAsia="Arial" w:hAnsi="Arial"/>
          <w:sz w:val="18"/>
          <w:szCs w:val="18"/>
          <w:u w:val="single" w:color="auto"/>
          <w:color w:val="auto"/>
        </w:rPr>
        <w:t>Amendment 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on which each of the following conditions precedent have been satisfied or waived:</w:t>
      </w:r>
    </w:p>
    <w:p>
      <w:pPr>
        <w:spacing w:after="0" w:line="170" w:lineRule="exact"/>
        <w:rPr>
          <w:sz w:val="20"/>
          <w:szCs w:val="20"/>
          <w:color w:val="auto"/>
        </w:rPr>
      </w:pPr>
    </w:p>
    <w:p>
      <w:pPr>
        <w:ind w:left="1940" w:hanging="635"/>
        <w:spacing w:after="0"/>
        <w:tabs>
          <w:tab w:leader="none" w:pos="1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Administrative Agent shall have received the following:</w:t>
      </w:r>
    </w:p>
    <w:p>
      <w:pPr>
        <w:spacing w:after="0" w:line="225" w:lineRule="exact"/>
        <w:rPr>
          <w:sz w:val="20"/>
          <w:szCs w:val="20"/>
          <w:color w:val="auto"/>
        </w:rPr>
      </w:pPr>
    </w:p>
    <w:p>
      <w:pPr>
        <w:ind w:left="1960" w:hanging="655"/>
        <w:spacing w:after="0" w:line="259" w:lineRule="auto"/>
        <w:tabs>
          <w:tab w:leader="none" w:pos="1981" w:val="left"/>
        </w:tabs>
        <w:numPr>
          <w:ilvl w:val="0"/>
          <w:numId w:val="20"/>
        </w:numPr>
        <w:rPr>
          <w:rFonts w:ascii="Arial" w:cs="Arial" w:eastAsia="Arial" w:hAnsi="Arial"/>
          <w:sz w:val="18"/>
          <w:szCs w:val="18"/>
          <w:color w:val="auto"/>
        </w:rPr>
      </w:pPr>
      <w:r>
        <w:rPr>
          <w:rFonts w:ascii="Arial" w:cs="Arial" w:eastAsia="Arial" w:hAnsi="Arial"/>
          <w:sz w:val="18"/>
          <w:szCs w:val="18"/>
          <w:color w:val="auto"/>
        </w:rPr>
        <w:t>from each of WIL-Ireland, WOFS, WIL-Bermuda, the Existing Required Lenders, any Extending Lenders, each Issuing Bank and the Swingline Lender, either a counterpart of this Amendment signed on behalf of such party or written evidence satisfactory to the Administrative Agent (which may include facsimile or other electronic transmission of a signed signature page of this Amendment) that such party has signed a counterpart of this Amendment;</w:t>
      </w:r>
    </w:p>
    <w:p>
      <w:pPr>
        <w:spacing w:after="0" w:line="186" w:lineRule="exact"/>
        <w:rPr>
          <w:rFonts w:ascii="Arial" w:cs="Arial" w:eastAsia="Arial" w:hAnsi="Arial"/>
          <w:sz w:val="18"/>
          <w:szCs w:val="18"/>
          <w:color w:val="auto"/>
        </w:rPr>
      </w:pPr>
    </w:p>
    <w:p>
      <w:pPr>
        <w:ind w:left="1960" w:right="480" w:hanging="655"/>
        <w:spacing w:after="0" w:line="264" w:lineRule="auto"/>
        <w:tabs>
          <w:tab w:leader="none" w:pos="1991"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from each Guarantor other than Weatherford Capital Management Services Limited Liability Company and Weatherford Investments Holding B.V., for which liquidation proceedings have already commenced, a Reaffirmation in the form attached hereto as </w:t>
      </w:r>
      <w:r>
        <w:rPr>
          <w:rFonts w:ascii="Arial" w:cs="Arial" w:eastAsia="Arial" w:hAnsi="Arial"/>
          <w:sz w:val="18"/>
          <w:szCs w:val="18"/>
          <w:u w:val="single" w:color="auto"/>
          <w:color w:val="auto"/>
        </w:rPr>
        <w:t>Annex V</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Reaffirmation</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960" w:right="60" w:hanging="655"/>
        <w:spacing w:after="0" w:line="273" w:lineRule="auto"/>
        <w:tabs>
          <w:tab w:leader="none" w:pos="2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certificate of a Responsible Officer of WIL-Ireland, dated as of the Amendment Effective Date and certifying (A) that the representations and warranties made by each Obligor in any Loan Document are true and correct in all material respects (except to the extent qualified by materiality or reference to Material Adverse Effect, in which case such applicable representation and warranty shall be true and correct in all respects) as of the Amendment Effective Date, except for those that by their express terms apply to an earlier date which shall be true and correct in all material respects as of such earlier date, and (B) as to the absence of the occurrence and continuance of any Default or Event of Default;</w:t>
      </w:r>
    </w:p>
    <w:p>
      <w:pPr>
        <w:spacing w:after="0" w:line="178" w:lineRule="exact"/>
        <w:rPr>
          <w:rFonts w:ascii="Arial" w:cs="Arial" w:eastAsia="Arial" w:hAnsi="Arial"/>
          <w:sz w:val="17"/>
          <w:szCs w:val="17"/>
          <w:color w:val="auto"/>
        </w:rPr>
      </w:pPr>
    </w:p>
    <w:p>
      <w:pPr>
        <w:ind w:left="1960" w:right="180" w:hanging="655"/>
        <w:spacing w:after="0" w:line="257" w:lineRule="auto"/>
        <w:tabs>
          <w:tab w:leader="none" w:pos="19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certificate of the secretary or an assistant secretary or other Responsible Officer of each Obligor, dated as of the Amendment Effective Date and certifying (A) true and complete copies of the constitution or memorandum of association and bye-laws, the certificate of incorporation and bylaws or the other organizational documents, each as amended and in effect on the Amendment Effective Date, of such Obligor, (B) the resolutions adopted by the Board of Directors of such Obligor authorizing the execution, delivery and performance by such Obligor of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960" w:right="160"/>
        <w:spacing w:after="0" w:line="264" w:lineRule="auto"/>
        <w:rPr>
          <w:sz w:val="20"/>
          <w:szCs w:val="20"/>
          <w:color w:val="auto"/>
        </w:rPr>
      </w:pPr>
      <w:r>
        <w:rPr>
          <w:rFonts w:ascii="Arial" w:cs="Arial" w:eastAsia="Arial" w:hAnsi="Arial"/>
          <w:sz w:val="18"/>
          <w:szCs w:val="18"/>
          <w:color w:val="auto"/>
        </w:rPr>
        <w:t>Amendment or Reaffirmation, as applicable, (C) the absence of any proceedings for the dissolution, liquidation or winding up of such Obligor and (D) the incumbency and specimen signatures of the officers or other authorized representatives of such Obligor executing any documents on its behalf;</w:t>
      </w:r>
    </w:p>
    <w:p>
      <w:pPr>
        <w:spacing w:after="0" w:line="181" w:lineRule="exact"/>
        <w:rPr>
          <w:sz w:val="20"/>
          <w:szCs w:val="20"/>
          <w:color w:val="auto"/>
        </w:rPr>
      </w:pPr>
    </w:p>
    <w:p>
      <w:pPr>
        <w:ind w:left="1960" w:right="40" w:hanging="655"/>
        <w:spacing w:after="0" w:line="253" w:lineRule="auto"/>
        <w:tabs>
          <w:tab w:leader="none" w:pos="1967"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favorable, signed opinions addressed to the Administrative Agent and the Lenders dated the Amendment Effective Date, each in form and substance reasonably satisfactory to the Administrative Agent, from (A) Latham &amp; Watkins LLP, special New York counsel to the Borrowers, (B) Conyers Dill &amp; Pearman Limited, special Bermuda counsel to WIL-Bermuda, (C) Baker &amp; McKenzie LLP, special Swiss counsel to certain of the Obligors, (D) Matheson, special Irish counsel to WIL-Ireland, (E) Dentons, special Canadian counsel to certain of the Obligors, (F) Baker &amp; McKenzie LLP, special Luxembourg counsel to certain of the Obligors, (G) Conyers Dill &amp; Pearman Limited, special British Virgin Islands counsel to certain of the Obligors, (H) Sidley Austin LLP, special English counsel to the Administrative Agent, (I) Jones Walker LLP, special Louisiana counsel to Weatherford U.S., L.P., (J) Allens, special Australian counsel to the Administrative Agent, (K) Selmer, special Norwegian counsel to the Administrative Agent, (L) Baker &amp; McKenzie Amsterdam N.V., special Dutch counsel to certain of the Obligors and (M) ARIFA, special Panama counsel to certain of the Obligors, in each case, given upon the express instruction of the applicable Obligor(s), as applicable;</w:t>
      </w:r>
    </w:p>
    <w:p>
      <w:pPr>
        <w:spacing w:after="0" w:line="192" w:lineRule="exact"/>
        <w:rPr>
          <w:rFonts w:ascii="Arial" w:cs="Arial" w:eastAsia="Arial" w:hAnsi="Arial"/>
          <w:sz w:val="18"/>
          <w:szCs w:val="18"/>
          <w:color w:val="auto"/>
        </w:rPr>
      </w:pPr>
    </w:p>
    <w:p>
      <w:pPr>
        <w:ind w:left="1960" w:right="120" w:hanging="655"/>
        <w:spacing w:after="0" w:line="269" w:lineRule="auto"/>
        <w:tabs>
          <w:tab w:leader="none" w:pos="1977"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the extent available in the applicable jurisdiction(s), (A) copies of the memorandum of association, articles or certificates of incorporation or other similar organizational documents of each Obligor (other than WIL-Bermuda) certified as of a recent date prior to the Amendment Effective Date by the appropriate Governmental Authority or by a Responsible Officer with respect to Obligors organized under the laws of the British Virgin Islands, (B) certificates of appropriate public officials or bodies as to the existence, good standing and qualification to do business as a foreign entity, of each Obligor in each jurisdiction in which the ownership of its properties or the conduct of its business requires such qualification and where the failure to so qualify would, individually or collectively, have a Material Adverse Effect and (C) to the extent not covered by clauses (A) and (B) immediately above, and only with respect any Obligor organized outside of the United States of America, Bermuda, the British Virgin Islands, Ireland or Switzerland, documents, excerpts or certificates issued by appropriate public officials or bodies with respect to such Obligor that are customarily delivered by entities organized in the same jurisdiction as such Obligor in connection with transactions similar to the Transactions;</w:t>
      </w:r>
    </w:p>
    <w:p>
      <w:pPr>
        <w:spacing w:after="0" w:line="182" w:lineRule="exact"/>
        <w:rPr>
          <w:rFonts w:ascii="Arial" w:cs="Arial" w:eastAsia="Arial" w:hAnsi="Arial"/>
          <w:sz w:val="17"/>
          <w:szCs w:val="17"/>
          <w:color w:val="auto"/>
        </w:rPr>
      </w:pPr>
    </w:p>
    <w:p>
      <w:pPr>
        <w:ind w:left="1960" w:right="140" w:hanging="655"/>
        <w:spacing w:after="0" w:line="277" w:lineRule="auto"/>
        <w:tabs>
          <w:tab w:leader="none" w:pos="198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certificate of a Principal Financial Officer of WIL-Ireland, certifying that, immediately after giving effect to the transactions on the Amendment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500"/>
        <w:spacing w:after="0" w:line="342" w:lineRule="auto"/>
        <w:rPr>
          <w:sz w:val="20"/>
          <w:szCs w:val="20"/>
          <w:color w:val="auto"/>
        </w:rPr>
      </w:pPr>
      <w:r>
        <w:rPr>
          <w:rFonts w:ascii="Arial" w:cs="Arial" w:eastAsia="Arial" w:hAnsi="Arial"/>
          <w:sz w:val="16"/>
          <w:szCs w:val="16"/>
          <w:color w:val="auto"/>
        </w:rPr>
        <w:t>Effective Date, (A) WIL-Ireland and its Subsidiaries, taken as a whole, are and will be Solvent, (B) WIL-Bermuda and its Subsidiaries, taken as a whole, are and will be Solvent and (C) no Obligor or Material Subsidiary intends, as of such date, to</w:t>
      </w:r>
    </w:p>
    <w:p>
      <w:pPr>
        <w:sectPr>
          <w:pgSz w:w="11900" w:h="16838" w:orient="portrait"/>
          <w:cols w:equalWidth="0" w:num="1">
            <w:col w:w="11400"/>
          </w:cols>
          <w:pgMar w:left="240" w:top="584" w:right="259" w:bottom="0" w:gutter="0" w:footer="0" w:header="0"/>
        </w:sectPr>
      </w:pPr>
    </w:p>
    <w:bookmarkStart w:id="6" w:name="page7"/>
    <w:bookmarkEnd w:id="6"/>
    <w:p>
      <w:pPr>
        <w:spacing w:after="0" w:line="137"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(x) voluntarily commence a case under any debtor relief law, (y) make a general assignment for the benefit of creditors, or</w:t>
      </w:r>
    </w:p>
    <w:p>
      <w:pPr>
        <w:spacing w:after="0" w:line="35" w:lineRule="exact"/>
        <w:rPr>
          <w:sz w:val="20"/>
          <w:szCs w:val="20"/>
          <w:color w:val="auto"/>
        </w:rPr>
      </w:pPr>
    </w:p>
    <w:p>
      <w:pPr>
        <w:ind w:left="1960" w:right="120"/>
        <w:spacing w:after="0" w:line="290" w:lineRule="auto"/>
        <w:rPr>
          <w:sz w:val="20"/>
          <w:szCs w:val="20"/>
          <w:color w:val="auto"/>
        </w:rPr>
      </w:pPr>
      <w:r>
        <w:rPr>
          <w:rFonts w:ascii="Arial" w:cs="Arial" w:eastAsia="Arial" w:hAnsi="Arial"/>
          <w:sz w:val="17"/>
          <w:szCs w:val="17"/>
          <w:color w:val="auto"/>
        </w:rPr>
        <w:t>(z) apply for or consent to a custodian, conservator, receiver or similar official appointed such Obligor or Material Subsidiary or a substantial part of its assets, in each case of clause (x), (y) and (z) within the next ten (10) Business Days; and</w:t>
      </w:r>
    </w:p>
    <w:p>
      <w:pPr>
        <w:spacing w:after="0" w:line="161" w:lineRule="exact"/>
        <w:rPr>
          <w:sz w:val="20"/>
          <w:szCs w:val="20"/>
          <w:color w:val="auto"/>
        </w:rPr>
      </w:pPr>
    </w:p>
    <w:p>
      <w:pPr>
        <w:ind w:left="1960" w:right="160" w:hanging="655"/>
        <w:spacing w:after="0" w:line="255" w:lineRule="auto"/>
        <w:tabs>
          <w:tab w:leader="none" w:pos="19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certificate of a Principal Financial Officer of WIL-Ireland demonstrating opening pro forma compliance with the financial covenants set forth in Section 8.09 of the Amended Revolving Credit Agreement (with the minimum permitted Current Asset Coverage Ratio (as defined in the 364-Day Revolving Credit Agreement) being 1.00 to 1.00 for such purpose and using current assets as of March 31, 2018 (to the extent that the financial statements of WIL-Ireland for the fiscal quarter ended June 30, 2018 are not required to have been delivered under the Amended Revolving Credit Agreement on or prior to the Amendment Effective Date).</w:t>
      </w:r>
    </w:p>
    <w:p>
      <w:pPr>
        <w:spacing w:after="0" w:line="193" w:lineRule="exact"/>
        <w:rPr>
          <w:sz w:val="20"/>
          <w:szCs w:val="20"/>
          <w:color w:val="auto"/>
        </w:rPr>
      </w:pPr>
    </w:p>
    <w:p>
      <w:pPr>
        <w:ind w:firstLine="1305"/>
        <w:spacing w:after="0" w:line="264" w:lineRule="auto"/>
        <w:tabs>
          <w:tab w:leader="none" w:pos="19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amount of the Extended Commitments and the 364-Day Revolving Credit Commitments together shall represent not less than 60% of the aggregate amount of the “Commitments” (under and as defined in the Existing Revolving Credit Agreement) immediately prior to the effectiveness hereof;</w:t>
      </w:r>
    </w:p>
    <w:p>
      <w:pPr>
        <w:spacing w:after="0" w:line="181" w:lineRule="exact"/>
        <w:rPr>
          <w:rFonts w:ascii="Arial" w:cs="Arial" w:eastAsia="Arial" w:hAnsi="Arial"/>
          <w:sz w:val="18"/>
          <w:szCs w:val="18"/>
          <w:color w:val="auto"/>
        </w:rPr>
      </w:pPr>
    </w:p>
    <w:p>
      <w:pPr>
        <w:ind w:right="20" w:firstLine="1305"/>
        <w:spacing w:after="0" w:line="279" w:lineRule="auto"/>
        <w:tabs>
          <w:tab w:leader="none" w:pos="19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WIL-Bermuda shall have paid all reasonable and documented out-of-pocket fees and expenses (including, to the extent invoiced, reimbursement of fees and expenses of the Administrative Agent’s counsels) in connection with this Amendment, the Amended Revolving Credit Agreement, the 364-Day Revolving Credit Agreement and each other transaction contemplated hereby and thereby, in each case, to the extent reimbursable pursuant to the Amended Revolving Credit Agreement and the 364-Day Revolving Credit Agreement;</w:t>
      </w:r>
    </w:p>
    <w:p>
      <w:pPr>
        <w:spacing w:after="0" w:line="171" w:lineRule="exact"/>
        <w:rPr>
          <w:rFonts w:ascii="Arial" w:cs="Arial" w:eastAsia="Arial" w:hAnsi="Arial"/>
          <w:sz w:val="17"/>
          <w:szCs w:val="17"/>
          <w:color w:val="auto"/>
        </w:rPr>
      </w:pPr>
    </w:p>
    <w:p>
      <w:pPr>
        <w:ind w:firstLine="1305"/>
        <w:spacing w:after="0" w:line="273" w:lineRule="auto"/>
        <w:tabs>
          <w:tab w:leader="none" w:pos="1952"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“Agreement Parties”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shall be true and correct in all material respects (except to the extent qualified by materiality or reference to Material Adverse Effect, in which case such applicable representation and warranty shall be true and correct in all respects) on and as of the Amendment Effective Date, except to the extent any such representations and warranties are expressly limited to an earlier date, in which case, on and as of the Amendment Effective Date such representations and warranties shall continue to be true and correct in all material respects (except to the extent qualified by materiality or reference to Material Adverse Effect, in which case such applicable representation and warranty shall be true and correct in all respects) as of such specified earlier date;</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occurrence of the “Effective Date” under and as defined in the 364-Day Revolving Credit Agreement; and</w:t>
      </w:r>
    </w:p>
    <w:p>
      <w:pPr>
        <w:spacing w:after="0" w:line="225" w:lineRule="exact"/>
        <w:rPr>
          <w:rFonts w:ascii="Arial" w:cs="Arial" w:eastAsia="Arial" w:hAnsi="Arial"/>
          <w:sz w:val="18"/>
          <w:szCs w:val="18"/>
          <w:color w:val="auto"/>
        </w:rPr>
      </w:pPr>
    </w:p>
    <w:p>
      <w:pPr>
        <w:ind w:right="280" w:firstLine="1305"/>
        <w:spacing w:after="0" w:line="277" w:lineRule="auto"/>
        <w:tabs>
          <w:tab w:leader="none" w:pos="19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occurrence of the “Amendment Effective Date” under and as defined in Amendment No. 3 to the Term Loan Agreement (as defined in the Existing Revolving Credit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64" w:lineRule="auto"/>
        <w:tabs>
          <w:tab w:leader="none" w:pos="194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To induce the other parties hereto to enter into this Amendment, each of WIL-Bermuda and WIL-Ireland (herein, an “Agreement Party”) hereby represents and warrants on and as of the Amendment Effective Date, after giving effect to the transactions contemplated hereby on the Amendment Effective Date:</w:t>
      </w:r>
    </w:p>
    <w:p>
      <w:pPr>
        <w:spacing w:after="0" w:line="181" w:lineRule="exact"/>
        <w:rPr>
          <w:sz w:val="20"/>
          <w:szCs w:val="20"/>
          <w:color w:val="auto"/>
        </w:rPr>
      </w:pPr>
    </w:p>
    <w:p>
      <w:pPr>
        <w:ind w:right="40" w:firstLine="1305"/>
        <w:spacing w:after="0" w:line="264" w:lineRule="auto"/>
        <w:tabs>
          <w:tab w:leader="none" w:pos="1942"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Agreement Party has the corporate or other power and authority to execute, deliver and perform its obligations hereunder and to consummate the transactions contemplated hereby, and all such action has been duly authorized by all necessary corporate, partnership or other proceedings on its part or on its behalf.</w:t>
      </w:r>
    </w:p>
    <w:p>
      <w:pPr>
        <w:spacing w:after="0" w:line="181" w:lineRule="exact"/>
        <w:rPr>
          <w:rFonts w:ascii="Arial" w:cs="Arial" w:eastAsia="Arial" w:hAnsi="Arial"/>
          <w:sz w:val="18"/>
          <w:szCs w:val="18"/>
          <w:color w:val="auto"/>
        </w:rPr>
      </w:pPr>
    </w:p>
    <w:p>
      <w:pPr>
        <w:ind w:right="180" w:firstLine="1305"/>
        <w:spacing w:after="0" w:line="257" w:lineRule="auto"/>
        <w:tabs>
          <w:tab w:leader="none" w:pos="19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This Amendment has been duly and validly executed and delivered by or on behalf of each Agreement Party and constitutes a valid and legally binding agreement of such Agreement Party enforceable against such Agreement Party in accordance with the terms hereof, except as may be limited by bankruptcy, insolvency, examinership,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w:t>
      </w:r>
    </w:p>
    <w:p>
      <w:pPr>
        <w:spacing w:after="0" w:line="188" w:lineRule="exact"/>
        <w:rPr>
          <w:rFonts w:ascii="Arial" w:cs="Arial" w:eastAsia="Arial" w:hAnsi="Arial"/>
          <w:sz w:val="18"/>
          <w:szCs w:val="18"/>
          <w:color w:val="auto"/>
        </w:rPr>
      </w:pPr>
    </w:p>
    <w:p>
      <w:pPr>
        <w:jc w:val="both"/>
        <w:ind w:right="660" w:firstLine="1305"/>
        <w:spacing w:after="0" w:line="312" w:lineRule="auto"/>
        <w:tabs>
          <w:tab w:leader="none" w:pos="1955" w:val="left"/>
        </w:tabs>
        <w:numPr>
          <w:ilvl w:val="1"/>
          <w:numId w:val="25"/>
        </w:numPr>
        <w:rPr>
          <w:rFonts w:ascii="Arial" w:cs="Arial" w:eastAsia="Arial" w:hAnsi="Arial"/>
          <w:sz w:val="16"/>
          <w:szCs w:val="16"/>
          <w:color w:val="auto"/>
        </w:rPr>
      </w:pPr>
      <w:r>
        <w:rPr>
          <w:rFonts w:ascii="Arial" w:cs="Arial" w:eastAsia="Arial" w:hAnsi="Arial"/>
          <w:sz w:val="16"/>
          <w:szCs w:val="16"/>
          <w:color w:val="auto"/>
        </w:rPr>
        <w:t>No authorization, consent, approval, license or exemption of, or filing or registration with, any Governmental Authority is necessary to have been made or obtained by any Agreement Party for the valid execution, delivery and performance by such Agreement Party of this Amendment or the consummation of the transactions contemplated hereby, except those that have been obtained and are in full force and effect.</w:t>
      </w:r>
    </w:p>
    <w:p>
      <w:pPr>
        <w:spacing w:after="0" w:line="146" w:lineRule="exact"/>
        <w:rPr>
          <w:rFonts w:ascii="Arial" w:cs="Arial" w:eastAsia="Arial" w:hAnsi="Arial"/>
          <w:sz w:val="16"/>
          <w:szCs w:val="16"/>
          <w:color w:val="auto"/>
        </w:rPr>
      </w:pPr>
    </w:p>
    <w:p>
      <w:pPr>
        <w:ind w:right="40" w:firstLine="1305"/>
        <w:spacing w:after="0" w:line="286" w:lineRule="auto"/>
        <w:tabs>
          <w:tab w:leader="none" w:pos="1952" w:val="left"/>
        </w:tabs>
        <w:numPr>
          <w:ilvl w:val="1"/>
          <w:numId w:val="25"/>
        </w:numPr>
        <w:rPr>
          <w:rFonts w:ascii="Arial" w:cs="Arial" w:eastAsia="Arial" w:hAnsi="Arial"/>
          <w:sz w:val="16"/>
          <w:szCs w:val="16"/>
          <w:color w:val="auto"/>
        </w:rPr>
      </w:pPr>
      <w:r>
        <w:rPr>
          <w:rFonts w:ascii="Arial" w:cs="Arial" w:eastAsia="Arial" w:hAnsi="Arial"/>
          <w:sz w:val="16"/>
          <w:szCs w:val="16"/>
          <w:color w:val="auto"/>
        </w:rPr>
        <w:t>Neither the execution, delivery and performance by any Agreement Party of this Amendment, nor compliance with the terms and provisions hereof, nor the consummation of the transactions contemplated hereby (a) will breach or violate any applicable Requirement of Law, (b) will result in any breach or violation of, or constitute a default under, or result in the creation or imposition of (or the obligation to create or impose) any Lien prohibited under the Existing Revolving Credit Agreement or the Amended Revolving Credit Agreement upon any of its property or assets pursuant to the terms of,</w:t>
      </w:r>
    </w:p>
    <w:p>
      <w:pPr>
        <w:spacing w:after="0" w:line="1" w:lineRule="exact"/>
        <w:rPr>
          <w:rFonts w:ascii="Arial" w:cs="Arial" w:eastAsia="Arial" w:hAnsi="Arial"/>
          <w:sz w:val="16"/>
          <w:szCs w:val="16"/>
          <w:color w:val="auto"/>
        </w:rPr>
      </w:pPr>
    </w:p>
    <w:p>
      <w:pPr>
        <w:ind w:right="80" w:firstLine="8"/>
        <w:spacing w:after="0" w:line="281" w:lineRule="auto"/>
        <w:tabs>
          <w:tab w:leader="none" w:pos="2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“Existing Senior Notes” or any “Existing Senior Notes Indenture” (each as defined in the Amended Revolving Credit Agreement) or (ii) any other indenture, agreement or other instrument to which such Agreement Party is a party or by which any property or asset of it is bound or to which it is subject, except for breaches, violations and defaults under clauses (a) and (b)(ii) that collectively for the Obligor Parties would not have a Material Adverse Effect, or</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violate any provision of the organizational documents or by-laws of such Agreement Party.</w:t>
      </w:r>
    </w:p>
    <w:p>
      <w:pPr>
        <w:spacing w:after="0" w:line="210" w:lineRule="exact"/>
        <w:rPr>
          <w:rFonts w:ascii="Arial" w:cs="Arial" w:eastAsia="Arial" w:hAnsi="Arial"/>
          <w:sz w:val="18"/>
          <w:szCs w:val="18"/>
          <w:color w:val="auto"/>
        </w:rPr>
      </w:pPr>
    </w:p>
    <w:p>
      <w:pPr>
        <w:ind w:left="1960" w:hanging="655"/>
        <w:spacing w:after="0"/>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225" w:lineRule="exact"/>
        <w:rPr>
          <w:sz w:val="20"/>
          <w:szCs w:val="20"/>
          <w:color w:val="auto"/>
        </w:rPr>
      </w:pPr>
    </w:p>
    <w:p>
      <w:pPr>
        <w:jc w:val="both"/>
        <w:ind w:right="100" w:firstLine="1305"/>
        <w:spacing w:after="0" w:line="259" w:lineRule="auto"/>
        <w:tabs>
          <w:tab w:leader="none" w:pos="194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Confirmation of Loan Documents</w:t>
      </w:r>
      <w:r>
        <w:rPr>
          <w:rFonts w:ascii="Arial" w:cs="Arial" w:eastAsia="Arial" w:hAnsi="Arial"/>
          <w:sz w:val="18"/>
          <w:szCs w:val="18"/>
          <w:color w:val="auto"/>
        </w:rPr>
        <w:t>. Each Obligor Party hereby confirms and agrees that, except as expressly contemplated hereby, the terms, provisions, conditions and covenants of the Amended Revolving Credit Agreement, and the other Loan Documents remain in full force and effect and are hereby ratified and confirmed, and the execution, delivery and performance of this Amendment shall not, except as expressly set forth in this Amendment,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operate as a waiver of, consent to or amendment of any term, provision, condition or covenant of the Amended Revolving Credit Agreement or any other Loan Document. Without limiting the foregoing, each Obligor Party hereby (i) agrees that except to the extent expressly provided in this Amendment, this</w:t>
      </w:r>
    </w:p>
    <w:p>
      <w:pPr>
        <w:sectPr>
          <w:pgSz w:w="11900" w:h="16975" w:orient="portrait"/>
          <w:cols w:equalWidth="0" w:num="1">
            <w:col w:w="11420"/>
          </w:cols>
          <w:pgMar w:left="240" w:top="125" w:right="239" w:bottom="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Amendment and the transactions contemplated hereby shall not limit or diminish its obligations arising under or pursuant to the Loan Documents and</w:t>
      </w:r>
    </w:p>
    <w:p>
      <w:pPr>
        <w:spacing w:after="0" w:line="35" w:lineRule="exact"/>
        <w:rPr>
          <w:sz w:val="20"/>
          <w:szCs w:val="20"/>
          <w:color w:val="auto"/>
        </w:rPr>
      </w:pPr>
    </w:p>
    <w:p>
      <w:pPr>
        <w:ind w:right="100" w:firstLine="8"/>
        <w:spacing w:after="0" w:line="267" w:lineRule="auto"/>
        <w:tabs>
          <w:tab w:leader="none" w:pos="265"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confirms, ratifies and reaffirms all of its payment and performance obligations, contingent or otherwise, under the Loan Documents, including under the Affiliate Guaranty. Without limiting the foregoing, each Obligor Party hereby confirms and agrees that except pursuant hereto or as expressly contemplated or amended hereby, nothing contained herein shall be deemed (a) to constitute a waiver of compliance or consent to noncompliance by any Obligor with respect to any term, provision, condition or covenant of the Existing Revolving Credit Agreement, the Amended Revolving Credit Agreement or any other Loan Document; or (b) to prejudice any right or remedy that the Administrative Agent or any Lender may now have or may have in the future under or in connection with the Existing Revolving Credit Agreement, the Amended Revolving Credit Agreement or any other Loan Document; or (c) to change or modify its or any other Obligor’s obligations as a guarantor, debtor, pledgor, assignor, obligor and/or grantor under any of the Loan Documents and shall not constitute a waiver by the Administrative Agent or the Lenders of any of their rights against any Obligor. Each Obligor Party represents and acknowledges that it has no claims, counterclaims, offsets, credits or defenses to any of the Loan Documents or the performance of its obligations thereunder. This Amendment is not in any way intended to constitute a novation of the obligations and liabilities existing under the Existing Revolving Credit Agreement and the existing Loan Documents.</w:t>
      </w:r>
    </w:p>
    <w:p>
      <w:pPr>
        <w:spacing w:after="0" w:line="186" w:lineRule="exact"/>
        <w:rPr>
          <w:rFonts w:ascii="Arial" w:cs="Arial" w:eastAsia="Arial" w:hAnsi="Arial"/>
          <w:sz w:val="17"/>
          <w:szCs w:val="17"/>
          <w:color w:val="auto"/>
        </w:rPr>
      </w:pPr>
    </w:p>
    <w:p>
      <w:pPr>
        <w:ind w:right="240" w:firstLine="1305"/>
        <w:spacing w:after="0" w:line="257" w:lineRule="auto"/>
        <w:tabs>
          <w:tab w:leader="none" w:pos="1945"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Effect of Amendment</w:t>
      </w:r>
      <w:r>
        <w:rPr>
          <w:rFonts w:ascii="Arial" w:cs="Arial" w:eastAsia="Arial" w:hAnsi="Arial"/>
          <w:sz w:val="18"/>
          <w:szCs w:val="18"/>
          <w:color w:val="auto"/>
        </w:rPr>
        <w:t>. From and after the Amendment Effective Date hereof, each reference in the Amended Revolving Credit Agreement to “this Agreement”, “hereof”, or “hereunder” or words of like import, and all references to “the Credit Agreement” in any and all agreements, instruments, documents, notes, certificates, guaranties and other writings of every kind and nature shall be deemed to mean the Amended Revolving Credit Agreement. This Amendment shall constitute a Loan Document for all purposes of the Amended Revolving Credit Agreement and the other Loan Documents.</w:t>
      </w:r>
    </w:p>
    <w:p>
      <w:pPr>
        <w:spacing w:after="0" w:line="188" w:lineRule="exact"/>
        <w:rPr>
          <w:rFonts w:ascii="Arial" w:cs="Arial" w:eastAsia="Arial" w:hAnsi="Arial"/>
          <w:sz w:val="18"/>
          <w:szCs w:val="18"/>
          <w:color w:val="auto"/>
        </w:rPr>
      </w:pPr>
    </w:p>
    <w:p>
      <w:pPr>
        <w:ind w:right="160" w:firstLine="1305"/>
        <w:spacing w:after="0" w:line="264" w:lineRule="auto"/>
        <w:tabs>
          <w:tab w:leader="none" w:pos="194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Pursuant to the terms of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of the Amended Revolving Credit Agreement, WIL-Bermuda agrees to pay all reasonable and documented out-of-pocket expenses incurred by the Administrative Agent and its Affiliates in connection with the preparation, execution and enforcement of this Amendment.</w:t>
      </w:r>
    </w:p>
    <w:p>
      <w:pPr>
        <w:spacing w:after="0" w:line="181" w:lineRule="exact"/>
        <w:rPr>
          <w:rFonts w:ascii="Arial" w:cs="Arial" w:eastAsia="Arial" w:hAnsi="Arial"/>
          <w:sz w:val="18"/>
          <w:szCs w:val="18"/>
          <w:color w:val="auto"/>
        </w:rPr>
      </w:pPr>
    </w:p>
    <w:p>
      <w:pPr>
        <w:ind w:right="180" w:firstLine="1305"/>
        <w:spacing w:after="0" w:line="277" w:lineRule="auto"/>
        <w:tabs>
          <w:tab w:leader="none" w:pos="1933"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and all other documents executed in connection herewith and the rights and obligations of the parties hereto and thereto, shall be construed in accordance with and governed by the law of the State of New York.</w:t>
      </w:r>
    </w:p>
    <w:p>
      <w:pPr>
        <w:spacing w:after="0" w:line="170" w:lineRule="exact"/>
        <w:rPr>
          <w:rFonts w:ascii="Arial" w:cs="Arial" w:eastAsia="Arial" w:hAnsi="Arial"/>
          <w:sz w:val="18"/>
          <w:szCs w:val="18"/>
          <w:color w:val="auto"/>
        </w:rPr>
      </w:pPr>
    </w:p>
    <w:p>
      <w:pPr>
        <w:ind w:right="280" w:firstLine="1305"/>
        <w:spacing w:after="0" w:line="277" w:lineRule="auto"/>
        <w:tabs>
          <w:tab w:leader="none" w:pos="194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Amendment are included herein for convenience of reference only and shall not constitute a part of this Amendment for any other purpose.</w:t>
      </w:r>
    </w:p>
    <w:p>
      <w:pPr>
        <w:spacing w:after="0" w:line="170" w:lineRule="exact"/>
        <w:rPr>
          <w:rFonts w:ascii="Arial" w:cs="Arial" w:eastAsia="Arial" w:hAnsi="Arial"/>
          <w:sz w:val="18"/>
          <w:szCs w:val="18"/>
          <w:color w:val="auto"/>
        </w:rPr>
      </w:pPr>
    </w:p>
    <w:p>
      <w:pPr>
        <w:ind w:right="380" w:firstLine="1305"/>
        <w:spacing w:after="0" w:line="308" w:lineRule="auto"/>
        <w:tabs>
          <w:tab w:leader="none" w:pos="1940"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This Amendment may be executed in counterparts (and by different parties hereto on different counterparts), each of which shall constitute an original, but all of which when taken together shall constitute a single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contract. This Amendment, the Amended Revolving Credit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Amendment shall become effective on the Amendment Effective Date, and thereafter shall be binding upon and inure to the benefit of the parties hereto and their respective successors and assigns. Delivery of an executed counterpart of a signature page to this Amendment by facsimile transmission or electronic transmission (in .pdf form) shall be effective for all purposes as delivery of a manually executed counterpart of this Amendment.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Pages Follow</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this Amendment has been duly executed as of the day and year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Bermuda exempted company</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Mohammed Dadhiwala</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WOFS ASSURANCE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Bermuda exempted company</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Mohammed Dadhiwala</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 Irish public limited company</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Bryant</w:t>
            </w:r>
          </w:p>
        </w:tc>
      </w:tr>
      <w:tr>
        <w:trPr>
          <w:trHeight w:val="224"/>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spacing w:after="0"/>
              <w:rPr>
                <w:sz w:val="20"/>
                <w:szCs w:val="20"/>
                <w:color w:val="auto"/>
              </w:rPr>
            </w:pPr>
            <w:r>
              <w:rPr>
                <w:rFonts w:ascii="Arial" w:cs="Arial" w:eastAsia="Arial" w:hAnsi="Arial"/>
                <w:sz w:val="18"/>
                <w:szCs w:val="18"/>
                <w:color w:val="auto"/>
              </w:rPr>
              <w:t>Timothy Bryant</w:t>
            </w:r>
          </w:p>
        </w:tc>
      </w:tr>
    </w:tbl>
    <w:p>
      <w:pPr>
        <w:sectPr>
          <w:pgSz w:w="11900" w:h="16838" w:orient="portrait"/>
          <w:cols w:equalWidth="0" w:num="1">
            <w:col w:w="11420"/>
          </w:cols>
          <w:pgMar w:left="240" w:top="125" w:right="239" w:bottom="0" w:gutter="0" w:footer="0" w:header="0"/>
        </w:sectPr>
      </w:pPr>
    </w:p>
    <w:bookmarkStart w:id="8" w:name="page9"/>
    <w:bookmarkEnd w:id="8"/>
    <w:p>
      <w:pPr>
        <w:ind w:left="4520"/>
        <w:spacing w:after="0"/>
        <w:tabs>
          <w:tab w:leader="none" w:pos="5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25"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Signature Page to Amendment No. 3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4520" w:right="540"/>
        <w:spacing w:after="0" w:line="261" w:lineRule="auto"/>
        <w:rPr>
          <w:sz w:val="20"/>
          <w:szCs w:val="20"/>
          <w:color w:val="auto"/>
        </w:rPr>
      </w:pPr>
      <w:r>
        <w:rPr>
          <w:rFonts w:ascii="Arial" w:cs="Arial" w:eastAsia="Arial" w:hAnsi="Arial"/>
          <w:sz w:val="18"/>
          <w:szCs w:val="18"/>
          <w:color w:val="auto"/>
        </w:rPr>
        <w:t>as Administrative Agent, an Issuing Bank, the Swingline Lender and an Extending Lender</w:t>
      </w:r>
    </w:p>
    <w:p>
      <w:pPr>
        <w:spacing w:after="0" w:line="400"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C. Miller</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Jeffrey C. Miller</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Director</w:t>
            </w:r>
          </w:p>
        </w:tc>
      </w:tr>
    </w:tbl>
    <w:p>
      <w:pPr>
        <w:spacing w:after="0" w:line="202"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Signature Page to Amendment No. 3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right="300"/>
        <w:spacing w:after="0" w:line="277" w:lineRule="auto"/>
        <w:rPr>
          <w:sz w:val="20"/>
          <w:szCs w:val="20"/>
          <w:color w:val="auto"/>
        </w:rPr>
      </w:pPr>
      <w:r>
        <w:rPr>
          <w:rFonts w:ascii="Arial" w:cs="Arial" w:eastAsia="Arial" w:hAnsi="Arial"/>
          <w:sz w:val="18"/>
          <w:szCs w:val="18"/>
          <w:color w:val="auto"/>
        </w:rPr>
        <w:t>DEUTSCHE BANK AG NEW YORK BRANCH, as an Extending Lender and an Issuing Bank</w:t>
      </w:r>
    </w:p>
    <w:p>
      <w:pPr>
        <w:spacing w:after="0" w:line="38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Ming K. Chu</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Ming K. Chu</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Director</w:t>
            </w: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Virginia Cosenza</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Virginia Cosenza</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Signature Page to Amendment No. 3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MORGAN STANLEY BANK, N.A., as an Extending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King</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Michael King</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Signature Page to Amendment No. 3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right="440"/>
        <w:spacing w:after="0" w:line="277" w:lineRule="auto"/>
        <w:rPr>
          <w:sz w:val="20"/>
          <w:szCs w:val="20"/>
          <w:color w:val="auto"/>
        </w:rPr>
      </w:pPr>
      <w:r>
        <w:rPr>
          <w:rFonts w:ascii="Arial" w:cs="Arial" w:eastAsia="Arial" w:hAnsi="Arial"/>
          <w:sz w:val="18"/>
          <w:szCs w:val="18"/>
          <w:color w:val="auto"/>
        </w:rPr>
        <w:t>WELLS FARGO BANK, NATIONAL ASSOCIATION, as an Extending Lender and Issuing Bank</w:t>
      </w:r>
    </w:p>
    <w:p>
      <w:pPr>
        <w:spacing w:after="0" w:line="38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Tribolet</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Michael A. Tribolet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Signature Page to Amendment No. 3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ROYAL BANK OF CANADA, as an Extending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F. Young</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Sean F. Young</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Signature Page to Amendment No. 3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210"/>
                    </a:xfrm>
                    <a:prstGeom prst="rect">
                      <a:avLst/>
                    </a:prstGeom>
                    <a:noFill/>
                  </pic:spPr>
                </pic:pic>
              </a:graphicData>
            </a:graphic>
          </wp:anchor>
        </w:drawing>
      </w:r>
    </w:p>
    <w:p>
      <w:pPr>
        <w:sectPr>
          <w:pgSz w:w="11900" w:h="16838" w:orient="portrait"/>
          <w:cols w:equalWidth="0" w:num="1">
            <w:col w:w="10220"/>
          </w:cols>
          <w:pgMar w:left="1440" w:top="125" w:right="239" w:bottom="0" w:gutter="0" w:footer="0" w:header="0"/>
        </w:sectPr>
      </w:pPr>
    </w:p>
    <w:bookmarkStart w:id="9" w:name="page10"/>
    <w:bookmarkEnd w:id="9"/>
    <w:p>
      <w:pPr>
        <w:ind w:left="4520"/>
        <w:spacing w:after="0"/>
        <w:rPr>
          <w:sz w:val="20"/>
          <w:szCs w:val="20"/>
          <w:color w:val="auto"/>
        </w:rPr>
      </w:pPr>
      <w:r>
        <w:rPr>
          <w:rFonts w:ascii="Arial" w:cs="Arial" w:eastAsia="Arial" w:hAnsi="Arial"/>
          <w:sz w:val="18"/>
          <w:szCs w:val="18"/>
          <w:color w:val="auto"/>
        </w:rPr>
        <w:t>CITIBANK, N.A., as an Extending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Kardos</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Peter Kardos</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Signature Page to Amendment No. 3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STANDARD CHARTERED BANK, as an Extending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Guilherme Domingos</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Guilherme Domingos</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Director, Standard Chartered Bank</w:t>
            </w:r>
          </w:p>
        </w:tc>
      </w:tr>
    </w:tbl>
    <w:p>
      <w:pPr>
        <w:spacing w:after="0" w:line="202"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Signature Page to Amendment No. 3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 TORONTO-DOMINION BANK, NEW YORK BRANCH, as an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Extending Lender and an Issuing Bank</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Annie Dorval</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Annie Dorval</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Signature Page to Amendment No. 3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right="380"/>
        <w:spacing w:after="0" w:line="277" w:lineRule="auto"/>
        <w:rPr>
          <w:sz w:val="20"/>
          <w:szCs w:val="20"/>
          <w:color w:val="auto"/>
        </w:rPr>
      </w:pPr>
      <w:r>
        <w:rPr>
          <w:rFonts w:ascii="Arial" w:cs="Arial" w:eastAsia="Arial" w:hAnsi="Arial"/>
          <w:sz w:val="18"/>
          <w:szCs w:val="18"/>
          <w:color w:val="auto"/>
        </w:rPr>
        <w:t>NORDEA BANK AB (PUBL), NEW YORK BRANCH, as an Extending Lender</w:t>
      </w:r>
    </w:p>
    <w:p>
      <w:pPr>
        <w:spacing w:after="0" w:line="38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Olli Savikko</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Olli Savikko</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SVP</w:t>
            </w: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J. Lee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Elizabeth J. Lee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Signature Page to Amendment No. 3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right="340"/>
        <w:spacing w:after="0" w:line="277" w:lineRule="auto"/>
        <w:rPr>
          <w:sz w:val="20"/>
          <w:szCs w:val="20"/>
          <w:color w:val="auto"/>
        </w:rPr>
      </w:pPr>
      <w:r>
        <w:rPr>
          <w:rFonts w:ascii="Arial" w:cs="Arial" w:eastAsia="Arial" w:hAnsi="Arial"/>
          <w:sz w:val="18"/>
          <w:szCs w:val="18"/>
          <w:color w:val="auto"/>
        </w:rPr>
        <w:t>SKANDINAVISKA ENSKILDA BANKEN AB (PUBL), as an Extending Lender</w:t>
      </w:r>
    </w:p>
    <w:p>
      <w:pPr>
        <w:spacing w:after="0" w:line="38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Duncan Nash</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Duncan Nash</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Moore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Andrew Moore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p>
        </w:tc>
      </w:tr>
    </w:tbl>
    <w:p>
      <w:pPr>
        <w:spacing w:after="0" w:line="202"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Signature Page to Amendment No. 3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584" w:right="239" w:bottom="424" w:gutter="0" w:footer="0" w:header="0"/>
        </w:sectPr>
      </w:pPr>
    </w:p>
    <w:bookmarkStart w:id="10" w:name="page11"/>
    <w:bookmarkEnd w:id="10"/>
    <w:p>
      <w:pPr>
        <w:ind w:left="5720"/>
        <w:spacing w:after="0"/>
        <w:rPr>
          <w:sz w:val="20"/>
          <w:szCs w:val="20"/>
          <w:color w:val="auto"/>
        </w:rPr>
      </w:pPr>
      <w:r>
        <w:rPr>
          <w:rFonts w:ascii="Arial" w:cs="Arial" w:eastAsia="Arial" w:hAnsi="Arial"/>
          <w:sz w:val="18"/>
          <w:szCs w:val="18"/>
          <w:color w:val="auto"/>
        </w:rPr>
        <w:t>BARCLAYS BANK PLC, as a Non-Extending Lender</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Sydney G. Dennis</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Sydney G. Dennis</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Amendment No. 3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ind w:left="1020"/>
              <w:spacing w:after="0"/>
              <w:rPr>
                <w:sz w:val="20"/>
                <w:szCs w:val="20"/>
                <w:color w:val="auto"/>
              </w:rPr>
            </w:pPr>
            <w:r>
              <w:rPr>
                <w:rFonts w:ascii="Arial" w:cs="Arial" w:eastAsia="Arial" w:hAnsi="Arial"/>
                <w:sz w:val="18"/>
                <w:szCs w:val="18"/>
                <w:b w:val="1"/>
                <w:bCs w:val="1"/>
                <w:color w:val="auto"/>
                <w:w w:val="92"/>
              </w:rPr>
              <w:t>Annex I</w:t>
            </w:r>
          </w:p>
        </w:tc>
        <w:tc>
          <w:tcPr>
            <w:tcW w:w="0" w:type="dxa"/>
            <w:vAlign w:val="bottom"/>
          </w:tcPr>
          <w:p>
            <w:pPr>
              <w:spacing w:after="0"/>
              <w:rPr>
                <w:sz w:val="1"/>
                <w:szCs w:val="1"/>
                <w:color w:val="auto"/>
              </w:rPr>
            </w:pPr>
          </w:p>
        </w:tc>
      </w:tr>
      <w:tr>
        <w:trPr>
          <w:trHeight w:val="392"/>
        </w:trPr>
        <w:tc>
          <w:tcPr>
            <w:tcW w:w="2540" w:type="dxa"/>
            <w:vAlign w:val="bottom"/>
          </w:tcPr>
          <w:p>
            <w:pPr>
              <w:spacing w:after="0"/>
              <w:rPr>
                <w:sz w:val="24"/>
                <w:szCs w:val="24"/>
                <w:color w:val="auto"/>
              </w:rPr>
            </w:pPr>
          </w:p>
        </w:tc>
        <w:tc>
          <w:tcPr>
            <w:tcW w:w="6920" w:type="dxa"/>
            <w:vAlign w:val="bottom"/>
            <w:gridSpan w:val="9"/>
          </w:tcPr>
          <w:p>
            <w:pPr>
              <w:jc w:val="right"/>
              <w:ind w:right="580"/>
              <w:spacing w:after="0"/>
              <w:rPr>
                <w:sz w:val="20"/>
                <w:szCs w:val="20"/>
                <w:color w:val="auto"/>
              </w:rPr>
            </w:pPr>
            <w:r>
              <w:rPr>
                <w:rFonts w:ascii="Arial" w:cs="Arial" w:eastAsia="Arial" w:hAnsi="Arial"/>
                <w:sz w:val="18"/>
                <w:szCs w:val="18"/>
                <w:b w:val="1"/>
                <w:bCs w:val="1"/>
                <w:color w:val="auto"/>
                <w:w w:val="90"/>
              </w:rPr>
              <w:t>Commitments Following the Specified Prepayment and Commitment Reduction(1)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Revolving Credit</w:t>
            </w:r>
          </w:p>
        </w:tc>
        <w:tc>
          <w:tcPr>
            <w:tcW w:w="220" w:type="dxa"/>
            <w:vAlign w:val="bottom"/>
          </w:tcPr>
          <w:p>
            <w:pPr>
              <w:spacing w:after="0"/>
              <w:rPr>
                <w:sz w:val="24"/>
                <w:szCs w:val="24"/>
                <w:color w:val="auto"/>
              </w:rPr>
            </w:pPr>
          </w:p>
        </w:tc>
        <w:tc>
          <w:tcPr>
            <w:tcW w:w="16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Revolving Credit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364-Day Revolving</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Agreement</w:t>
            </w:r>
          </w:p>
        </w:tc>
        <w:tc>
          <w:tcPr>
            <w:tcW w:w="220" w:type="dxa"/>
            <w:vAlign w:val="bottom"/>
          </w:tcPr>
          <w:p>
            <w:pPr>
              <w:spacing w:after="0"/>
              <w:rPr>
                <w:sz w:val="12"/>
                <w:szCs w:val="12"/>
                <w:color w:val="auto"/>
              </w:rPr>
            </w:pPr>
          </w:p>
        </w:tc>
        <w:tc>
          <w:tcPr>
            <w:tcW w:w="16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Agreement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Lender</w:t>
            </w:r>
          </w:p>
        </w:tc>
        <w:tc>
          <w:tcPr>
            <w:tcW w:w="200" w:type="dxa"/>
            <w:vAlign w:val="bottom"/>
          </w:tcPr>
          <w:p>
            <w:pPr>
              <w:spacing w:after="0"/>
              <w:rPr>
                <w:sz w:val="12"/>
                <w:szCs w:val="12"/>
                <w:color w:val="auto"/>
              </w:rPr>
            </w:pPr>
          </w:p>
        </w:tc>
        <w:tc>
          <w:tcPr>
            <w:tcW w:w="18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Non-Extended</w:t>
            </w:r>
          </w:p>
        </w:tc>
        <w:tc>
          <w:tcPr>
            <w:tcW w:w="220" w:type="dxa"/>
            <w:vAlign w:val="bottom"/>
          </w:tcPr>
          <w:p>
            <w:pPr>
              <w:spacing w:after="0"/>
              <w:rPr>
                <w:sz w:val="12"/>
                <w:szCs w:val="12"/>
                <w:color w:val="auto"/>
              </w:rPr>
            </w:pPr>
          </w:p>
        </w:tc>
        <w:tc>
          <w:tcPr>
            <w:tcW w:w="16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Extended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Credit Agreement</w:t>
            </w:r>
          </w:p>
        </w:tc>
        <w:tc>
          <w:tcPr>
            <w:tcW w:w="0" w:type="dxa"/>
            <w:vAlign w:val="bottom"/>
          </w:tcPr>
          <w:p>
            <w:pPr>
              <w:spacing w:after="0"/>
              <w:rPr>
                <w:sz w:val="1"/>
                <w:szCs w:val="1"/>
                <w:color w:val="auto"/>
              </w:rPr>
            </w:pPr>
          </w:p>
        </w:tc>
      </w:tr>
      <w:tr>
        <w:trPr>
          <w:trHeight w:val="171"/>
        </w:trPr>
        <w:tc>
          <w:tcPr>
            <w:tcW w:w="56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Commitment</w:t>
            </w:r>
          </w:p>
        </w:tc>
        <w:tc>
          <w:tcPr>
            <w:tcW w:w="220" w:type="dxa"/>
            <w:vAlign w:val="bottom"/>
          </w:tcPr>
          <w:p>
            <w:pPr>
              <w:spacing w:after="0"/>
              <w:rPr>
                <w:sz w:val="14"/>
                <w:szCs w:val="14"/>
                <w:color w:val="auto"/>
              </w:rPr>
            </w:pPr>
          </w:p>
        </w:tc>
        <w:tc>
          <w:tcPr>
            <w:tcW w:w="16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Commitment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Commitment</w:t>
            </w:r>
          </w:p>
        </w:tc>
        <w:tc>
          <w:tcPr>
            <w:tcW w:w="0" w:type="dxa"/>
            <w:vAlign w:val="bottom"/>
          </w:tcPr>
          <w:p>
            <w:pPr>
              <w:spacing w:after="0"/>
              <w:rPr>
                <w:sz w:val="1"/>
                <w:szCs w:val="1"/>
                <w:color w:val="auto"/>
              </w:rPr>
            </w:pPr>
          </w:p>
        </w:tc>
      </w:tr>
      <w:tr>
        <w:trPr>
          <w:trHeight w:val="210"/>
        </w:trPr>
        <w:tc>
          <w:tcPr>
            <w:tcW w:w="5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45,579,143.95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40,419,240.86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Deutsche Bank AG New York Branch</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45,579,143.95</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40,419,240.87</w:t>
            </w: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Morgan Stanley Bank, N.A.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45,579,143.95</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40,419,240.87</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Wells Fargo Bank, National Association</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45,579,143.95</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40,419,240.87</w:t>
            </w: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Citibank, N.A.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45,579,143.95</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40,419,240.87</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Skandinaviska Enskilda Banken AB (publ)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32,101,756.51</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28,467,595.40</w:t>
            </w: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Toronto Dominion Bank, New York Branch</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32,101,756.51</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28,467,595.40</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Royal Bank of Canada</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28,891,580.86</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25,620,835.86</w:t>
            </w: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Nordea Bank AB (publ), New York Branch</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20,545,124.17</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18,219,261.05</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Standard Chartered Bank</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15,641,866.73</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13,871,089.37</w:t>
            </w: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MUFG Bank, Ltd.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85,998,384.82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Barclays Bank plc</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43,609,933.38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UniCredit Bank AG, New York Branch</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38,764,385.22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Banco Bilbao Vizcaya Argentaria, S.A. New York Branch</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21,804,966.68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Goldman Sachs Lending Partners LLC</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19,548,218.94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Bank of America, N.A.</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16,353,725.01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226,079,614.05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357,177,804.53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316,742,581.42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00" w:right="1060" w:hanging="5592"/>
        <w:spacing w:after="0" w:line="528" w:lineRule="auto"/>
        <w:tabs>
          <w:tab w:leader="none" w:pos="29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Annex I lists the Commitments following the Specified Prepayment and Commitment Reduction as of the Amendment Effective Date.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REVOLVING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(attached)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FINAL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MAY 9,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BY (I) AMENDMENT NO. 1 TO AMENDED AND RESTATED CREDIT AGREEMENT, DATED AS OF JULY 19, 2016,</w:t>
      </w:r>
    </w:p>
    <w:p>
      <w:pPr>
        <w:spacing w:after="0" w:line="27" w:lineRule="exact"/>
        <w:rPr>
          <w:sz w:val="20"/>
          <w:szCs w:val="20"/>
          <w:color w:val="auto"/>
        </w:rPr>
      </w:pPr>
    </w:p>
    <w:p>
      <w:pPr>
        <w:ind w:left="620" w:right="460" w:hanging="156"/>
        <w:spacing w:after="0" w:line="265" w:lineRule="auto"/>
        <w:tabs>
          <w:tab w:leader="none" w:pos="755"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AMENDMENT NO. 2 TO AMENDED AND RESTATED CREDIT AGREEMENT, DATED AS OF APRIL 17, 2017, (III) JOINDER AGREEMENT, DATED AS OF SEPTEMBER 7, 2017 AND (IV) AMENDMENT NO. 3 TO AMENDED AND RESTATED CREDIT</w:t>
      </w:r>
    </w:p>
    <w:p>
      <w:pPr>
        <w:jc w:val="center"/>
        <w:spacing w:after="0"/>
        <w:rPr>
          <w:sz w:val="20"/>
          <w:szCs w:val="20"/>
          <w:color w:val="auto"/>
        </w:rPr>
      </w:pPr>
      <w:r>
        <w:rPr>
          <w:rFonts w:ascii="Arial" w:cs="Arial" w:eastAsia="Arial" w:hAnsi="Arial"/>
          <w:sz w:val="18"/>
          <w:szCs w:val="18"/>
          <w:b w:val="1"/>
          <w:bCs w:val="1"/>
          <w:color w:val="auto"/>
        </w:rPr>
        <w:t>AGREEMENT, DATED AS OF AUGUST 16,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 BERMUDA EXEMPTED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ectPr>
          <w:pgSz w:w="11900" w:h="16838" w:orient="portrait"/>
          <w:cols w:equalWidth="0" w:num="1">
            <w:col w:w="11420"/>
          </w:cols>
          <w:pgMar w:left="240" w:top="341" w:right="239" w:bottom="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OTHER BORROWERS PARTY HERETO,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BORROWERS,</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AN IRISH PUBLIC LIMITED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LENDERS PARTY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ISSUING BANKS NAMED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JPMORGAN CHASE BANK, N.A.,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ADMINISTRATIVE AGENT AND A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 N.A., Wells Fargo Securities, LLC,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CITIBANK, N.A., DEUTSCHE BANK SECURITIES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MORGAN STANLEY SENIOR FUNDING,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JOINT LEAD ARRANGERS AND JOINT BOOKRUNNERS,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SECURITIES,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SYNDICATION AGENT,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SECURITIES, LLC, CITIBANK, 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MORGAN STANLEY SENIOR FUNDING,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180" w:type="dxa"/>
            <w:vAlign w:val="bottom"/>
            <w:gridSpan w:val="9"/>
          </w:tcPr>
          <w:p>
            <w:pPr>
              <w:jc w:val="center"/>
              <w:ind w:right="3900"/>
              <w:spacing w:after="0"/>
              <w:rPr>
                <w:sz w:val="20"/>
                <w:szCs w:val="20"/>
                <w:color w:val="auto"/>
              </w:rPr>
            </w:pPr>
            <w:r>
              <w:rPr>
                <w:rFonts w:ascii="Arial" w:cs="Arial" w:eastAsia="Arial" w:hAnsi="Arial"/>
                <w:sz w:val="18"/>
                <w:szCs w:val="18"/>
                <w:b w:val="1"/>
                <w:bCs w:val="1"/>
                <w:color w:val="auto"/>
                <w:w w:val="98"/>
              </w:rPr>
              <w:t>TABLE OF CONTENTS</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740" w:type="dxa"/>
            <w:vAlign w:val="bottom"/>
            <w:tcBorders>
              <w:top w:val="single" w:sz="8" w:color="auto"/>
              <w:bottom w:val="single" w:sz="8" w:color="auto"/>
            </w:tcBorders>
            <w:gridSpan w:val="5"/>
            <w:vMerge w:val="restart"/>
          </w:tcPr>
          <w:p>
            <w:pPr>
              <w:jc w:val="center"/>
              <w:ind w:right="200"/>
              <w:spacing w:after="0"/>
              <w:rPr>
                <w:sz w:val="20"/>
                <w:szCs w:val="20"/>
                <w:color w:val="auto"/>
              </w:rPr>
            </w:pPr>
            <w:r>
              <w:rPr>
                <w:rFonts w:ascii="Arial" w:cs="Arial" w:eastAsia="Arial" w:hAnsi="Arial"/>
                <w:sz w:val="18"/>
                <w:szCs w:val="18"/>
                <w:color w:val="auto"/>
                <w:w w:val="99"/>
              </w:rPr>
              <w:t>ARTICLE I</w:t>
            </w:r>
          </w:p>
        </w:tc>
        <w:tc>
          <w:tcPr>
            <w:tcW w:w="4080" w:type="dxa"/>
            <w:vAlign w:val="bottom"/>
            <w:gridSpan w:val="2"/>
            <w:vMerge w:val="restart"/>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5"/>
            <w:vMerge w:val="continue"/>
          </w:tcPr>
          <w:p>
            <w:pPr>
              <w:spacing w:after="0"/>
              <w:rPr>
                <w:sz w:val="15"/>
                <w:szCs w:val="15"/>
                <w:color w:val="auto"/>
              </w:rPr>
            </w:pPr>
          </w:p>
        </w:tc>
        <w:tc>
          <w:tcPr>
            <w:tcW w:w="408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00" w:type="dxa"/>
            <w:vAlign w:val="bottom"/>
            <w:gridSpan w:val="16"/>
          </w:tcPr>
          <w:p>
            <w:pPr>
              <w:jc w:val="center"/>
              <w:ind w:right="2580"/>
              <w:spacing w:after="0"/>
              <w:rPr>
                <w:sz w:val="20"/>
                <w:szCs w:val="20"/>
                <w:color w:val="auto"/>
              </w:rPr>
            </w:pPr>
            <w:r>
              <w:rPr>
                <w:rFonts w:ascii="Arial" w:cs="Arial" w:eastAsia="Arial" w:hAnsi="Arial"/>
                <w:sz w:val="18"/>
                <w:szCs w:val="18"/>
                <w:color w:val="auto"/>
                <w:w w:val="96"/>
              </w:rPr>
              <w:t>DEFINITIONS; ACCOUNTING TERMS; INTERPRETATION</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780" w:type="dxa"/>
            <w:vAlign w:val="bottom"/>
          </w:tcPr>
          <w:p>
            <w:pPr>
              <w:spacing w:after="0"/>
              <w:rPr>
                <w:sz w:val="20"/>
                <w:szCs w:val="20"/>
                <w:color w:val="auto"/>
              </w:rPr>
            </w:pPr>
            <w:r>
              <w:rPr>
                <w:rFonts w:ascii="Arial" w:cs="Arial" w:eastAsia="Arial" w:hAnsi="Arial"/>
                <w:sz w:val="18"/>
                <w:szCs w:val="18"/>
                <w:color w:val="auto"/>
              </w:rPr>
              <w:t>SECTION 1.01</w:t>
            </w:r>
          </w:p>
        </w:tc>
        <w:tc>
          <w:tcPr>
            <w:tcW w:w="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Definitions</w:t>
            </w:r>
          </w:p>
        </w:tc>
        <w:tc>
          <w:tcPr>
            <w:tcW w:w="8220" w:type="dxa"/>
            <w:vAlign w:val="bottom"/>
            <w:gridSpan w:val="2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color w:val="auto"/>
              </w:rPr>
              <w:t>SECTION 1.02</w:t>
            </w:r>
          </w:p>
        </w:tc>
        <w:tc>
          <w:tcPr>
            <w:tcW w:w="8980" w:type="dxa"/>
            <w:vAlign w:val="bottom"/>
            <w:gridSpan w:val="27"/>
          </w:tcPr>
          <w:p>
            <w:pPr>
              <w:spacing w:after="0" w:line="196" w:lineRule="exact"/>
              <w:rPr>
                <w:sz w:val="20"/>
                <w:szCs w:val="20"/>
                <w:color w:val="auto"/>
              </w:rPr>
            </w:pPr>
            <w:r>
              <w:rPr>
                <w:rFonts w:ascii="Arial" w:cs="Arial" w:eastAsia="Arial" w:hAnsi="Arial"/>
                <w:sz w:val="18"/>
                <w:szCs w:val="18"/>
                <w:color w:val="auto"/>
              </w:rPr>
              <w:t>Types of Borrowings</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7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color w:val="auto"/>
              </w:rPr>
              <w:t>SECTION 1.03</w:t>
            </w:r>
          </w:p>
        </w:tc>
        <w:tc>
          <w:tcPr>
            <w:tcW w:w="272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89"/>
              </w:rPr>
              <w:t>Accounting Terms; Changes in GAAP</w:t>
            </w:r>
          </w:p>
        </w:tc>
        <w:tc>
          <w:tcPr>
            <w:tcW w:w="6260" w:type="dxa"/>
            <w:vAlign w:val="bottom"/>
            <w:gridSpan w:val="10"/>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color w:val="auto"/>
              </w:rPr>
              <w:t>SECTION 1.04</w:t>
            </w:r>
          </w:p>
        </w:tc>
        <w:tc>
          <w:tcPr>
            <w:tcW w:w="406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89"/>
              </w:rPr>
              <w:t>Pro Forma Calculations of Current Asset Coverage Ratio</w:t>
            </w:r>
          </w:p>
        </w:tc>
        <w:tc>
          <w:tcPr>
            <w:tcW w:w="4920" w:type="dxa"/>
            <w:vAlign w:val="bottom"/>
            <w:gridSpan w:val="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color w:val="auto"/>
              </w:rPr>
              <w:t>SECTION 1.05</w:t>
            </w:r>
          </w:p>
        </w:tc>
        <w:tc>
          <w:tcPr>
            <w:tcW w:w="94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86"/>
              </w:rPr>
              <w:t>Interpretation</w:t>
            </w:r>
          </w:p>
        </w:tc>
        <w:tc>
          <w:tcPr>
            <w:tcW w:w="8040" w:type="dxa"/>
            <w:vAlign w:val="bottom"/>
            <w:gridSpan w:val="2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color w:val="auto"/>
              </w:rPr>
              <w:t>SECTION 1.06</w:t>
            </w:r>
          </w:p>
        </w:tc>
        <w:tc>
          <w:tcPr>
            <w:tcW w:w="4260" w:type="dxa"/>
            <w:vAlign w:val="bottom"/>
            <w:tcBorders>
              <w:bottom w:val="single" w:sz="8" w:color="auto"/>
            </w:tcBorders>
            <w:gridSpan w:val="24"/>
          </w:tcPr>
          <w:p>
            <w:pPr>
              <w:spacing w:after="0" w:line="196" w:lineRule="exact"/>
              <w:rPr>
                <w:sz w:val="20"/>
                <w:szCs w:val="20"/>
                <w:color w:val="auto"/>
              </w:rPr>
            </w:pPr>
            <w:r>
              <w:rPr>
                <w:rFonts w:ascii="Arial" w:cs="Arial" w:eastAsia="Arial" w:hAnsi="Arial"/>
                <w:sz w:val="18"/>
                <w:szCs w:val="18"/>
                <w:color w:val="auto"/>
                <w:w w:val="89"/>
              </w:rPr>
              <w:t>Amendment and Restatement of Existing Credit Agreement</w:t>
            </w:r>
          </w:p>
        </w:tc>
        <w:tc>
          <w:tcPr>
            <w:tcW w:w="472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38"/>
        </w:trPr>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20" w:type="dxa"/>
            <w:vAlign w:val="bottom"/>
            <w:gridSpan w:val="7"/>
          </w:tcPr>
          <w:p>
            <w:pPr>
              <w:jc w:val="center"/>
              <w:ind w:right="4260"/>
              <w:spacing w:after="0"/>
              <w:rPr>
                <w:sz w:val="20"/>
                <w:szCs w:val="20"/>
                <w:color w:val="auto"/>
              </w:rPr>
            </w:pPr>
            <w:r>
              <w:rPr>
                <w:rFonts w:ascii="Arial" w:cs="Arial" w:eastAsia="Arial" w:hAnsi="Arial"/>
                <w:sz w:val="18"/>
                <w:szCs w:val="18"/>
                <w:color w:val="auto"/>
              </w:rPr>
              <w:t>ARTICLE II</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180" w:type="dxa"/>
            <w:vAlign w:val="bottom"/>
            <w:gridSpan w:val="9"/>
          </w:tcPr>
          <w:p>
            <w:pPr>
              <w:jc w:val="center"/>
              <w:ind w:right="3900"/>
              <w:spacing w:after="0"/>
              <w:rPr>
                <w:sz w:val="20"/>
                <w:szCs w:val="20"/>
                <w:color w:val="auto"/>
              </w:rPr>
            </w:pPr>
            <w:r>
              <w:rPr>
                <w:rFonts w:ascii="Arial" w:cs="Arial" w:eastAsia="Arial" w:hAnsi="Arial"/>
                <w:sz w:val="18"/>
                <w:szCs w:val="18"/>
                <w:color w:val="auto"/>
                <w:w w:val="98"/>
              </w:rPr>
              <w:t>COMMITMENTS; LOANS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780" w:type="dxa"/>
            <w:vAlign w:val="bottom"/>
          </w:tcPr>
          <w:p>
            <w:pPr>
              <w:spacing w:after="0"/>
              <w:rPr>
                <w:sz w:val="20"/>
                <w:szCs w:val="20"/>
                <w:color w:val="auto"/>
              </w:rPr>
            </w:pPr>
            <w:r>
              <w:rPr>
                <w:rFonts w:ascii="Arial" w:cs="Arial" w:eastAsia="Arial" w:hAnsi="Arial"/>
                <w:sz w:val="18"/>
                <w:szCs w:val="18"/>
                <w:color w:val="auto"/>
              </w:rPr>
              <w:t>SECTION 2.01</w:t>
            </w:r>
          </w:p>
        </w:tc>
        <w:tc>
          <w:tcPr>
            <w:tcW w:w="168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89"/>
              </w:rPr>
              <w:t>Revolving Credit Loans</w:t>
            </w:r>
          </w:p>
        </w:tc>
        <w:tc>
          <w:tcPr>
            <w:tcW w:w="7300" w:type="dxa"/>
            <w:vAlign w:val="bottom"/>
            <w:gridSpan w:val="1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color w:val="auto"/>
              </w:rPr>
              <w:t>SECTION 2.02</w:t>
            </w:r>
          </w:p>
        </w:tc>
        <w:tc>
          <w:tcPr>
            <w:tcW w:w="372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90"/>
              </w:rPr>
              <w:t>Requests for Borrowings of Revolving Credit Loans</w:t>
            </w:r>
          </w:p>
        </w:tc>
        <w:tc>
          <w:tcPr>
            <w:tcW w:w="5260" w:type="dxa"/>
            <w:vAlign w:val="bottom"/>
            <w:gridSpan w:val="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color w:val="auto"/>
              </w:rPr>
              <w:t>SECTION 2.03</w:t>
            </w:r>
          </w:p>
        </w:tc>
        <w:tc>
          <w:tcPr>
            <w:tcW w:w="116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86"/>
              </w:rPr>
              <w:t>Swingline Loans</w:t>
            </w:r>
          </w:p>
        </w:tc>
        <w:tc>
          <w:tcPr>
            <w:tcW w:w="7820" w:type="dxa"/>
            <w:vAlign w:val="bottom"/>
            <w:gridSpan w:val="20"/>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color w:val="auto"/>
              </w:rPr>
              <w:t>SECTION 2.04</w:t>
            </w:r>
          </w:p>
        </w:tc>
        <w:tc>
          <w:tcPr>
            <w:tcW w:w="164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9"/>
              </w:rPr>
              <w:t>Funding of Borrowings</w:t>
            </w:r>
          </w:p>
        </w:tc>
        <w:tc>
          <w:tcPr>
            <w:tcW w:w="734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color w:val="auto"/>
              </w:rPr>
              <w:t>SECTION 2.05</w:t>
            </w:r>
          </w:p>
        </w:tc>
        <w:tc>
          <w:tcPr>
            <w:tcW w:w="120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85"/>
              </w:rPr>
              <w:t>Interest Elections</w:t>
            </w:r>
          </w:p>
        </w:tc>
        <w:tc>
          <w:tcPr>
            <w:tcW w:w="7780" w:type="dxa"/>
            <w:vAlign w:val="bottom"/>
            <w:gridSpan w:val="1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color w:val="auto"/>
              </w:rPr>
              <w:t>SECTION 2.06</w:t>
            </w:r>
          </w:p>
        </w:tc>
        <w:tc>
          <w:tcPr>
            <w:tcW w:w="8980" w:type="dxa"/>
            <w:vAlign w:val="bottom"/>
            <w:gridSpan w:val="27"/>
          </w:tcPr>
          <w:p>
            <w:pPr>
              <w:spacing w:after="0" w:line="196" w:lineRule="exact"/>
              <w:rPr>
                <w:sz w:val="20"/>
                <w:szCs w:val="20"/>
                <w:color w:val="auto"/>
              </w:rPr>
            </w:pPr>
            <w:r>
              <w:rPr>
                <w:rFonts w:ascii="Arial" w:cs="Arial" w:eastAsia="Arial" w:hAnsi="Arial"/>
                <w:sz w:val="18"/>
                <w:szCs w:val="18"/>
                <w:color w:val="auto"/>
              </w:rPr>
              <w:t>Termination and Reduction of Commitments</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color w:val="auto"/>
              </w:rPr>
              <w:t>SECTION 2.07</w:t>
            </w:r>
          </w:p>
        </w:tc>
        <w:tc>
          <w:tcPr>
            <w:tcW w:w="2800" w:type="dxa"/>
            <w:vAlign w:val="bottom"/>
            <w:tcBorders>
              <w:top w:val="single" w:sz="8" w:color="auto"/>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88"/>
              </w:rPr>
              <w:t>Repayment of Loans; Evidence of Debt</w:t>
            </w:r>
          </w:p>
        </w:tc>
        <w:tc>
          <w:tcPr>
            <w:tcW w:w="360" w:type="dxa"/>
            <w:vAlign w:val="bottom"/>
            <w:tcBorders>
              <w:top w:val="single" w:sz="8" w:color="auto"/>
            </w:tcBorders>
            <w:gridSpan w:val="2"/>
          </w:tcPr>
          <w:p>
            <w:pPr>
              <w:spacing w:after="0"/>
              <w:rPr>
                <w:sz w:val="17"/>
                <w:szCs w:val="17"/>
                <w:color w:val="auto"/>
              </w:rPr>
            </w:pPr>
          </w:p>
        </w:tc>
        <w:tc>
          <w:tcPr>
            <w:tcW w:w="5820" w:type="dxa"/>
            <w:vAlign w:val="bottom"/>
            <w:gridSpan w:val="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color w:val="auto"/>
              </w:rPr>
              <w:t>SECTION 2.08</w:t>
            </w:r>
          </w:p>
        </w:tc>
        <w:tc>
          <w:tcPr>
            <w:tcW w:w="8980" w:type="dxa"/>
            <w:vAlign w:val="bottom"/>
            <w:gridSpan w:val="27"/>
          </w:tcPr>
          <w:p>
            <w:pPr>
              <w:spacing w:after="0" w:line="196" w:lineRule="exact"/>
              <w:rPr>
                <w:sz w:val="20"/>
                <w:szCs w:val="20"/>
                <w:color w:val="auto"/>
              </w:rPr>
            </w:pPr>
            <w:r>
              <w:rPr>
                <w:rFonts w:ascii="Arial" w:cs="Arial" w:eastAsia="Arial" w:hAnsi="Arial"/>
                <w:sz w:val="18"/>
                <w:szCs w:val="18"/>
                <w:color w:val="auto"/>
              </w:rPr>
              <w:t>Prepayment of Loans</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color w:val="auto"/>
              </w:rPr>
              <w:t>SECTION 2.09</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72"/>
              </w:rPr>
              <w:t>Fees</w:t>
            </w:r>
          </w:p>
        </w:tc>
        <w:tc>
          <w:tcPr>
            <w:tcW w:w="1200" w:type="dxa"/>
            <w:vAlign w:val="bottom"/>
            <w:tcBorders>
              <w:top w:val="single" w:sz="8" w:color="auto"/>
            </w:tcBorders>
            <w:gridSpan w:val="10"/>
          </w:tcPr>
          <w:p>
            <w:pPr>
              <w:spacing w:after="0"/>
              <w:rPr>
                <w:sz w:val="17"/>
                <w:szCs w:val="17"/>
                <w:color w:val="auto"/>
              </w:rPr>
            </w:pPr>
          </w:p>
        </w:tc>
        <w:tc>
          <w:tcPr>
            <w:tcW w:w="750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color w:val="auto"/>
              </w:rPr>
              <w:t>SECTION 2.10</w:t>
            </w:r>
          </w:p>
        </w:tc>
        <w:tc>
          <w:tcPr>
            <w:tcW w:w="8980" w:type="dxa"/>
            <w:vAlign w:val="bottom"/>
            <w:gridSpan w:val="27"/>
          </w:tcPr>
          <w:p>
            <w:pPr>
              <w:spacing w:after="0" w:line="196" w:lineRule="exact"/>
              <w:rPr>
                <w:sz w:val="20"/>
                <w:szCs w:val="20"/>
                <w:color w:val="auto"/>
              </w:rPr>
            </w:pPr>
            <w:r>
              <w:rPr>
                <w:rFonts w:ascii="Arial" w:cs="Arial" w:eastAsia="Arial" w:hAnsi="Arial"/>
                <w:sz w:val="18"/>
                <w:szCs w:val="18"/>
                <w:color w:val="auto"/>
              </w:rPr>
              <w:t>Interest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178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color w:val="auto"/>
              </w:rPr>
              <w:t>SECTION 2.11</w:t>
            </w:r>
          </w:p>
        </w:tc>
        <w:tc>
          <w:tcPr>
            <w:tcW w:w="178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87"/>
              </w:rPr>
              <w:t>Alternate Rate of Interest</w:t>
            </w:r>
          </w:p>
        </w:tc>
        <w:tc>
          <w:tcPr>
            <w:tcW w:w="7200" w:type="dxa"/>
            <w:vAlign w:val="bottom"/>
            <w:gridSpan w:val="1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color w:val="auto"/>
              </w:rPr>
              <w:t>SECTION 2.12</w:t>
            </w:r>
          </w:p>
        </w:tc>
        <w:tc>
          <w:tcPr>
            <w:tcW w:w="108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81"/>
              </w:rPr>
              <w:t>Increased Costs</w:t>
            </w:r>
          </w:p>
        </w:tc>
        <w:tc>
          <w:tcPr>
            <w:tcW w:w="7900" w:type="dxa"/>
            <w:vAlign w:val="bottom"/>
            <w:gridSpan w:val="21"/>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color w:val="auto"/>
              </w:rPr>
              <w:t>SECTION 2.13</w:t>
            </w:r>
          </w:p>
        </w:tc>
        <w:tc>
          <w:tcPr>
            <w:tcW w:w="8980" w:type="dxa"/>
            <w:vAlign w:val="bottom"/>
            <w:gridSpan w:val="27"/>
          </w:tcPr>
          <w:p>
            <w:pPr>
              <w:spacing w:after="0" w:line="196" w:lineRule="exact"/>
              <w:rPr>
                <w:sz w:val="20"/>
                <w:szCs w:val="20"/>
                <w:color w:val="auto"/>
              </w:rPr>
            </w:pPr>
            <w:r>
              <w:rPr>
                <w:rFonts w:ascii="Arial" w:cs="Arial" w:eastAsia="Arial" w:hAnsi="Arial"/>
                <w:sz w:val="18"/>
                <w:szCs w:val="18"/>
                <w:color w:val="auto"/>
              </w:rPr>
              <w:t>Break Funding Payments</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1780" w:type="dxa"/>
            <w:vAlign w:val="bottom"/>
            <w:tcBorders>
              <w:right w:val="single" w:sz="8" w:color="auto"/>
            </w:tcBorders>
          </w:tcPr>
          <w:p>
            <w:pPr>
              <w:spacing w:after="0" w:line="20" w:lineRule="exact"/>
              <w:rPr>
                <w:sz w:val="1"/>
                <w:szCs w:val="1"/>
                <w:color w:val="auto"/>
              </w:rPr>
            </w:pPr>
          </w:p>
        </w:tc>
        <w:tc>
          <w:tcPr>
            <w:tcW w:w="920" w:type="dxa"/>
            <w:vAlign w:val="bottom"/>
            <w:gridSpan w:val="4"/>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color w:val="auto"/>
              </w:rPr>
              <w:t>SECTION 2.14</w:t>
            </w:r>
          </w:p>
        </w:tc>
        <w:tc>
          <w:tcPr>
            <w:tcW w:w="8980" w:type="dxa"/>
            <w:vAlign w:val="bottom"/>
            <w:gridSpan w:val="27"/>
          </w:tcPr>
          <w:p>
            <w:pPr>
              <w:spacing w:after="0" w:line="196" w:lineRule="exact"/>
              <w:rPr>
                <w:sz w:val="20"/>
                <w:szCs w:val="20"/>
                <w:color w:val="auto"/>
              </w:rPr>
            </w:pPr>
            <w:r>
              <w:rPr>
                <w:rFonts w:ascii="Arial" w:cs="Arial" w:eastAsia="Arial" w:hAnsi="Arial"/>
                <w:sz w:val="18"/>
                <w:szCs w:val="18"/>
                <w:color w:val="auto"/>
              </w:rPr>
              <w:t>Agreement to Defer Exercise of Right of Contribution, Etc.</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color w:val="auto"/>
              </w:rPr>
              <w:t>SECTION 2.15</w:t>
            </w:r>
          </w:p>
        </w:tc>
        <w:tc>
          <w:tcPr>
            <w:tcW w:w="4220" w:type="dxa"/>
            <w:vAlign w:val="bottom"/>
            <w:tcBorders>
              <w:top w:val="single" w:sz="8" w:color="auto"/>
            </w:tcBorders>
            <w:gridSpan w:val="23"/>
          </w:tcPr>
          <w:p>
            <w:pP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RESERVED</w:t>
            </w:r>
            <w:r>
              <w:rPr>
                <w:rFonts w:ascii="Arial" w:cs="Arial" w:eastAsia="Arial" w:hAnsi="Arial"/>
                <w:sz w:val="18"/>
                <w:szCs w:val="18"/>
                <w:b w:val="1"/>
                <w:bCs w:val="1"/>
                <w:color w:val="auto"/>
              </w:rPr>
              <w:t>]</w:t>
            </w:r>
          </w:p>
        </w:tc>
        <w:tc>
          <w:tcPr>
            <w:tcW w:w="476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920" w:type="dxa"/>
            <w:vAlign w:val="bottom"/>
            <w:gridSpan w:val="4"/>
            <w:shd w:val="clear" w:color="auto" w:fill="000000"/>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4880" w:type="dxa"/>
            <w:vAlign w:val="bottom"/>
            <w:gridSpan w:val="1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color w:val="auto"/>
              </w:rPr>
              <w:t>SECTION 2.16</w:t>
            </w:r>
          </w:p>
        </w:tc>
        <w:tc>
          <w:tcPr>
            <w:tcW w:w="8980" w:type="dxa"/>
            <w:vAlign w:val="bottom"/>
            <w:gridSpan w:val="27"/>
          </w:tcPr>
          <w:p>
            <w:pPr>
              <w:spacing w:after="0" w:line="196" w:lineRule="exact"/>
              <w:rPr>
                <w:sz w:val="20"/>
                <w:szCs w:val="20"/>
                <w:color w:val="auto"/>
              </w:rPr>
            </w:pPr>
            <w:r>
              <w:rPr>
                <w:rFonts w:ascii="Arial" w:cs="Arial" w:eastAsia="Arial" w:hAnsi="Arial"/>
                <w:sz w:val="18"/>
                <w:szCs w:val="18"/>
                <w:color w:val="auto"/>
              </w:rPr>
              <w:t>Determination of Exchange Rates; Prepayment of Loans as a Result of Currency Fluctuations</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color w:val="auto"/>
              </w:rPr>
              <w:t>SECTION 2.17</w:t>
            </w:r>
          </w:p>
        </w:tc>
        <w:tc>
          <w:tcPr>
            <w:tcW w:w="1340" w:type="dxa"/>
            <w:vAlign w:val="bottom"/>
            <w:tcBorders>
              <w:top w:val="single" w:sz="8" w:color="auto"/>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87"/>
              </w:rPr>
              <w:t>Defaulting Lenders</w:t>
            </w:r>
          </w:p>
        </w:tc>
        <w:tc>
          <w:tcPr>
            <w:tcW w:w="5340" w:type="dxa"/>
            <w:vAlign w:val="bottom"/>
            <w:tcBorders>
              <w:top w:val="single" w:sz="8" w:color="auto"/>
            </w:tcBorders>
            <w:gridSpan w:val="17"/>
          </w:tcPr>
          <w:p>
            <w:pPr>
              <w:spacing w:after="0"/>
              <w:rPr>
                <w:sz w:val="17"/>
                <w:szCs w:val="17"/>
                <w:color w:val="auto"/>
              </w:rPr>
            </w:pPr>
          </w:p>
        </w:tc>
        <w:tc>
          <w:tcPr>
            <w:tcW w:w="23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color w:val="auto"/>
              </w:rPr>
              <w:t>SECTION 2.18</w:t>
            </w:r>
          </w:p>
        </w:tc>
        <w:tc>
          <w:tcPr>
            <w:tcW w:w="180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87"/>
              </w:rPr>
              <w:t>Increase in Commitments</w:t>
            </w:r>
          </w:p>
        </w:tc>
        <w:tc>
          <w:tcPr>
            <w:tcW w:w="7180" w:type="dxa"/>
            <w:vAlign w:val="bottom"/>
            <w:gridSpan w:val="11"/>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LETTERS OF CREDIT</w:t>
      </w:r>
    </w:p>
    <w:p>
      <w:pPr>
        <w:sectPr>
          <w:pgSz w:w="11900" w:h="16838" w:orient="portrait"/>
          <w:cols w:equalWidth="0" w:num="1">
            <w:col w:w="11420"/>
          </w:cols>
          <w:pgMar w:left="240" w:top="337" w:right="239" w:bottom="0" w:gutter="0" w:footer="0" w:header="0"/>
        </w:sectPr>
      </w:pPr>
    </w:p>
    <w:bookmarkStart w:id="12" w:name="page13"/>
    <w:bookmarkEnd w:id="12"/>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Arial" w:cs="Arial" w:eastAsia="Arial" w:hAnsi="Arial"/>
                <w:sz w:val="18"/>
                <w:szCs w:val="18"/>
                <w:color w:val="auto"/>
              </w:rPr>
              <w:t>SECTION 3.01</w:t>
            </w:r>
          </w:p>
        </w:tc>
        <w:tc>
          <w:tcPr>
            <w:tcW w:w="8720" w:type="dxa"/>
            <w:vAlign w:val="bottom"/>
            <w:gridSpan w:val="36"/>
          </w:tcPr>
          <w:p>
            <w:pPr>
              <w:spacing w:after="0"/>
              <w:rPr>
                <w:sz w:val="20"/>
                <w:szCs w:val="20"/>
                <w:color w:val="auto"/>
              </w:rPr>
            </w:pPr>
            <w:r>
              <w:rPr>
                <w:rFonts w:ascii="Arial" w:cs="Arial" w:eastAsia="Arial" w:hAnsi="Arial"/>
                <w:sz w:val="18"/>
                <w:szCs w:val="18"/>
                <w:color w:val="auto"/>
              </w:rPr>
              <w:t>Letters of Credit</w:t>
            </w: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38"/>
        </w:trPr>
        <w:tc>
          <w:tcPr>
            <w:tcW w:w="17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6"/>
          </w:tcPr>
          <w:p>
            <w:pPr>
              <w:jc w:val="center"/>
              <w:ind w:right="4120"/>
              <w:spacing w:after="0"/>
              <w:rPr>
                <w:sz w:val="20"/>
                <w:szCs w:val="20"/>
                <w:color w:val="auto"/>
              </w:rPr>
            </w:pPr>
            <w:r>
              <w:rPr>
                <w:rFonts w:ascii="Arial" w:cs="Arial" w:eastAsia="Arial" w:hAnsi="Arial"/>
                <w:sz w:val="18"/>
                <w:szCs w:val="18"/>
                <w:color w:val="auto"/>
                <w:w w:val="99"/>
              </w:rPr>
              <w:t>ARTICLE IV</w:t>
            </w:r>
          </w:p>
        </w:tc>
        <w:tc>
          <w:tcPr>
            <w:tcW w:w="1020" w:type="dxa"/>
            <w:vAlign w:val="bottom"/>
          </w:tcPr>
          <w:p>
            <w:pPr>
              <w:spacing w:after="0"/>
              <w:rPr>
                <w:sz w:val="24"/>
                <w:szCs w:val="24"/>
                <w:color w:val="auto"/>
              </w:rPr>
            </w:pPr>
          </w:p>
        </w:tc>
      </w:tr>
      <w:tr>
        <w:trPr>
          <w:trHeight w:val="230"/>
        </w:trPr>
        <w:tc>
          <w:tcPr>
            <w:tcW w:w="1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0" w:type="dxa"/>
            <w:vAlign w:val="bottom"/>
            <w:gridSpan w:val="17"/>
          </w:tcPr>
          <w:p>
            <w:pPr>
              <w:jc w:val="center"/>
              <w:ind w:right="2840"/>
              <w:spacing w:after="0"/>
              <w:rPr>
                <w:sz w:val="20"/>
                <w:szCs w:val="20"/>
                <w:color w:val="auto"/>
              </w:rPr>
            </w:pPr>
            <w:r>
              <w:rPr>
                <w:rFonts w:ascii="Arial" w:cs="Arial" w:eastAsia="Arial" w:hAnsi="Arial"/>
                <w:sz w:val="18"/>
                <w:szCs w:val="18"/>
                <w:color w:val="auto"/>
                <w:w w:val="94"/>
              </w:rPr>
              <w:t>PAYMENTS; PRO RATA TREATMENT; TAXES</w:t>
            </w:r>
          </w:p>
        </w:tc>
        <w:tc>
          <w:tcPr>
            <w:tcW w:w="1020" w:type="dxa"/>
            <w:vAlign w:val="bottom"/>
          </w:tcPr>
          <w:p>
            <w:pPr>
              <w:spacing w:after="0"/>
              <w:rPr>
                <w:sz w:val="20"/>
                <w:szCs w:val="20"/>
                <w:color w:val="auto"/>
              </w:rPr>
            </w:pPr>
          </w:p>
        </w:tc>
      </w:tr>
      <w:tr>
        <w:trPr>
          <w:trHeight w:val="392"/>
        </w:trPr>
        <w:tc>
          <w:tcPr>
            <w:tcW w:w="1720" w:type="dxa"/>
            <w:vAlign w:val="bottom"/>
          </w:tcPr>
          <w:p>
            <w:pPr>
              <w:spacing w:after="0"/>
              <w:rPr>
                <w:sz w:val="20"/>
                <w:szCs w:val="20"/>
                <w:color w:val="auto"/>
              </w:rPr>
            </w:pPr>
            <w:r>
              <w:rPr>
                <w:rFonts w:ascii="Arial" w:cs="Arial" w:eastAsia="Arial" w:hAnsi="Arial"/>
                <w:sz w:val="18"/>
                <w:szCs w:val="18"/>
                <w:color w:val="auto"/>
              </w:rPr>
              <w:t>SECTION 4.01</w:t>
            </w:r>
          </w:p>
        </w:tc>
        <w:tc>
          <w:tcPr>
            <w:tcW w:w="4420" w:type="dxa"/>
            <w:vAlign w:val="bottom"/>
            <w:tcBorders>
              <w:bottom w:val="single" w:sz="8" w:color="auto"/>
            </w:tcBorders>
            <w:gridSpan w:val="34"/>
          </w:tcPr>
          <w:p>
            <w:pPr>
              <w:spacing w:after="0"/>
              <w:rPr>
                <w:sz w:val="20"/>
                <w:szCs w:val="20"/>
                <w:color w:val="auto"/>
              </w:rPr>
            </w:pPr>
            <w:r>
              <w:rPr>
                <w:rFonts w:ascii="Arial" w:cs="Arial" w:eastAsia="Arial" w:hAnsi="Arial"/>
                <w:sz w:val="18"/>
                <w:szCs w:val="18"/>
                <w:color w:val="auto"/>
                <w:w w:val="89"/>
              </w:rPr>
              <w:t>Payments Generally; Pro Rata Treatment; Sharing of Set-offs</w:t>
            </w:r>
          </w:p>
        </w:tc>
        <w:tc>
          <w:tcPr>
            <w:tcW w:w="4300" w:type="dxa"/>
            <w:vAlign w:val="bottom"/>
            <w:gridSpan w:val="2"/>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53"/>
        </w:trPr>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gridSpan w:val="5"/>
          </w:tcPr>
          <w:p>
            <w:pPr>
              <w:jc w:val="center"/>
              <w:ind w:right="4240"/>
              <w:spacing w:after="0"/>
              <w:rPr>
                <w:sz w:val="20"/>
                <w:szCs w:val="20"/>
                <w:color w:val="auto"/>
              </w:rPr>
            </w:pPr>
            <w:r>
              <w:rPr>
                <w:rFonts w:ascii="Arial" w:cs="Arial" w:eastAsia="Arial" w:hAnsi="Arial"/>
                <w:sz w:val="18"/>
                <w:szCs w:val="18"/>
                <w:color w:val="auto"/>
              </w:rPr>
              <w:t>i</w:t>
            </w:r>
          </w:p>
        </w:tc>
        <w:tc>
          <w:tcPr>
            <w:tcW w:w="1020" w:type="dxa"/>
            <w:vAlign w:val="bottom"/>
          </w:tcPr>
          <w:p>
            <w:pPr>
              <w:spacing w:after="0"/>
              <w:rPr>
                <w:sz w:val="24"/>
                <w:szCs w:val="24"/>
                <w:color w:val="auto"/>
              </w:rPr>
            </w:pPr>
          </w:p>
        </w:tc>
      </w:tr>
      <w:tr>
        <w:trPr>
          <w:trHeight w:val="132"/>
        </w:trPr>
        <w:tc>
          <w:tcPr>
            <w:tcW w:w="17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5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r>
      <w:tr>
        <w:trPr>
          <w:trHeight w:val="740"/>
        </w:trPr>
        <w:tc>
          <w:tcPr>
            <w:tcW w:w="1720" w:type="dxa"/>
            <w:vAlign w:val="bottom"/>
          </w:tcPr>
          <w:p>
            <w:pPr>
              <w:spacing w:after="0"/>
              <w:rPr>
                <w:sz w:val="20"/>
                <w:szCs w:val="20"/>
                <w:color w:val="auto"/>
              </w:rPr>
            </w:pPr>
            <w:r>
              <w:rPr>
                <w:rFonts w:ascii="Arial" w:cs="Arial" w:eastAsia="Arial" w:hAnsi="Arial"/>
                <w:sz w:val="18"/>
                <w:szCs w:val="18"/>
                <w:color w:val="auto"/>
              </w:rPr>
              <w:t>SECTION 4.02</w:t>
            </w:r>
          </w:p>
        </w:tc>
        <w:tc>
          <w:tcPr>
            <w:tcW w:w="8720" w:type="dxa"/>
            <w:vAlign w:val="bottom"/>
            <w:gridSpan w:val="36"/>
          </w:tcPr>
          <w:p>
            <w:pPr>
              <w:spacing w:after="0"/>
              <w:rPr>
                <w:sz w:val="20"/>
                <w:szCs w:val="20"/>
                <w:color w:val="auto"/>
              </w:rPr>
            </w:pPr>
            <w:r>
              <w:rPr>
                <w:rFonts w:ascii="Arial" w:cs="Arial" w:eastAsia="Arial" w:hAnsi="Arial"/>
                <w:sz w:val="18"/>
                <w:szCs w:val="18"/>
                <w:color w:val="auto"/>
              </w:rPr>
              <w:t>Taxes/Additional Payments</w:t>
            </w: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1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4.03</w:t>
            </w:r>
          </w:p>
        </w:tc>
        <w:tc>
          <w:tcPr>
            <w:tcW w:w="8720" w:type="dxa"/>
            <w:vAlign w:val="bottom"/>
            <w:gridSpan w:val="36"/>
          </w:tcPr>
          <w:p>
            <w:pPr>
              <w:spacing w:after="0" w:line="196" w:lineRule="exact"/>
              <w:rPr>
                <w:sz w:val="20"/>
                <w:szCs w:val="20"/>
                <w:color w:val="auto"/>
              </w:rPr>
            </w:pPr>
            <w:r>
              <w:rPr>
                <w:rFonts w:ascii="Arial" w:cs="Arial" w:eastAsia="Arial" w:hAnsi="Arial"/>
                <w:sz w:val="18"/>
                <w:szCs w:val="18"/>
                <w:color w:val="auto"/>
              </w:rPr>
              <w:t>Mitigation Obligations; Replacement of Lenders</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4.04</w:t>
            </w:r>
          </w:p>
        </w:tc>
        <w:tc>
          <w:tcPr>
            <w:tcW w:w="3500" w:type="dxa"/>
            <w:vAlign w:val="bottom"/>
            <w:tcBorders>
              <w:top w:val="single" w:sz="8" w:color="auto"/>
            </w:tcBorders>
            <w:gridSpan w:val="31"/>
          </w:tcPr>
          <w:p>
            <w:pPr>
              <w:spacing w:after="0" w:line="196" w:lineRule="exact"/>
              <w:rPr>
                <w:sz w:val="20"/>
                <w:szCs w:val="20"/>
                <w:color w:val="auto"/>
              </w:rPr>
            </w:pPr>
            <w:r>
              <w:rPr>
                <w:rFonts w:ascii="Arial" w:cs="Arial" w:eastAsia="Arial" w:hAnsi="Arial"/>
                <w:sz w:val="18"/>
                <w:szCs w:val="18"/>
                <w:color w:val="auto"/>
              </w:rPr>
              <w:t>Financial Assistance</w:t>
            </w:r>
          </w:p>
        </w:tc>
        <w:tc>
          <w:tcPr>
            <w:tcW w:w="5220" w:type="dxa"/>
            <w:vAlign w:val="bottom"/>
            <w:gridSpan w:val="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438"/>
        </w:trPr>
        <w:tc>
          <w:tcPr>
            <w:tcW w:w="17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gridSpan w:val="5"/>
          </w:tcPr>
          <w:p>
            <w:pPr>
              <w:jc w:val="center"/>
              <w:ind w:right="4220"/>
              <w:spacing w:after="0"/>
              <w:rPr>
                <w:sz w:val="20"/>
                <w:szCs w:val="20"/>
                <w:color w:val="auto"/>
              </w:rPr>
            </w:pPr>
            <w:r>
              <w:rPr>
                <w:rFonts w:ascii="Arial" w:cs="Arial" w:eastAsia="Arial" w:hAnsi="Arial"/>
                <w:sz w:val="18"/>
                <w:szCs w:val="18"/>
                <w:color w:val="auto"/>
                <w:w w:val="98"/>
              </w:rPr>
              <w:t>ARTICLE V</w:t>
            </w:r>
          </w:p>
        </w:tc>
        <w:tc>
          <w:tcPr>
            <w:tcW w:w="1020" w:type="dxa"/>
            <w:vAlign w:val="bottom"/>
          </w:tcPr>
          <w:p>
            <w:pPr>
              <w:spacing w:after="0"/>
              <w:rPr>
                <w:sz w:val="24"/>
                <w:szCs w:val="24"/>
                <w:color w:val="auto"/>
              </w:rPr>
            </w:pPr>
          </w:p>
        </w:tc>
      </w:tr>
      <w:tr>
        <w:trPr>
          <w:trHeight w:val="230"/>
        </w:trPr>
        <w:tc>
          <w:tcPr>
            <w:tcW w:w="1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40" w:type="dxa"/>
            <w:vAlign w:val="bottom"/>
            <w:gridSpan w:val="12"/>
          </w:tcPr>
          <w:p>
            <w:pPr>
              <w:jc w:val="center"/>
              <w:ind w:right="3420"/>
              <w:spacing w:after="0"/>
              <w:rPr>
                <w:sz w:val="20"/>
                <w:szCs w:val="20"/>
                <w:color w:val="auto"/>
              </w:rPr>
            </w:pPr>
            <w:r>
              <w:rPr>
                <w:rFonts w:ascii="Arial" w:cs="Arial" w:eastAsia="Arial" w:hAnsi="Arial"/>
                <w:sz w:val="18"/>
                <w:szCs w:val="18"/>
                <w:color w:val="auto"/>
                <w:w w:val="95"/>
              </w:rPr>
              <w:t>CONDITIONS PRECEDENT</w:t>
            </w:r>
          </w:p>
        </w:tc>
        <w:tc>
          <w:tcPr>
            <w:tcW w:w="1020" w:type="dxa"/>
            <w:vAlign w:val="bottom"/>
          </w:tcPr>
          <w:p>
            <w:pPr>
              <w:spacing w:after="0"/>
              <w:rPr>
                <w:sz w:val="20"/>
                <w:szCs w:val="20"/>
                <w:color w:val="auto"/>
              </w:rPr>
            </w:pPr>
          </w:p>
        </w:tc>
      </w:tr>
      <w:tr>
        <w:trPr>
          <w:trHeight w:val="392"/>
        </w:trPr>
        <w:tc>
          <w:tcPr>
            <w:tcW w:w="1720" w:type="dxa"/>
            <w:vAlign w:val="bottom"/>
          </w:tcPr>
          <w:p>
            <w:pPr>
              <w:spacing w:after="0"/>
              <w:rPr>
                <w:sz w:val="20"/>
                <w:szCs w:val="20"/>
                <w:color w:val="auto"/>
              </w:rPr>
            </w:pPr>
            <w:r>
              <w:rPr>
                <w:rFonts w:ascii="Arial" w:cs="Arial" w:eastAsia="Arial" w:hAnsi="Arial"/>
                <w:sz w:val="18"/>
                <w:szCs w:val="18"/>
                <w:color w:val="auto"/>
              </w:rPr>
              <w:t>SECTION 5.01</w:t>
            </w:r>
          </w:p>
        </w:tc>
        <w:tc>
          <w:tcPr>
            <w:tcW w:w="3100" w:type="dxa"/>
            <w:vAlign w:val="bottom"/>
            <w:tcBorders>
              <w:bottom w:val="single" w:sz="8" w:color="auto"/>
            </w:tcBorders>
            <w:gridSpan w:val="27"/>
          </w:tcPr>
          <w:p>
            <w:pPr>
              <w:spacing w:after="0"/>
              <w:rPr>
                <w:sz w:val="20"/>
                <w:szCs w:val="20"/>
                <w:color w:val="auto"/>
              </w:rPr>
            </w:pPr>
            <w:r>
              <w:rPr>
                <w:rFonts w:ascii="Arial" w:cs="Arial" w:eastAsia="Arial" w:hAnsi="Arial"/>
                <w:sz w:val="18"/>
                <w:szCs w:val="18"/>
                <w:color w:val="auto"/>
                <w:w w:val="90"/>
              </w:rPr>
              <w:t>Conditions Precedent to the Effective Date</w:t>
            </w:r>
          </w:p>
        </w:tc>
        <w:tc>
          <w:tcPr>
            <w:tcW w:w="5620" w:type="dxa"/>
            <w:vAlign w:val="bottom"/>
            <w:gridSpan w:val="9"/>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5.02</w:t>
            </w:r>
          </w:p>
        </w:tc>
        <w:tc>
          <w:tcPr>
            <w:tcW w:w="8720" w:type="dxa"/>
            <w:vAlign w:val="bottom"/>
            <w:gridSpan w:val="36"/>
          </w:tcPr>
          <w:p>
            <w:pPr>
              <w:spacing w:after="0" w:line="196" w:lineRule="exact"/>
              <w:rPr>
                <w:sz w:val="20"/>
                <w:szCs w:val="20"/>
                <w:color w:val="auto"/>
              </w:rPr>
            </w:pPr>
            <w:r>
              <w:rPr>
                <w:rFonts w:ascii="Arial" w:cs="Arial" w:eastAsia="Arial" w:hAnsi="Arial"/>
                <w:sz w:val="18"/>
                <w:szCs w:val="18"/>
                <w:color w:val="auto"/>
              </w:rPr>
              <w:t>Conditions Precedent to All Credit Events</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438"/>
        </w:trPr>
        <w:tc>
          <w:tcPr>
            <w:tcW w:w="17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gridSpan w:val="5"/>
          </w:tcPr>
          <w:p>
            <w:pPr>
              <w:jc w:val="center"/>
              <w:ind w:right="4240"/>
              <w:spacing w:after="0"/>
              <w:rPr>
                <w:sz w:val="20"/>
                <w:szCs w:val="20"/>
                <w:color w:val="auto"/>
              </w:rPr>
            </w:pPr>
            <w:r>
              <w:rPr>
                <w:rFonts w:ascii="Arial" w:cs="Arial" w:eastAsia="Arial" w:hAnsi="Arial"/>
                <w:sz w:val="18"/>
                <w:szCs w:val="18"/>
                <w:color w:val="auto"/>
                <w:w w:val="99"/>
              </w:rPr>
              <w:t>ARTICLE VI</w:t>
            </w:r>
          </w:p>
        </w:tc>
        <w:tc>
          <w:tcPr>
            <w:tcW w:w="1020" w:type="dxa"/>
            <w:vAlign w:val="bottom"/>
          </w:tcPr>
          <w:p>
            <w:pPr>
              <w:spacing w:after="0"/>
              <w:rPr>
                <w:sz w:val="24"/>
                <w:szCs w:val="24"/>
                <w:color w:val="auto"/>
              </w:rPr>
            </w:pPr>
          </w:p>
        </w:tc>
      </w:tr>
      <w:tr>
        <w:trPr>
          <w:trHeight w:val="230"/>
        </w:trPr>
        <w:tc>
          <w:tcPr>
            <w:tcW w:w="1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0" w:type="dxa"/>
            <w:vAlign w:val="bottom"/>
            <w:gridSpan w:val="15"/>
          </w:tcPr>
          <w:p>
            <w:pPr>
              <w:jc w:val="center"/>
              <w:ind w:right="3040"/>
              <w:spacing w:after="0"/>
              <w:rPr>
                <w:sz w:val="20"/>
                <w:szCs w:val="20"/>
                <w:color w:val="auto"/>
              </w:rPr>
            </w:pPr>
            <w:r>
              <w:rPr>
                <w:rFonts w:ascii="Arial" w:cs="Arial" w:eastAsia="Arial" w:hAnsi="Arial"/>
                <w:sz w:val="18"/>
                <w:szCs w:val="18"/>
                <w:color w:val="auto"/>
                <w:w w:val="95"/>
              </w:rPr>
              <w:t>REPRESENTATIONS AND WARRANTIES</w:t>
            </w:r>
          </w:p>
        </w:tc>
        <w:tc>
          <w:tcPr>
            <w:tcW w:w="1020" w:type="dxa"/>
            <w:vAlign w:val="bottom"/>
          </w:tcPr>
          <w:p>
            <w:pPr>
              <w:spacing w:after="0"/>
              <w:rPr>
                <w:sz w:val="20"/>
                <w:szCs w:val="20"/>
                <w:color w:val="auto"/>
              </w:rPr>
            </w:pPr>
          </w:p>
        </w:tc>
      </w:tr>
      <w:tr>
        <w:trPr>
          <w:trHeight w:val="392"/>
        </w:trPr>
        <w:tc>
          <w:tcPr>
            <w:tcW w:w="1720" w:type="dxa"/>
            <w:vAlign w:val="bottom"/>
          </w:tcPr>
          <w:p>
            <w:pPr>
              <w:spacing w:after="0"/>
              <w:rPr>
                <w:sz w:val="20"/>
                <w:szCs w:val="20"/>
                <w:color w:val="auto"/>
              </w:rPr>
            </w:pPr>
            <w:r>
              <w:rPr>
                <w:rFonts w:ascii="Arial" w:cs="Arial" w:eastAsia="Arial" w:hAnsi="Arial"/>
                <w:sz w:val="18"/>
                <w:szCs w:val="18"/>
                <w:color w:val="auto"/>
              </w:rPr>
              <w:t>SECTION 6.01</w:t>
            </w:r>
          </w:p>
        </w:tc>
        <w:tc>
          <w:tcPr>
            <w:tcW w:w="2240" w:type="dxa"/>
            <w:vAlign w:val="bottom"/>
            <w:tcBorders>
              <w:bottom w:val="single" w:sz="8" w:color="auto"/>
            </w:tcBorders>
            <w:gridSpan w:val="20"/>
          </w:tcPr>
          <w:p>
            <w:pPr>
              <w:spacing w:after="0"/>
              <w:rPr>
                <w:sz w:val="20"/>
                <w:szCs w:val="20"/>
                <w:color w:val="auto"/>
              </w:rPr>
            </w:pPr>
            <w:r>
              <w:rPr>
                <w:rFonts w:ascii="Arial" w:cs="Arial" w:eastAsia="Arial" w:hAnsi="Arial"/>
                <w:sz w:val="18"/>
                <w:szCs w:val="18"/>
                <w:color w:val="auto"/>
                <w:w w:val="92"/>
              </w:rPr>
              <w:t>Organization and Qualification</w:t>
            </w:r>
          </w:p>
        </w:tc>
        <w:tc>
          <w:tcPr>
            <w:tcW w:w="6480" w:type="dxa"/>
            <w:vAlign w:val="bottom"/>
            <w:gridSpan w:val="16"/>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6.02</w:t>
            </w:r>
          </w:p>
        </w:tc>
        <w:tc>
          <w:tcPr>
            <w:tcW w:w="8720" w:type="dxa"/>
            <w:vAlign w:val="bottom"/>
            <w:gridSpan w:val="36"/>
          </w:tcPr>
          <w:p>
            <w:pPr>
              <w:spacing w:after="0" w:line="196" w:lineRule="exact"/>
              <w:rPr>
                <w:sz w:val="20"/>
                <w:szCs w:val="20"/>
                <w:color w:val="auto"/>
              </w:rPr>
            </w:pPr>
            <w:r>
              <w:rPr>
                <w:rFonts w:ascii="Arial" w:cs="Arial" w:eastAsia="Arial" w:hAnsi="Arial"/>
                <w:sz w:val="18"/>
                <w:szCs w:val="18"/>
                <w:color w:val="auto"/>
              </w:rPr>
              <w:t>Authorization, Validity, Etc.</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20"/>
        </w:trPr>
        <w:tc>
          <w:tcPr>
            <w:tcW w:w="1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6.03</w:t>
            </w:r>
          </w:p>
        </w:tc>
        <w:tc>
          <w:tcPr>
            <w:tcW w:w="212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89"/>
              </w:rPr>
              <w:t>Governmental Consents, Etc.</w:t>
            </w:r>
          </w:p>
        </w:tc>
        <w:tc>
          <w:tcPr>
            <w:tcW w:w="6600" w:type="dxa"/>
            <w:vAlign w:val="bottom"/>
            <w:gridSpan w:val="17"/>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6.04</w:t>
            </w:r>
          </w:p>
        </w:tc>
        <w:tc>
          <w:tcPr>
            <w:tcW w:w="3360" w:type="dxa"/>
            <w:vAlign w:val="bottom"/>
            <w:tcBorders>
              <w:bottom w:val="single" w:sz="8" w:color="auto"/>
            </w:tcBorders>
            <w:gridSpan w:val="29"/>
          </w:tcPr>
          <w:p>
            <w:pPr>
              <w:spacing w:after="0" w:line="196" w:lineRule="exact"/>
              <w:rPr>
                <w:sz w:val="20"/>
                <w:szCs w:val="20"/>
                <w:color w:val="auto"/>
              </w:rPr>
            </w:pPr>
            <w:r>
              <w:rPr>
                <w:rFonts w:ascii="Arial" w:cs="Arial" w:eastAsia="Arial" w:hAnsi="Arial"/>
                <w:sz w:val="18"/>
                <w:szCs w:val="18"/>
                <w:color w:val="auto"/>
                <w:w w:val="92"/>
              </w:rPr>
              <w:t>No Breach or Violation of Law or Agreements</w:t>
            </w:r>
          </w:p>
        </w:tc>
        <w:tc>
          <w:tcPr>
            <w:tcW w:w="5360" w:type="dxa"/>
            <w:vAlign w:val="bottom"/>
            <w:gridSpan w:val="7"/>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6.05</w:t>
            </w:r>
          </w:p>
        </w:tc>
        <w:tc>
          <w:tcPr>
            <w:tcW w:w="72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7"/>
              </w:rPr>
              <w:t>Litigation</w:t>
            </w:r>
          </w:p>
        </w:tc>
        <w:tc>
          <w:tcPr>
            <w:tcW w:w="8000" w:type="dxa"/>
            <w:vAlign w:val="bottom"/>
            <w:gridSpan w:val="31"/>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6.06</w:t>
            </w:r>
          </w:p>
        </w:tc>
        <w:tc>
          <w:tcPr>
            <w:tcW w:w="308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92"/>
              </w:rPr>
              <w:t>Information; No Material Adverse Change</w:t>
            </w:r>
          </w:p>
        </w:tc>
        <w:tc>
          <w:tcPr>
            <w:tcW w:w="5640" w:type="dxa"/>
            <w:vAlign w:val="bottom"/>
            <w:gridSpan w:val="10"/>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6.07</w:t>
            </w:r>
          </w:p>
        </w:tc>
        <w:tc>
          <w:tcPr>
            <w:tcW w:w="3380" w:type="dxa"/>
            <w:vAlign w:val="bottom"/>
            <w:tcBorders>
              <w:bottom w:val="single" w:sz="8" w:color="auto"/>
            </w:tcBorders>
            <w:gridSpan w:val="30"/>
          </w:tcPr>
          <w:p>
            <w:pPr>
              <w:spacing w:after="0" w:line="196" w:lineRule="exact"/>
              <w:rPr>
                <w:sz w:val="20"/>
                <w:szCs w:val="20"/>
                <w:color w:val="auto"/>
              </w:rPr>
            </w:pPr>
            <w:r>
              <w:rPr>
                <w:rFonts w:ascii="Arial" w:cs="Arial" w:eastAsia="Arial" w:hAnsi="Arial"/>
                <w:sz w:val="18"/>
                <w:szCs w:val="18"/>
                <w:color w:val="auto"/>
                <w:w w:val="91"/>
              </w:rPr>
              <w:t>Investment Company Act; Margin Regulations</w:t>
            </w:r>
          </w:p>
        </w:tc>
        <w:tc>
          <w:tcPr>
            <w:tcW w:w="5340" w:type="dxa"/>
            <w:vAlign w:val="bottom"/>
            <w:gridSpan w:val="6"/>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6.08</w:t>
            </w:r>
          </w:p>
        </w:tc>
        <w:tc>
          <w:tcPr>
            <w:tcW w:w="8720" w:type="dxa"/>
            <w:vAlign w:val="bottom"/>
            <w:gridSpan w:val="36"/>
          </w:tcPr>
          <w:p>
            <w:pPr>
              <w:spacing w:after="0" w:line="196" w:lineRule="exact"/>
              <w:rPr>
                <w:sz w:val="20"/>
                <w:szCs w:val="20"/>
                <w:color w:val="auto"/>
              </w:rPr>
            </w:pPr>
            <w:r>
              <w:rPr>
                <w:rFonts w:ascii="Arial" w:cs="Arial" w:eastAsia="Arial" w:hAnsi="Arial"/>
                <w:sz w:val="18"/>
                <w:szCs w:val="18"/>
                <w:color w:val="auto"/>
              </w:rPr>
              <w:t>ERISA</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20"/>
        </w:trPr>
        <w:tc>
          <w:tcPr>
            <w:tcW w:w="1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6.09</w:t>
            </w:r>
          </w:p>
        </w:tc>
        <w:tc>
          <w:tcPr>
            <w:tcW w:w="194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88"/>
              </w:rPr>
              <w:t>Tax Returns and Payments</w:t>
            </w:r>
          </w:p>
        </w:tc>
        <w:tc>
          <w:tcPr>
            <w:tcW w:w="6780" w:type="dxa"/>
            <w:vAlign w:val="bottom"/>
            <w:gridSpan w:val="20"/>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6.10</w:t>
            </w:r>
          </w:p>
        </w:tc>
        <w:tc>
          <w:tcPr>
            <w:tcW w:w="8720" w:type="dxa"/>
            <w:vAlign w:val="bottom"/>
            <w:gridSpan w:val="36"/>
          </w:tcPr>
          <w:p>
            <w:pPr>
              <w:spacing w:after="0" w:line="196" w:lineRule="exact"/>
              <w:rPr>
                <w:sz w:val="20"/>
                <w:szCs w:val="20"/>
                <w:color w:val="auto"/>
              </w:rPr>
            </w:pPr>
            <w:r>
              <w:rPr>
                <w:rFonts w:ascii="Arial" w:cs="Arial" w:eastAsia="Arial" w:hAnsi="Arial"/>
                <w:sz w:val="18"/>
                <w:szCs w:val="18"/>
                <w:color w:val="auto"/>
              </w:rPr>
              <w:t>Requirements of Law</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6.11</w:t>
            </w:r>
          </w:p>
        </w:tc>
        <w:tc>
          <w:tcPr>
            <w:tcW w:w="1560" w:type="dxa"/>
            <w:vAlign w:val="bottom"/>
            <w:tcBorders>
              <w:top w:val="single" w:sz="8" w:color="auto"/>
            </w:tcBorders>
            <w:gridSpan w:val="13"/>
          </w:tcPr>
          <w:p>
            <w:pPr>
              <w:spacing w:after="0" w:line="196" w:lineRule="exact"/>
              <w:rPr>
                <w:sz w:val="20"/>
                <w:szCs w:val="20"/>
                <w:color w:val="auto"/>
              </w:rPr>
            </w:pPr>
            <w:r>
              <w:rPr>
                <w:rFonts w:ascii="Arial" w:cs="Arial" w:eastAsia="Arial" w:hAnsi="Arial"/>
                <w:sz w:val="18"/>
                <w:szCs w:val="18"/>
                <w:color w:val="auto"/>
              </w:rPr>
              <w:t>No Default</w:t>
            </w:r>
          </w:p>
        </w:tc>
        <w:tc>
          <w:tcPr>
            <w:tcW w:w="7160" w:type="dxa"/>
            <w:vAlign w:val="bottom"/>
            <w:gridSpan w:val="2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20"/>
        </w:trPr>
        <w:tc>
          <w:tcPr>
            <w:tcW w:w="1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6.12</w:t>
            </w:r>
          </w:p>
        </w:tc>
        <w:tc>
          <w:tcPr>
            <w:tcW w:w="266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91"/>
              </w:rPr>
              <w:t>Anti-Corruption Laws and Sanctions</w:t>
            </w:r>
          </w:p>
        </w:tc>
        <w:tc>
          <w:tcPr>
            <w:tcW w:w="6060" w:type="dxa"/>
            <w:vAlign w:val="bottom"/>
            <w:gridSpan w:val="1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6.13</w:t>
            </w:r>
          </w:p>
        </w:tc>
        <w:tc>
          <w:tcPr>
            <w:tcW w:w="80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2"/>
              </w:rPr>
              <w:t>Properties</w:t>
            </w:r>
          </w:p>
        </w:tc>
        <w:tc>
          <w:tcPr>
            <w:tcW w:w="7920" w:type="dxa"/>
            <w:vAlign w:val="bottom"/>
            <w:gridSpan w:val="30"/>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6.14</w:t>
            </w:r>
          </w:p>
        </w:tc>
        <w:tc>
          <w:tcPr>
            <w:tcW w:w="8720" w:type="dxa"/>
            <w:vAlign w:val="bottom"/>
            <w:gridSpan w:val="36"/>
          </w:tcPr>
          <w:p>
            <w:pPr>
              <w:spacing w:after="0" w:line="196" w:lineRule="exact"/>
              <w:rPr>
                <w:sz w:val="20"/>
                <w:szCs w:val="20"/>
                <w:color w:val="auto"/>
              </w:rPr>
            </w:pPr>
            <w:r>
              <w:rPr>
                <w:rFonts w:ascii="Arial" w:cs="Arial" w:eastAsia="Arial" w:hAnsi="Arial"/>
                <w:sz w:val="18"/>
                <w:szCs w:val="18"/>
                <w:color w:val="auto"/>
              </w:rPr>
              <w:t>No Restrictive Agreements</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6.15</w:t>
            </w:r>
          </w:p>
        </w:tc>
        <w:tc>
          <w:tcPr>
            <w:tcW w:w="68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0"/>
              </w:rPr>
              <w:t>Solvency</w:t>
            </w:r>
          </w:p>
        </w:tc>
        <w:tc>
          <w:tcPr>
            <w:tcW w:w="1300" w:type="dxa"/>
            <w:vAlign w:val="bottom"/>
            <w:tcBorders>
              <w:top w:val="single" w:sz="8" w:color="auto"/>
            </w:tcBorders>
            <w:gridSpan w:val="14"/>
          </w:tcPr>
          <w:p>
            <w:pPr>
              <w:spacing w:after="0"/>
              <w:rPr>
                <w:sz w:val="17"/>
                <w:szCs w:val="17"/>
                <w:color w:val="auto"/>
              </w:rPr>
            </w:pPr>
          </w:p>
        </w:tc>
        <w:tc>
          <w:tcPr>
            <w:tcW w:w="6740" w:type="dxa"/>
            <w:vAlign w:val="bottom"/>
            <w:gridSpan w:val="19"/>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6.16</w:t>
            </w:r>
          </w:p>
        </w:tc>
        <w:tc>
          <w:tcPr>
            <w:tcW w:w="8720" w:type="dxa"/>
            <w:vAlign w:val="bottom"/>
            <w:gridSpan w:val="36"/>
          </w:tcPr>
          <w:p>
            <w:pPr>
              <w:spacing w:after="0" w:line="196" w:lineRule="exact"/>
              <w:rPr>
                <w:sz w:val="20"/>
                <w:szCs w:val="20"/>
                <w:color w:val="auto"/>
              </w:rPr>
            </w:pPr>
            <w:r>
              <w:rPr>
                <w:rFonts w:ascii="Arial" w:cs="Arial" w:eastAsia="Arial" w:hAnsi="Arial"/>
                <w:sz w:val="18"/>
                <w:szCs w:val="18"/>
                <w:color w:val="auto"/>
              </w:rPr>
              <w:t>Insurance</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20"/>
        </w:trPr>
        <w:tc>
          <w:tcPr>
            <w:tcW w:w="1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6.17</w:t>
            </w:r>
          </w:p>
        </w:tc>
        <w:tc>
          <w:tcPr>
            <w:tcW w:w="8720" w:type="dxa"/>
            <w:vAlign w:val="bottom"/>
            <w:gridSpan w:val="36"/>
          </w:tcPr>
          <w:p>
            <w:pPr>
              <w:spacing w:after="0" w:line="196" w:lineRule="exact"/>
              <w:rPr>
                <w:sz w:val="20"/>
                <w:szCs w:val="20"/>
                <w:color w:val="auto"/>
              </w:rPr>
            </w:pPr>
            <w:r>
              <w:rPr>
                <w:rFonts w:ascii="Arial" w:cs="Arial" w:eastAsia="Arial" w:hAnsi="Arial"/>
                <w:sz w:val="18"/>
                <w:szCs w:val="18"/>
                <w:color w:val="auto"/>
              </w:rPr>
              <w:t>Rank of Obligations</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
        </w:trPr>
        <w:tc>
          <w:tcPr>
            <w:tcW w:w="1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6.18</w:t>
            </w:r>
          </w:p>
        </w:tc>
        <w:tc>
          <w:tcPr>
            <w:tcW w:w="8720" w:type="dxa"/>
            <w:vAlign w:val="bottom"/>
            <w:gridSpan w:val="36"/>
          </w:tcPr>
          <w:p>
            <w:pPr>
              <w:spacing w:after="0" w:line="196" w:lineRule="exact"/>
              <w:rPr>
                <w:sz w:val="20"/>
                <w:szCs w:val="20"/>
                <w:color w:val="auto"/>
              </w:rPr>
            </w:pPr>
            <w:r>
              <w:rPr>
                <w:rFonts w:ascii="Arial" w:cs="Arial" w:eastAsia="Arial" w:hAnsi="Arial"/>
                <w:sz w:val="18"/>
                <w:szCs w:val="18"/>
                <w:color w:val="auto"/>
              </w:rPr>
              <w:t>EEA Financial Institutions</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
        </w:trPr>
        <w:tc>
          <w:tcPr>
            <w:tcW w:w="1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6.19</w:t>
            </w:r>
          </w:p>
        </w:tc>
        <w:tc>
          <w:tcPr>
            <w:tcW w:w="8720" w:type="dxa"/>
            <w:vAlign w:val="bottom"/>
            <w:gridSpan w:val="36"/>
          </w:tcPr>
          <w:p>
            <w:pPr>
              <w:spacing w:after="0" w:line="196" w:lineRule="exact"/>
              <w:rPr>
                <w:sz w:val="20"/>
                <w:szCs w:val="20"/>
                <w:color w:val="auto"/>
              </w:rPr>
            </w:pPr>
            <w:r>
              <w:rPr>
                <w:rFonts w:ascii="Arial" w:cs="Arial" w:eastAsia="Arial" w:hAnsi="Arial"/>
                <w:sz w:val="18"/>
                <w:szCs w:val="18"/>
                <w:color w:val="auto"/>
              </w:rPr>
              <w:t>Compliance with the Swiss Non-Bank Rules</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438"/>
        </w:trPr>
        <w:tc>
          <w:tcPr>
            <w:tcW w:w="17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6"/>
          </w:tcPr>
          <w:p>
            <w:pPr>
              <w:jc w:val="center"/>
              <w:ind w:right="4100"/>
              <w:spacing w:after="0"/>
              <w:rPr>
                <w:sz w:val="20"/>
                <w:szCs w:val="20"/>
                <w:color w:val="auto"/>
              </w:rPr>
            </w:pPr>
            <w:r>
              <w:rPr>
                <w:rFonts w:ascii="Arial" w:cs="Arial" w:eastAsia="Arial" w:hAnsi="Arial"/>
                <w:sz w:val="18"/>
                <w:szCs w:val="18"/>
                <w:color w:val="auto"/>
              </w:rPr>
              <w:t>ARTICLE VII</w:t>
            </w:r>
          </w:p>
        </w:tc>
        <w:tc>
          <w:tcPr>
            <w:tcW w:w="1020" w:type="dxa"/>
            <w:vAlign w:val="bottom"/>
          </w:tcPr>
          <w:p>
            <w:pPr>
              <w:spacing w:after="0"/>
              <w:rPr>
                <w:sz w:val="24"/>
                <w:szCs w:val="24"/>
                <w:color w:val="auto"/>
              </w:rPr>
            </w:pPr>
          </w:p>
        </w:tc>
      </w:tr>
      <w:tr>
        <w:trPr>
          <w:trHeight w:val="230"/>
        </w:trPr>
        <w:tc>
          <w:tcPr>
            <w:tcW w:w="1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40" w:type="dxa"/>
            <w:vAlign w:val="bottom"/>
            <w:gridSpan w:val="12"/>
          </w:tcPr>
          <w:p>
            <w:pPr>
              <w:jc w:val="center"/>
              <w:ind w:right="3400"/>
              <w:spacing w:after="0"/>
              <w:rPr>
                <w:sz w:val="20"/>
                <w:szCs w:val="20"/>
                <w:color w:val="auto"/>
              </w:rPr>
            </w:pPr>
            <w:r>
              <w:rPr>
                <w:rFonts w:ascii="Arial" w:cs="Arial" w:eastAsia="Arial" w:hAnsi="Arial"/>
                <w:sz w:val="18"/>
                <w:szCs w:val="18"/>
                <w:color w:val="auto"/>
                <w:w w:val="98"/>
              </w:rPr>
              <w:t>AFFIRMATIVE COVENANTS</w:t>
            </w:r>
          </w:p>
        </w:tc>
        <w:tc>
          <w:tcPr>
            <w:tcW w:w="1020" w:type="dxa"/>
            <w:vAlign w:val="bottom"/>
          </w:tcPr>
          <w:p>
            <w:pPr>
              <w:spacing w:after="0"/>
              <w:rPr>
                <w:sz w:val="20"/>
                <w:szCs w:val="20"/>
                <w:color w:val="auto"/>
              </w:rPr>
            </w:pPr>
          </w:p>
        </w:tc>
      </w:tr>
      <w:tr>
        <w:trPr>
          <w:trHeight w:val="392"/>
        </w:trPr>
        <w:tc>
          <w:tcPr>
            <w:tcW w:w="1720" w:type="dxa"/>
            <w:vAlign w:val="bottom"/>
          </w:tcPr>
          <w:p>
            <w:pPr>
              <w:spacing w:after="0"/>
              <w:rPr>
                <w:sz w:val="20"/>
                <w:szCs w:val="20"/>
                <w:color w:val="auto"/>
              </w:rPr>
            </w:pPr>
            <w:r>
              <w:rPr>
                <w:rFonts w:ascii="Arial" w:cs="Arial" w:eastAsia="Arial" w:hAnsi="Arial"/>
                <w:sz w:val="18"/>
                <w:szCs w:val="18"/>
                <w:color w:val="auto"/>
              </w:rPr>
              <w:t>SECTION 7.01</w:t>
            </w:r>
          </w:p>
        </w:tc>
        <w:tc>
          <w:tcPr>
            <w:tcW w:w="8720" w:type="dxa"/>
            <w:vAlign w:val="bottom"/>
            <w:gridSpan w:val="36"/>
          </w:tcPr>
          <w:p>
            <w:pPr>
              <w:spacing w:after="0"/>
              <w:rPr>
                <w:sz w:val="20"/>
                <w:szCs w:val="20"/>
                <w:color w:val="auto"/>
              </w:rPr>
            </w:pPr>
            <w:r>
              <w:rPr>
                <w:rFonts w:ascii="Arial" w:cs="Arial" w:eastAsia="Arial" w:hAnsi="Arial"/>
                <w:sz w:val="18"/>
                <w:szCs w:val="18"/>
                <w:color w:val="auto"/>
              </w:rPr>
              <w:t>Information Covenants</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7.02</w:t>
            </w:r>
          </w:p>
        </w:tc>
        <w:tc>
          <w:tcPr>
            <w:tcW w:w="232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89"/>
              </w:rPr>
              <w:t>Books, Records and Inspections</w:t>
            </w:r>
          </w:p>
        </w:tc>
        <w:tc>
          <w:tcPr>
            <w:tcW w:w="6400" w:type="dxa"/>
            <w:vAlign w:val="bottom"/>
            <w:gridSpan w:val="1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7.03</w:t>
            </w:r>
          </w:p>
        </w:tc>
        <w:tc>
          <w:tcPr>
            <w:tcW w:w="8720" w:type="dxa"/>
            <w:vAlign w:val="bottom"/>
            <w:gridSpan w:val="36"/>
          </w:tcPr>
          <w:p>
            <w:pPr>
              <w:spacing w:after="0" w:line="196" w:lineRule="exact"/>
              <w:rPr>
                <w:sz w:val="20"/>
                <w:szCs w:val="20"/>
                <w:color w:val="auto"/>
              </w:rPr>
            </w:pPr>
            <w:r>
              <w:rPr>
                <w:rFonts w:ascii="Arial" w:cs="Arial" w:eastAsia="Arial" w:hAnsi="Arial"/>
                <w:sz w:val="18"/>
                <w:szCs w:val="18"/>
                <w:color w:val="auto"/>
              </w:rPr>
              <w:t>Insurance</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20"/>
        </w:trPr>
        <w:tc>
          <w:tcPr>
            <w:tcW w:w="1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7.04</w:t>
            </w:r>
          </w:p>
        </w:tc>
        <w:tc>
          <w:tcPr>
            <w:tcW w:w="8720" w:type="dxa"/>
            <w:vAlign w:val="bottom"/>
            <w:gridSpan w:val="36"/>
          </w:tcPr>
          <w:p>
            <w:pPr>
              <w:spacing w:after="0" w:line="196" w:lineRule="exact"/>
              <w:rPr>
                <w:sz w:val="20"/>
                <w:szCs w:val="20"/>
                <w:color w:val="auto"/>
              </w:rPr>
            </w:pPr>
            <w:r>
              <w:rPr>
                <w:rFonts w:ascii="Arial" w:cs="Arial" w:eastAsia="Arial" w:hAnsi="Arial"/>
                <w:sz w:val="18"/>
                <w:szCs w:val="18"/>
                <w:color w:val="auto"/>
              </w:rPr>
              <w:t>Payment of Taxes and other Claims</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7.05</w:t>
            </w:r>
          </w:p>
        </w:tc>
        <w:tc>
          <w:tcPr>
            <w:tcW w:w="2560" w:type="dxa"/>
            <w:vAlign w:val="bottom"/>
            <w:tcBorders>
              <w:top w:val="single" w:sz="8" w:color="auto"/>
            </w:tcBorders>
            <w:gridSpan w:val="22"/>
          </w:tcPr>
          <w:p>
            <w:pPr>
              <w:spacing w:after="0" w:line="196" w:lineRule="exact"/>
              <w:rPr>
                <w:sz w:val="20"/>
                <w:szCs w:val="20"/>
                <w:color w:val="auto"/>
              </w:rPr>
            </w:pPr>
            <w:r>
              <w:rPr>
                <w:rFonts w:ascii="Arial" w:cs="Arial" w:eastAsia="Arial" w:hAnsi="Arial"/>
                <w:sz w:val="18"/>
                <w:szCs w:val="18"/>
                <w:color w:val="auto"/>
              </w:rPr>
              <w:t>Existence</w:t>
            </w:r>
          </w:p>
        </w:tc>
        <w:tc>
          <w:tcPr>
            <w:tcW w:w="6160" w:type="dxa"/>
            <w:vAlign w:val="bottom"/>
            <w:gridSpan w:val="1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20"/>
        </w:trPr>
        <w:tc>
          <w:tcPr>
            <w:tcW w:w="1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7.06</w:t>
            </w:r>
          </w:p>
        </w:tc>
        <w:tc>
          <w:tcPr>
            <w:tcW w:w="1460" w:type="dxa"/>
            <w:vAlign w:val="bottom"/>
            <w:tcBorders>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2"/>
              </w:rPr>
              <w:t>ERISA Compliance</w:t>
            </w:r>
          </w:p>
        </w:tc>
        <w:tc>
          <w:tcPr>
            <w:tcW w:w="7260" w:type="dxa"/>
            <w:vAlign w:val="bottom"/>
            <w:gridSpan w:val="2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7.07</w:t>
            </w:r>
          </w:p>
        </w:tc>
        <w:tc>
          <w:tcPr>
            <w:tcW w:w="8720" w:type="dxa"/>
            <w:vAlign w:val="bottom"/>
            <w:gridSpan w:val="36"/>
          </w:tcPr>
          <w:p>
            <w:pPr>
              <w:spacing w:after="0" w:line="196" w:lineRule="exact"/>
              <w:rPr>
                <w:sz w:val="20"/>
                <w:szCs w:val="20"/>
                <w:color w:val="auto"/>
              </w:rPr>
            </w:pPr>
            <w:r>
              <w:rPr>
                <w:rFonts w:ascii="Arial" w:cs="Arial" w:eastAsia="Arial" w:hAnsi="Arial"/>
                <w:sz w:val="18"/>
                <w:szCs w:val="18"/>
                <w:color w:val="auto"/>
              </w:rPr>
              <w:t>Compliance with Laws and Material Contractual Obligations</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7.08</w:t>
            </w:r>
          </w:p>
        </w:tc>
        <w:tc>
          <w:tcPr>
            <w:tcW w:w="4400" w:type="dxa"/>
            <w:vAlign w:val="bottom"/>
            <w:tcBorders>
              <w:top w:val="single" w:sz="8" w:color="auto"/>
            </w:tcBorders>
            <w:gridSpan w:val="33"/>
          </w:tcPr>
          <w:p>
            <w:pPr>
              <w:spacing w:after="0" w:line="196" w:lineRule="exact"/>
              <w:rPr>
                <w:sz w:val="20"/>
                <w:szCs w:val="20"/>
                <w:color w:val="auto"/>
              </w:rPr>
            </w:pPr>
            <w:r>
              <w:rPr>
                <w:rFonts w:ascii="Arial" w:cs="Arial" w:eastAsia="Arial" w:hAnsi="Arial"/>
                <w:sz w:val="18"/>
                <w:szCs w:val="18"/>
                <w:color w:val="auto"/>
                <w:w w:val="98"/>
              </w:rPr>
              <w:t>Additional Guarantors; Additional Specified Jurisdictions</w:t>
            </w:r>
          </w:p>
        </w:tc>
        <w:tc>
          <w:tcPr>
            <w:tcW w:w="4320" w:type="dxa"/>
            <w:vAlign w:val="bottom"/>
            <w:gridSpan w:val="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20"/>
        </w:trPr>
        <w:tc>
          <w:tcPr>
            <w:tcW w:w="1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gridSpan w:val="6"/>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600" w:type="dxa"/>
            <w:vAlign w:val="bottom"/>
            <w:gridSpan w:val="6"/>
            <w:shd w:val="clear" w:color="auto" w:fill="000000"/>
          </w:tcPr>
          <w:p>
            <w:pPr>
              <w:spacing w:after="0" w:line="20" w:lineRule="exact"/>
              <w:rPr>
                <w:sz w:val="1"/>
                <w:szCs w:val="1"/>
                <w:color w:val="auto"/>
              </w:rPr>
            </w:pPr>
          </w:p>
        </w:tc>
        <w:tc>
          <w:tcPr>
            <w:tcW w:w="1480" w:type="dxa"/>
            <w:vAlign w:val="bottom"/>
            <w:gridSpan w:val="8"/>
            <w:shd w:val="clear" w:color="auto" w:fill="000000"/>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7.09</w:t>
            </w:r>
          </w:p>
        </w:tc>
        <w:tc>
          <w:tcPr>
            <w:tcW w:w="8720" w:type="dxa"/>
            <w:vAlign w:val="bottom"/>
            <w:gridSpan w:val="36"/>
          </w:tcPr>
          <w:p>
            <w:pPr>
              <w:spacing w:after="0" w:line="196" w:lineRule="exact"/>
              <w:rPr>
                <w:sz w:val="20"/>
                <w:szCs w:val="20"/>
                <w:color w:val="auto"/>
              </w:rPr>
            </w:pPr>
            <w:r>
              <w:rPr>
                <w:rFonts w:ascii="Arial" w:cs="Arial" w:eastAsia="Arial" w:hAnsi="Arial"/>
                <w:sz w:val="18"/>
                <w:szCs w:val="18"/>
                <w:color w:val="auto"/>
                <w:w w:val="98"/>
              </w:rPr>
              <w:t>Designation of Unrestricted Subsidiaries; Redesignation of Unrestricted Subsidiaries as Restricted Subsidiaries</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7.10</w:t>
            </w:r>
          </w:p>
        </w:tc>
        <w:tc>
          <w:tcPr>
            <w:tcW w:w="8000" w:type="dxa"/>
            <w:vAlign w:val="bottom"/>
            <w:tcBorders>
              <w:top w:val="single" w:sz="8" w:color="auto"/>
            </w:tcBorders>
            <w:gridSpan w:val="35"/>
          </w:tcPr>
          <w:p>
            <w:pPr>
              <w:spacing w:after="0" w:line="196" w:lineRule="exact"/>
              <w:rPr>
                <w:sz w:val="20"/>
                <w:szCs w:val="20"/>
                <w:color w:val="auto"/>
              </w:rPr>
            </w:pPr>
            <w:r>
              <w:rPr>
                <w:rFonts w:ascii="Arial" w:cs="Arial" w:eastAsia="Arial" w:hAnsi="Arial"/>
                <w:sz w:val="18"/>
                <w:szCs w:val="18"/>
                <w:color w:val="auto"/>
              </w:rPr>
              <w:t>More Favorable Financial Covenants</w:t>
            </w:r>
          </w:p>
        </w:tc>
        <w:tc>
          <w:tcPr>
            <w:tcW w:w="7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453"/>
        </w:trPr>
        <w:tc>
          <w:tcPr>
            <w:tcW w:w="17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gridSpan w:val="5"/>
          </w:tcPr>
          <w:p>
            <w:pPr>
              <w:jc w:val="center"/>
              <w:ind w:right="4240"/>
              <w:spacing w:after="0"/>
              <w:rPr>
                <w:sz w:val="20"/>
                <w:szCs w:val="20"/>
                <w:color w:val="auto"/>
              </w:rPr>
            </w:pPr>
            <w:r>
              <w:rPr>
                <w:rFonts w:ascii="Arial" w:cs="Arial" w:eastAsia="Arial" w:hAnsi="Arial"/>
                <w:sz w:val="18"/>
                <w:szCs w:val="18"/>
                <w:color w:val="auto"/>
              </w:rPr>
              <w:t>ii</w:t>
            </w:r>
          </w:p>
        </w:tc>
        <w:tc>
          <w:tcPr>
            <w:tcW w:w="1020" w:type="dxa"/>
            <w:vAlign w:val="bottom"/>
          </w:tcPr>
          <w:p>
            <w:pPr>
              <w:spacing w:after="0"/>
              <w:rPr>
                <w:sz w:val="24"/>
                <w:szCs w:val="24"/>
                <w:color w:val="auto"/>
              </w:rPr>
            </w:pPr>
          </w:p>
        </w:tc>
      </w:tr>
      <w:tr>
        <w:trPr>
          <w:trHeight w:val="132"/>
        </w:trPr>
        <w:tc>
          <w:tcPr>
            <w:tcW w:w="17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5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r>
      <w:tr>
        <w:trPr>
          <w:trHeight w:val="740"/>
        </w:trPr>
        <w:tc>
          <w:tcPr>
            <w:tcW w:w="1720" w:type="dxa"/>
            <w:vAlign w:val="bottom"/>
          </w:tcPr>
          <w:p>
            <w:pPr>
              <w:spacing w:after="0"/>
              <w:rPr>
                <w:sz w:val="20"/>
                <w:szCs w:val="20"/>
                <w:color w:val="auto"/>
              </w:rPr>
            </w:pPr>
            <w:r>
              <w:rPr>
                <w:rFonts w:ascii="Arial" w:cs="Arial" w:eastAsia="Arial" w:hAnsi="Arial"/>
                <w:sz w:val="18"/>
                <w:szCs w:val="18"/>
                <w:color w:val="auto"/>
              </w:rPr>
              <w:t>SECTION 7.11</w:t>
            </w:r>
          </w:p>
        </w:tc>
        <w:tc>
          <w:tcPr>
            <w:tcW w:w="3220" w:type="dxa"/>
            <w:vAlign w:val="bottom"/>
            <w:tcBorders>
              <w:bottom w:val="single" w:sz="8" w:color="auto"/>
            </w:tcBorders>
            <w:gridSpan w:val="28"/>
          </w:tcPr>
          <w:p>
            <w:pPr>
              <w:spacing w:after="0"/>
              <w:rPr>
                <w:sz w:val="20"/>
                <w:szCs w:val="20"/>
                <w:color w:val="auto"/>
              </w:rPr>
            </w:pPr>
            <w:r>
              <w:rPr>
                <w:rFonts w:ascii="Arial" w:cs="Arial" w:eastAsia="Arial" w:hAnsi="Arial"/>
                <w:sz w:val="18"/>
                <w:szCs w:val="18"/>
                <w:color w:val="auto"/>
                <w:w w:val="91"/>
              </w:rPr>
              <w:t>Compliance with the Swiss Non-Bank Rules</w:t>
            </w:r>
          </w:p>
        </w:tc>
        <w:tc>
          <w:tcPr>
            <w:tcW w:w="5500" w:type="dxa"/>
            <w:vAlign w:val="bottom"/>
            <w:gridSpan w:val="8"/>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7.12</w:t>
            </w:r>
          </w:p>
        </w:tc>
        <w:tc>
          <w:tcPr>
            <w:tcW w:w="8720" w:type="dxa"/>
            <w:vAlign w:val="bottom"/>
            <w:gridSpan w:val="36"/>
          </w:tcPr>
          <w:p>
            <w:pPr>
              <w:spacing w:after="0" w:line="196" w:lineRule="exact"/>
              <w:rPr>
                <w:sz w:val="20"/>
                <w:szCs w:val="20"/>
                <w:color w:val="auto"/>
              </w:rPr>
            </w:pPr>
            <w:r>
              <w:rPr>
                <w:rFonts w:ascii="Arial" w:cs="Arial" w:eastAsia="Arial" w:hAnsi="Arial"/>
                <w:sz w:val="18"/>
                <w:szCs w:val="18"/>
                <w:color w:val="auto"/>
              </w:rPr>
              <w:t>Secured Facility Covenant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438"/>
        </w:trPr>
        <w:tc>
          <w:tcPr>
            <w:tcW w:w="17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6"/>
          </w:tcPr>
          <w:p>
            <w:pPr>
              <w:jc w:val="center"/>
              <w:ind w:right="4120"/>
              <w:spacing w:after="0"/>
              <w:rPr>
                <w:sz w:val="20"/>
                <w:szCs w:val="20"/>
                <w:color w:val="auto"/>
              </w:rPr>
            </w:pPr>
            <w:r>
              <w:rPr>
                <w:rFonts w:ascii="Arial" w:cs="Arial" w:eastAsia="Arial" w:hAnsi="Arial"/>
                <w:sz w:val="18"/>
                <w:szCs w:val="18"/>
                <w:color w:val="auto"/>
              </w:rPr>
              <w:t>ARTICLE VIII</w:t>
            </w:r>
          </w:p>
        </w:tc>
        <w:tc>
          <w:tcPr>
            <w:tcW w:w="1020" w:type="dxa"/>
            <w:vAlign w:val="bottom"/>
          </w:tcPr>
          <w:p>
            <w:pPr>
              <w:spacing w:after="0"/>
              <w:rPr>
                <w:sz w:val="24"/>
                <w:szCs w:val="24"/>
                <w:color w:val="auto"/>
              </w:rPr>
            </w:pPr>
          </w:p>
        </w:tc>
      </w:tr>
      <w:tr>
        <w:trPr>
          <w:trHeight w:val="230"/>
        </w:trPr>
        <w:tc>
          <w:tcPr>
            <w:tcW w:w="1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40" w:type="dxa"/>
            <w:vAlign w:val="bottom"/>
            <w:gridSpan w:val="12"/>
          </w:tcPr>
          <w:p>
            <w:pPr>
              <w:jc w:val="center"/>
              <w:ind w:right="3420"/>
              <w:spacing w:after="0"/>
              <w:rPr>
                <w:sz w:val="20"/>
                <w:szCs w:val="20"/>
                <w:color w:val="auto"/>
              </w:rPr>
            </w:pPr>
            <w:r>
              <w:rPr>
                <w:rFonts w:ascii="Arial" w:cs="Arial" w:eastAsia="Arial" w:hAnsi="Arial"/>
                <w:sz w:val="18"/>
                <w:szCs w:val="18"/>
                <w:color w:val="auto"/>
                <w:w w:val="97"/>
              </w:rPr>
              <w:t>NEGATIVE COVENANTS</w:t>
            </w:r>
          </w:p>
        </w:tc>
        <w:tc>
          <w:tcPr>
            <w:tcW w:w="1020" w:type="dxa"/>
            <w:vAlign w:val="bottom"/>
          </w:tcPr>
          <w:p>
            <w:pPr>
              <w:spacing w:after="0"/>
              <w:rPr>
                <w:sz w:val="20"/>
                <w:szCs w:val="20"/>
                <w:color w:val="auto"/>
              </w:rPr>
            </w:pPr>
          </w:p>
        </w:tc>
      </w:tr>
      <w:tr>
        <w:trPr>
          <w:trHeight w:val="392"/>
        </w:trPr>
        <w:tc>
          <w:tcPr>
            <w:tcW w:w="1720" w:type="dxa"/>
            <w:vAlign w:val="bottom"/>
          </w:tcPr>
          <w:p>
            <w:pPr>
              <w:spacing w:after="0"/>
              <w:rPr>
                <w:sz w:val="20"/>
                <w:szCs w:val="20"/>
                <w:color w:val="auto"/>
              </w:rPr>
            </w:pPr>
            <w:r>
              <w:rPr>
                <w:rFonts w:ascii="Arial" w:cs="Arial" w:eastAsia="Arial" w:hAnsi="Arial"/>
                <w:sz w:val="18"/>
                <w:szCs w:val="18"/>
                <w:color w:val="auto"/>
              </w:rPr>
              <w:t>SECTION 8.01</w:t>
            </w:r>
          </w:p>
        </w:tc>
        <w:tc>
          <w:tcPr>
            <w:tcW w:w="8720" w:type="dxa"/>
            <w:vAlign w:val="bottom"/>
            <w:gridSpan w:val="36"/>
          </w:tcPr>
          <w:p>
            <w:pPr>
              <w:spacing w:after="0"/>
              <w:rPr>
                <w:sz w:val="20"/>
                <w:szCs w:val="20"/>
                <w:color w:val="auto"/>
              </w:rPr>
            </w:pPr>
            <w:r>
              <w:rPr>
                <w:rFonts w:ascii="Arial" w:cs="Arial" w:eastAsia="Arial" w:hAnsi="Arial"/>
                <w:sz w:val="18"/>
                <w:szCs w:val="18"/>
                <w:color w:val="auto"/>
              </w:rPr>
              <w:t>Indebtedness</w:t>
            </w: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1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gridSpan w:val="6"/>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640" w:type="dxa"/>
            <w:vAlign w:val="bottom"/>
            <w:gridSpan w:val="1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8.02</w:t>
            </w:r>
          </w:p>
        </w:tc>
        <w:tc>
          <w:tcPr>
            <w:tcW w:w="8720" w:type="dxa"/>
            <w:vAlign w:val="bottom"/>
            <w:gridSpan w:val="36"/>
          </w:tcPr>
          <w:p>
            <w:pPr>
              <w:spacing w:after="0" w:line="196" w:lineRule="exact"/>
              <w:rPr>
                <w:sz w:val="20"/>
                <w:szCs w:val="20"/>
                <w:color w:val="auto"/>
              </w:rPr>
            </w:pPr>
            <w:r>
              <w:rPr>
                <w:rFonts w:ascii="Arial" w:cs="Arial" w:eastAsia="Arial" w:hAnsi="Arial"/>
                <w:sz w:val="18"/>
                <w:szCs w:val="18"/>
                <w:color w:val="auto"/>
              </w:rPr>
              <w:t>Fundamental Changes</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20"/>
        </w:trPr>
        <w:tc>
          <w:tcPr>
            <w:tcW w:w="1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gridSpan w:val="6"/>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640" w:type="dxa"/>
            <w:vAlign w:val="bottom"/>
            <w:gridSpan w:val="1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8.03</w:t>
            </w:r>
          </w:p>
        </w:tc>
        <w:tc>
          <w:tcPr>
            <w:tcW w:w="208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89"/>
              </w:rPr>
              <w:t>Material Change in Business</w:t>
            </w:r>
          </w:p>
        </w:tc>
        <w:tc>
          <w:tcPr>
            <w:tcW w:w="6640" w:type="dxa"/>
            <w:vAlign w:val="bottom"/>
            <w:gridSpan w:val="18"/>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8.04</w:t>
            </w:r>
          </w:p>
        </w:tc>
        <w:tc>
          <w:tcPr>
            <w:tcW w:w="8720" w:type="dxa"/>
            <w:vAlign w:val="bottom"/>
            <w:gridSpan w:val="36"/>
          </w:tcPr>
          <w:p>
            <w:pPr>
              <w:spacing w:after="0" w:line="196" w:lineRule="exact"/>
              <w:rPr>
                <w:sz w:val="20"/>
                <w:szCs w:val="20"/>
                <w:color w:val="auto"/>
              </w:rPr>
            </w:pPr>
            <w:r>
              <w:rPr>
                <w:rFonts w:ascii="Arial" w:cs="Arial" w:eastAsia="Arial" w:hAnsi="Arial"/>
                <w:sz w:val="18"/>
                <w:szCs w:val="18"/>
                <w:color w:val="auto"/>
              </w:rPr>
              <w:t>Liens</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20"/>
        </w:trPr>
        <w:tc>
          <w:tcPr>
            <w:tcW w:w="1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80" w:type="dxa"/>
            <w:vAlign w:val="bottom"/>
            <w:gridSpan w:val="2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8.05</w:t>
            </w:r>
          </w:p>
        </w:tc>
        <w:tc>
          <w:tcPr>
            <w:tcW w:w="8720" w:type="dxa"/>
            <w:vAlign w:val="bottom"/>
            <w:gridSpan w:val="36"/>
          </w:tcPr>
          <w:p>
            <w:pPr>
              <w:spacing w:after="0" w:line="196" w:lineRule="exact"/>
              <w:rPr>
                <w:sz w:val="20"/>
                <w:szCs w:val="20"/>
                <w:color w:val="auto"/>
              </w:rPr>
            </w:pPr>
            <w:r>
              <w:rPr>
                <w:rFonts w:ascii="Arial" w:cs="Arial" w:eastAsia="Arial" w:hAnsi="Arial"/>
                <w:sz w:val="18"/>
                <w:szCs w:val="18"/>
                <w:color w:val="auto"/>
              </w:rPr>
              <w:t>Asset Dispositions</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8.06</w:t>
            </w:r>
          </w:p>
        </w:tc>
        <w:tc>
          <w:tcPr>
            <w:tcW w:w="940" w:type="dxa"/>
            <w:vAlign w:val="bottom"/>
            <w:tcBorders>
              <w:top w:val="single" w:sz="8" w:color="auto"/>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2"/>
              </w:rPr>
              <w:t>Investments</w:t>
            </w:r>
          </w:p>
        </w:tc>
        <w:tc>
          <w:tcPr>
            <w:tcW w:w="400" w:type="dxa"/>
            <w:vAlign w:val="bottom"/>
            <w:tcBorders>
              <w:top w:val="single" w:sz="8" w:color="auto"/>
            </w:tcBorders>
            <w:gridSpan w:val="3"/>
          </w:tcPr>
          <w:p>
            <w:pPr>
              <w:spacing w:after="0"/>
              <w:rPr>
                <w:sz w:val="17"/>
                <w:szCs w:val="17"/>
                <w:color w:val="auto"/>
              </w:rPr>
            </w:pPr>
          </w:p>
        </w:tc>
        <w:tc>
          <w:tcPr>
            <w:tcW w:w="7380" w:type="dxa"/>
            <w:vAlign w:val="bottom"/>
            <w:gridSpan w:val="26"/>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SECTION 8.07</w:t>
            </w:r>
          </w:p>
        </w:tc>
        <w:tc>
          <w:tcPr>
            <w:tcW w:w="132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88"/>
              </w:rPr>
              <w:t>Swap Agreements</w:t>
            </w:r>
          </w:p>
        </w:tc>
        <w:tc>
          <w:tcPr>
            <w:tcW w:w="7400" w:type="dxa"/>
            <w:vAlign w:val="bottom"/>
            <w:gridSpan w:val="27"/>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-9194800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-9194800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-2153920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-2153920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324" w:right="199" w:bottom="0" w:gutter="0" w:footer="0" w:header="0"/>
        </w:sectPr>
      </w:pPr>
    </w:p>
    <w:bookmarkStart w:id="13" w:name="page14"/>
    <w:bookmarkEnd w:id="13"/>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gridSpan w:val="3"/>
          </w:tcPr>
          <w:p>
            <w:pPr>
              <w:spacing w:after="0"/>
              <w:rPr>
                <w:sz w:val="20"/>
                <w:szCs w:val="20"/>
                <w:color w:val="auto"/>
              </w:rPr>
            </w:pPr>
            <w:r>
              <w:rPr>
                <w:rFonts w:ascii="Arial" w:cs="Arial" w:eastAsia="Arial" w:hAnsi="Arial"/>
                <w:sz w:val="18"/>
                <w:szCs w:val="18"/>
                <w:color w:val="auto"/>
              </w:rPr>
              <w:t>SECTION 8.08</w:t>
            </w:r>
          </w:p>
        </w:tc>
        <w:tc>
          <w:tcPr>
            <w:tcW w:w="1480" w:type="dxa"/>
            <w:vAlign w:val="bottom"/>
            <w:tcBorders>
              <w:bottom w:val="single" w:sz="8" w:color="auto"/>
            </w:tcBorders>
            <w:gridSpan w:val="15"/>
          </w:tcPr>
          <w:p>
            <w:pPr>
              <w:spacing w:after="0"/>
              <w:rPr>
                <w:sz w:val="20"/>
                <w:szCs w:val="20"/>
                <w:color w:val="auto"/>
              </w:rPr>
            </w:pPr>
            <w:r>
              <w:rPr>
                <w:rFonts w:ascii="Arial" w:cs="Arial" w:eastAsia="Arial" w:hAnsi="Arial"/>
                <w:sz w:val="18"/>
                <w:szCs w:val="18"/>
                <w:color w:val="auto"/>
                <w:w w:val="87"/>
              </w:rPr>
              <w:t>Restricted Payments</w:t>
            </w:r>
          </w:p>
        </w:tc>
        <w:tc>
          <w:tcPr>
            <w:tcW w:w="4740" w:type="dxa"/>
            <w:vAlign w:val="bottom"/>
            <w:gridSpan w:val="17"/>
          </w:tcPr>
          <w:p>
            <w:pPr>
              <w:spacing w:after="0"/>
              <w:rPr>
                <w:sz w:val="17"/>
                <w:szCs w:val="17"/>
                <w:color w:val="auto"/>
              </w:rPr>
            </w:pPr>
          </w:p>
        </w:tc>
        <w:tc>
          <w:tcPr>
            <w:tcW w:w="35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8.09</w:t>
            </w:r>
          </w:p>
        </w:tc>
        <w:tc>
          <w:tcPr>
            <w:tcW w:w="148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89"/>
              </w:rPr>
              <w:t>Financial Covenants</w:t>
            </w:r>
          </w:p>
        </w:tc>
        <w:tc>
          <w:tcPr>
            <w:tcW w:w="4740" w:type="dxa"/>
            <w:vAlign w:val="bottom"/>
            <w:gridSpan w:val="17"/>
          </w:tcPr>
          <w:p>
            <w:pPr>
              <w:spacing w:after="0"/>
              <w:rPr>
                <w:sz w:val="17"/>
                <w:szCs w:val="17"/>
                <w:color w:val="auto"/>
              </w:rPr>
            </w:pP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8.10</w:t>
            </w:r>
          </w:p>
        </w:tc>
        <w:tc>
          <w:tcPr>
            <w:tcW w:w="3040" w:type="dxa"/>
            <w:vAlign w:val="bottom"/>
            <w:tcBorders>
              <w:bottom w:val="single" w:sz="8" w:color="auto"/>
            </w:tcBorders>
            <w:gridSpan w:val="24"/>
          </w:tcPr>
          <w:p>
            <w:pPr>
              <w:spacing w:after="0" w:line="196" w:lineRule="exact"/>
              <w:rPr>
                <w:sz w:val="20"/>
                <w:szCs w:val="20"/>
                <w:color w:val="auto"/>
              </w:rPr>
            </w:pPr>
            <w:r>
              <w:rPr>
                <w:rFonts w:ascii="Arial" w:cs="Arial" w:eastAsia="Arial" w:hAnsi="Arial"/>
                <w:sz w:val="18"/>
                <w:szCs w:val="18"/>
                <w:color w:val="auto"/>
                <w:w w:val="94"/>
              </w:rPr>
              <w:t>Limitation on Transactions with Affiliates</w:t>
            </w:r>
          </w:p>
        </w:tc>
        <w:tc>
          <w:tcPr>
            <w:tcW w:w="3180" w:type="dxa"/>
            <w:vAlign w:val="bottom"/>
            <w:gridSpan w:val="8"/>
          </w:tcPr>
          <w:p>
            <w:pPr>
              <w:spacing w:after="0"/>
              <w:rPr>
                <w:sz w:val="17"/>
                <w:szCs w:val="17"/>
                <w:color w:val="auto"/>
              </w:rPr>
            </w:pP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8.11</w:t>
            </w:r>
          </w:p>
        </w:tc>
        <w:tc>
          <w:tcPr>
            <w:tcW w:w="170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0"/>
              </w:rPr>
              <w:t>Restrictive Agreements</w:t>
            </w:r>
          </w:p>
        </w:tc>
        <w:tc>
          <w:tcPr>
            <w:tcW w:w="4520" w:type="dxa"/>
            <w:vAlign w:val="bottom"/>
            <w:gridSpan w:val="13"/>
          </w:tcPr>
          <w:p>
            <w:pPr>
              <w:spacing w:after="0"/>
              <w:rPr>
                <w:sz w:val="17"/>
                <w:szCs w:val="17"/>
                <w:color w:val="auto"/>
              </w:rPr>
            </w:pP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8.12</w:t>
            </w:r>
          </w:p>
        </w:tc>
        <w:tc>
          <w:tcPr>
            <w:tcW w:w="118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87"/>
              </w:rPr>
              <w:t>Use of Proceeds</w:t>
            </w:r>
          </w:p>
        </w:tc>
        <w:tc>
          <w:tcPr>
            <w:tcW w:w="5040" w:type="dxa"/>
            <w:vAlign w:val="bottom"/>
            <w:gridSpan w:val="23"/>
          </w:tcPr>
          <w:p>
            <w:pPr>
              <w:spacing w:after="0"/>
              <w:rPr>
                <w:sz w:val="17"/>
                <w:szCs w:val="17"/>
                <w:color w:val="auto"/>
              </w:rPr>
            </w:pP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8.13</w:t>
            </w:r>
          </w:p>
        </w:tc>
        <w:tc>
          <w:tcPr>
            <w:tcW w:w="166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87"/>
              </w:rPr>
              <w:t>Changes to Fiscal Year</w:t>
            </w:r>
          </w:p>
        </w:tc>
        <w:tc>
          <w:tcPr>
            <w:tcW w:w="4560" w:type="dxa"/>
            <w:vAlign w:val="bottom"/>
            <w:gridSpan w:val="14"/>
          </w:tcPr>
          <w:p>
            <w:pPr>
              <w:spacing w:after="0"/>
              <w:rPr>
                <w:sz w:val="17"/>
                <w:szCs w:val="17"/>
                <w:color w:val="auto"/>
              </w:rPr>
            </w:pP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8.14</w:t>
            </w:r>
          </w:p>
        </w:tc>
        <w:tc>
          <w:tcPr>
            <w:tcW w:w="6220" w:type="dxa"/>
            <w:vAlign w:val="bottom"/>
            <w:gridSpan w:val="32"/>
          </w:tcPr>
          <w:p>
            <w:pPr>
              <w:spacing w:after="0" w:line="196" w:lineRule="exact"/>
              <w:rPr>
                <w:sz w:val="20"/>
                <w:szCs w:val="20"/>
                <w:color w:val="auto"/>
              </w:rPr>
            </w:pPr>
            <w:r>
              <w:rPr>
                <w:rFonts w:ascii="Arial" w:cs="Arial" w:eastAsia="Arial" w:hAnsi="Arial"/>
                <w:sz w:val="18"/>
                <w:szCs w:val="18"/>
                <w:color w:val="auto"/>
              </w:rPr>
              <w:t>Amendments to Documents Governing Certain Indebtedness</w:t>
            </w: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8.15</w:t>
            </w:r>
          </w:p>
        </w:tc>
        <w:tc>
          <w:tcPr>
            <w:tcW w:w="4380" w:type="dxa"/>
            <w:vAlign w:val="bottom"/>
            <w:tcBorders>
              <w:top w:val="single" w:sz="8" w:color="auto"/>
            </w:tcBorders>
            <w:gridSpan w:val="26"/>
          </w:tcPr>
          <w:p>
            <w:pPr>
              <w:spacing w:after="0" w:line="196" w:lineRule="exact"/>
              <w:rPr>
                <w:sz w:val="20"/>
                <w:szCs w:val="20"/>
                <w:color w:val="auto"/>
              </w:rPr>
            </w:pPr>
            <w:r>
              <w:rPr>
                <w:rFonts w:ascii="Arial" w:cs="Arial" w:eastAsia="Arial" w:hAnsi="Arial"/>
                <w:sz w:val="18"/>
                <w:szCs w:val="18"/>
                <w:color w:val="auto"/>
              </w:rPr>
              <w:t>Limit on Credit Support Instruments</w:t>
            </w:r>
          </w:p>
        </w:tc>
        <w:tc>
          <w:tcPr>
            <w:tcW w:w="1840" w:type="dxa"/>
            <w:vAlign w:val="bottom"/>
            <w:gridSpan w:val="6"/>
          </w:tcPr>
          <w:p>
            <w:pPr>
              <w:spacing w:after="0"/>
              <w:rPr>
                <w:sz w:val="17"/>
                <w:szCs w:val="17"/>
                <w:color w:val="auto"/>
              </w:rPr>
            </w:pP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43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180" w:type="dxa"/>
            <w:vAlign w:val="bottom"/>
            <w:gridSpan w:val="8"/>
          </w:tcPr>
          <w:p>
            <w:pPr>
              <w:jc w:val="center"/>
              <w:ind w:right="1280"/>
              <w:spacing w:after="0"/>
              <w:rPr>
                <w:sz w:val="20"/>
                <w:szCs w:val="20"/>
                <w:color w:val="auto"/>
              </w:rPr>
            </w:pPr>
            <w:r>
              <w:rPr>
                <w:rFonts w:ascii="Arial" w:cs="Arial" w:eastAsia="Arial" w:hAnsi="Arial"/>
                <w:sz w:val="18"/>
                <w:szCs w:val="18"/>
                <w:color w:val="auto"/>
                <w:w w:val="99"/>
              </w:rPr>
              <w:t>ARTICLE IX</w:t>
            </w:r>
          </w:p>
        </w:tc>
        <w:tc>
          <w:tcPr>
            <w:tcW w:w="3520" w:type="dxa"/>
            <w:vAlign w:val="bottom"/>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gridSpan w:val="10"/>
          </w:tcPr>
          <w:p>
            <w:pPr>
              <w:jc w:val="center"/>
              <w:ind w:right="580"/>
              <w:spacing w:after="0"/>
              <w:rPr>
                <w:sz w:val="20"/>
                <w:szCs w:val="20"/>
                <w:color w:val="auto"/>
              </w:rPr>
            </w:pPr>
            <w:r>
              <w:rPr>
                <w:rFonts w:ascii="Arial" w:cs="Arial" w:eastAsia="Arial" w:hAnsi="Arial"/>
                <w:sz w:val="18"/>
                <w:szCs w:val="18"/>
                <w:color w:val="auto"/>
                <w:w w:val="96"/>
              </w:rPr>
              <w:t>EVENTS OF DEFAULT AND REMEDIES</w:t>
            </w:r>
          </w:p>
        </w:tc>
        <w:tc>
          <w:tcPr>
            <w:tcW w:w="3520" w:type="dxa"/>
            <w:vAlign w:val="bottom"/>
          </w:tcPr>
          <w:p>
            <w:pPr>
              <w:spacing w:after="0"/>
              <w:rPr>
                <w:sz w:val="20"/>
                <w:szCs w:val="20"/>
                <w:color w:val="auto"/>
              </w:rPr>
            </w:pPr>
          </w:p>
        </w:tc>
      </w:tr>
      <w:tr>
        <w:trPr>
          <w:trHeight w:val="392"/>
        </w:trPr>
        <w:tc>
          <w:tcPr>
            <w:tcW w:w="1720" w:type="dxa"/>
            <w:vAlign w:val="bottom"/>
            <w:gridSpan w:val="3"/>
          </w:tcPr>
          <w:p>
            <w:pPr>
              <w:spacing w:after="0"/>
              <w:rPr>
                <w:sz w:val="20"/>
                <w:szCs w:val="20"/>
                <w:color w:val="auto"/>
              </w:rPr>
            </w:pPr>
            <w:r>
              <w:rPr>
                <w:rFonts w:ascii="Arial" w:cs="Arial" w:eastAsia="Arial" w:hAnsi="Arial"/>
                <w:sz w:val="18"/>
                <w:szCs w:val="18"/>
                <w:color w:val="auto"/>
              </w:rPr>
              <w:t>SECTION 9.01</w:t>
            </w:r>
          </w:p>
        </w:tc>
        <w:tc>
          <w:tcPr>
            <w:tcW w:w="2340" w:type="dxa"/>
            <w:vAlign w:val="bottom"/>
            <w:tcBorders>
              <w:bottom w:val="single" w:sz="8" w:color="auto"/>
            </w:tcBorders>
            <w:gridSpan w:val="22"/>
          </w:tcPr>
          <w:p>
            <w:pPr>
              <w:spacing w:after="0"/>
              <w:rPr>
                <w:sz w:val="20"/>
                <w:szCs w:val="20"/>
                <w:color w:val="auto"/>
              </w:rPr>
            </w:pPr>
            <w:r>
              <w:rPr>
                <w:rFonts w:ascii="Arial" w:cs="Arial" w:eastAsia="Arial" w:hAnsi="Arial"/>
                <w:sz w:val="18"/>
                <w:szCs w:val="18"/>
                <w:color w:val="auto"/>
                <w:w w:val="89"/>
              </w:rPr>
              <w:t>Events of Default and Remedies</w:t>
            </w:r>
          </w:p>
        </w:tc>
        <w:tc>
          <w:tcPr>
            <w:tcW w:w="3880" w:type="dxa"/>
            <w:vAlign w:val="bottom"/>
            <w:gridSpan w:val="10"/>
          </w:tcPr>
          <w:p>
            <w:pPr>
              <w:spacing w:after="0"/>
              <w:rPr>
                <w:sz w:val="24"/>
                <w:szCs w:val="24"/>
                <w:color w:val="auto"/>
              </w:rPr>
            </w:pPr>
          </w:p>
        </w:tc>
        <w:tc>
          <w:tcPr>
            <w:tcW w:w="35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9.02</w:t>
            </w:r>
          </w:p>
        </w:tc>
        <w:tc>
          <w:tcPr>
            <w:tcW w:w="108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2"/>
              </w:rPr>
              <w:t>Right of Setoff</w:t>
            </w:r>
          </w:p>
        </w:tc>
        <w:tc>
          <w:tcPr>
            <w:tcW w:w="5140" w:type="dxa"/>
            <w:vAlign w:val="bottom"/>
            <w:gridSpan w:val="26"/>
          </w:tcPr>
          <w:p>
            <w:pPr>
              <w:spacing w:after="0"/>
              <w:rPr>
                <w:sz w:val="17"/>
                <w:szCs w:val="17"/>
                <w:color w:val="auto"/>
              </w:rPr>
            </w:pP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9.03</w:t>
            </w:r>
          </w:p>
        </w:tc>
        <w:tc>
          <w:tcPr>
            <w:tcW w:w="6220" w:type="dxa"/>
            <w:vAlign w:val="bottom"/>
            <w:gridSpan w:val="32"/>
          </w:tcPr>
          <w:p>
            <w:pPr>
              <w:spacing w:after="0" w:line="196" w:lineRule="exact"/>
              <w:rPr>
                <w:sz w:val="20"/>
                <w:szCs w:val="20"/>
                <w:color w:val="auto"/>
              </w:rPr>
            </w:pPr>
            <w:r>
              <w:rPr>
                <w:rFonts w:ascii="Arial" w:cs="Arial" w:eastAsia="Arial" w:hAnsi="Arial"/>
                <w:sz w:val="18"/>
                <w:szCs w:val="18"/>
                <w:color w:val="auto"/>
              </w:rPr>
              <w:t>Other Remedies</w:t>
            </w: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9.04</w:t>
            </w:r>
          </w:p>
        </w:tc>
        <w:tc>
          <w:tcPr>
            <w:tcW w:w="4660" w:type="dxa"/>
            <w:vAlign w:val="bottom"/>
            <w:tcBorders>
              <w:bottom w:val="single" w:sz="8" w:color="auto"/>
            </w:tcBorders>
            <w:gridSpan w:val="29"/>
          </w:tcPr>
          <w:p>
            <w:pPr>
              <w:spacing w:after="0" w:line="196" w:lineRule="exact"/>
              <w:rPr>
                <w:sz w:val="20"/>
                <w:szCs w:val="20"/>
                <w:color w:val="auto"/>
              </w:rPr>
            </w:pPr>
            <w:r>
              <w:rPr>
                <w:rFonts w:ascii="Arial" w:cs="Arial" w:eastAsia="Arial" w:hAnsi="Arial"/>
                <w:sz w:val="18"/>
                <w:szCs w:val="18"/>
                <w:color w:val="auto"/>
                <w:w w:val="94"/>
              </w:rPr>
              <w:t>Application of Moneys During Continuation of Event of Default</w:t>
            </w:r>
          </w:p>
        </w:tc>
        <w:tc>
          <w:tcPr>
            <w:tcW w:w="1560" w:type="dxa"/>
            <w:vAlign w:val="bottom"/>
            <w:gridSpan w:val="3"/>
          </w:tcPr>
          <w:p>
            <w:pPr>
              <w:spacing w:after="0"/>
              <w:rPr>
                <w:sz w:val="17"/>
                <w:szCs w:val="17"/>
                <w:color w:val="auto"/>
              </w:rPr>
            </w:pP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43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80" w:type="dxa"/>
            <w:vAlign w:val="bottom"/>
            <w:gridSpan w:val="8"/>
          </w:tcPr>
          <w:p>
            <w:pPr>
              <w:jc w:val="center"/>
              <w:ind w:right="1260"/>
              <w:spacing w:after="0"/>
              <w:rPr>
                <w:sz w:val="20"/>
                <w:szCs w:val="20"/>
                <w:color w:val="auto"/>
              </w:rPr>
            </w:pPr>
            <w:r>
              <w:rPr>
                <w:rFonts w:ascii="Arial" w:cs="Arial" w:eastAsia="Arial" w:hAnsi="Arial"/>
                <w:sz w:val="18"/>
                <w:szCs w:val="18"/>
                <w:color w:val="auto"/>
                <w:w w:val="98"/>
              </w:rPr>
              <w:t>ARTICLE X</w:t>
            </w:r>
          </w:p>
        </w:tc>
        <w:tc>
          <w:tcPr>
            <w:tcW w:w="3520" w:type="dxa"/>
            <w:vAlign w:val="bottom"/>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80" w:type="dxa"/>
            <w:vAlign w:val="bottom"/>
            <w:gridSpan w:val="9"/>
          </w:tcPr>
          <w:p>
            <w:pPr>
              <w:jc w:val="center"/>
              <w:ind w:right="880"/>
              <w:spacing w:after="0"/>
              <w:rPr>
                <w:sz w:val="20"/>
                <w:szCs w:val="20"/>
                <w:color w:val="auto"/>
              </w:rPr>
            </w:pPr>
            <w:r>
              <w:rPr>
                <w:rFonts w:ascii="Arial" w:cs="Arial" w:eastAsia="Arial" w:hAnsi="Arial"/>
                <w:sz w:val="18"/>
                <w:szCs w:val="18"/>
                <w:color w:val="auto"/>
                <w:w w:val="99"/>
              </w:rPr>
              <w:t>ADMINISTRATIVE AGENT</w:t>
            </w:r>
          </w:p>
        </w:tc>
        <w:tc>
          <w:tcPr>
            <w:tcW w:w="3520" w:type="dxa"/>
            <w:vAlign w:val="bottom"/>
          </w:tcPr>
          <w:p>
            <w:pPr>
              <w:spacing w:after="0"/>
              <w:rPr>
                <w:sz w:val="20"/>
                <w:szCs w:val="20"/>
                <w:color w:val="auto"/>
              </w:rPr>
            </w:pPr>
          </w:p>
        </w:tc>
      </w:tr>
      <w:tr>
        <w:trPr>
          <w:trHeight w:val="4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80" w:type="dxa"/>
            <w:vAlign w:val="bottom"/>
            <w:gridSpan w:val="8"/>
          </w:tcPr>
          <w:p>
            <w:pPr>
              <w:jc w:val="center"/>
              <w:ind w:right="1280"/>
              <w:spacing w:after="0"/>
              <w:rPr>
                <w:sz w:val="20"/>
                <w:szCs w:val="20"/>
                <w:color w:val="auto"/>
              </w:rPr>
            </w:pPr>
            <w:r>
              <w:rPr>
                <w:rFonts w:ascii="Arial" w:cs="Arial" w:eastAsia="Arial" w:hAnsi="Arial"/>
                <w:sz w:val="18"/>
                <w:szCs w:val="18"/>
                <w:color w:val="auto"/>
                <w:w w:val="99"/>
              </w:rPr>
              <w:t>ARTICLE XI</w:t>
            </w:r>
          </w:p>
        </w:tc>
        <w:tc>
          <w:tcPr>
            <w:tcW w:w="3520" w:type="dxa"/>
            <w:vAlign w:val="bottom"/>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80" w:type="dxa"/>
            <w:vAlign w:val="bottom"/>
            <w:gridSpan w:val="8"/>
          </w:tcPr>
          <w:p>
            <w:pPr>
              <w:jc w:val="center"/>
              <w:ind w:right="1280"/>
              <w:spacing w:after="0"/>
              <w:rPr>
                <w:sz w:val="20"/>
                <w:szCs w:val="20"/>
                <w:color w:val="auto"/>
              </w:rPr>
            </w:pPr>
            <w:r>
              <w:rPr>
                <w:rFonts w:ascii="Arial" w:cs="Arial" w:eastAsia="Arial" w:hAnsi="Arial"/>
                <w:sz w:val="18"/>
                <w:szCs w:val="18"/>
                <w:color w:val="auto"/>
                <w:w w:val="97"/>
              </w:rPr>
              <w:t>MISCELLANEOUS</w:t>
            </w:r>
          </w:p>
        </w:tc>
        <w:tc>
          <w:tcPr>
            <w:tcW w:w="3520" w:type="dxa"/>
            <w:vAlign w:val="bottom"/>
          </w:tcPr>
          <w:p>
            <w:pPr>
              <w:spacing w:after="0"/>
              <w:rPr>
                <w:sz w:val="20"/>
                <w:szCs w:val="20"/>
                <w:color w:val="auto"/>
              </w:rPr>
            </w:pPr>
          </w:p>
        </w:tc>
      </w:tr>
      <w:tr>
        <w:trPr>
          <w:trHeight w:val="392"/>
        </w:trPr>
        <w:tc>
          <w:tcPr>
            <w:tcW w:w="1720" w:type="dxa"/>
            <w:vAlign w:val="bottom"/>
            <w:gridSpan w:val="3"/>
          </w:tcPr>
          <w:p>
            <w:pPr>
              <w:spacing w:after="0"/>
              <w:rPr>
                <w:sz w:val="20"/>
                <w:szCs w:val="20"/>
                <w:color w:val="auto"/>
              </w:rPr>
            </w:pPr>
            <w:r>
              <w:rPr>
                <w:rFonts w:ascii="Arial" w:cs="Arial" w:eastAsia="Arial" w:hAnsi="Arial"/>
                <w:sz w:val="18"/>
                <w:szCs w:val="18"/>
                <w:color w:val="auto"/>
              </w:rPr>
              <w:t>SECTION 11.01</w:t>
            </w:r>
          </w:p>
        </w:tc>
        <w:tc>
          <w:tcPr>
            <w:tcW w:w="6220" w:type="dxa"/>
            <w:vAlign w:val="bottom"/>
            <w:tcBorders>
              <w:bottom w:val="single" w:sz="8" w:color="auto"/>
            </w:tcBorders>
            <w:gridSpan w:val="32"/>
          </w:tcPr>
          <w:p>
            <w:pPr>
              <w:spacing w:after="0"/>
              <w:rPr>
                <w:sz w:val="20"/>
                <w:szCs w:val="20"/>
                <w:color w:val="auto"/>
              </w:rPr>
            </w:pPr>
            <w:r>
              <w:rPr>
                <w:rFonts w:ascii="Arial" w:cs="Arial" w:eastAsia="Arial" w:hAnsi="Arial"/>
                <w:sz w:val="18"/>
                <w:szCs w:val="18"/>
                <w:color w:val="auto"/>
                <w:w w:val="90"/>
              </w:rPr>
              <w:t>Waiver; Amendments; Joinder; Removal of Certain Borrowers; Release of Guarantors</w:t>
            </w:r>
          </w:p>
        </w:tc>
        <w:tc>
          <w:tcPr>
            <w:tcW w:w="35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11.02</w:t>
            </w:r>
          </w:p>
        </w:tc>
        <w:tc>
          <w:tcPr>
            <w:tcW w:w="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9"/>
              </w:rPr>
              <w:t>Notices</w:t>
            </w:r>
          </w:p>
        </w:tc>
        <w:tc>
          <w:tcPr>
            <w:tcW w:w="5660" w:type="dxa"/>
            <w:vAlign w:val="bottom"/>
            <w:gridSpan w:val="31"/>
          </w:tcPr>
          <w:p>
            <w:pPr>
              <w:spacing w:after="0"/>
              <w:rPr>
                <w:sz w:val="17"/>
                <w:szCs w:val="17"/>
                <w:color w:val="auto"/>
              </w:rPr>
            </w:pP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11.03</w:t>
            </w:r>
          </w:p>
        </w:tc>
        <w:tc>
          <w:tcPr>
            <w:tcW w:w="106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86"/>
              </w:rPr>
              <w:t>Expenses, Etc.</w:t>
            </w:r>
          </w:p>
        </w:tc>
        <w:tc>
          <w:tcPr>
            <w:tcW w:w="5160" w:type="dxa"/>
            <w:vAlign w:val="bottom"/>
            <w:gridSpan w:val="27"/>
          </w:tcPr>
          <w:p>
            <w:pPr>
              <w:spacing w:after="0"/>
              <w:rPr>
                <w:sz w:val="17"/>
                <w:szCs w:val="17"/>
                <w:color w:val="auto"/>
              </w:rPr>
            </w:pP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11.04</w:t>
            </w:r>
          </w:p>
        </w:tc>
        <w:tc>
          <w:tcPr>
            <w:tcW w:w="6220" w:type="dxa"/>
            <w:vAlign w:val="bottom"/>
            <w:gridSpan w:val="32"/>
          </w:tcPr>
          <w:p>
            <w:pPr>
              <w:spacing w:after="0" w:line="196" w:lineRule="exact"/>
              <w:rPr>
                <w:sz w:val="20"/>
                <w:szCs w:val="20"/>
                <w:color w:val="auto"/>
              </w:rPr>
            </w:pPr>
            <w:r>
              <w:rPr>
                <w:rFonts w:ascii="Arial" w:cs="Arial" w:eastAsia="Arial" w:hAnsi="Arial"/>
                <w:sz w:val="18"/>
                <w:szCs w:val="18"/>
                <w:color w:val="auto"/>
              </w:rPr>
              <w:t>Indemnity</w:t>
            </w: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11.05</w:t>
            </w:r>
          </w:p>
        </w:tc>
        <w:tc>
          <w:tcPr>
            <w:tcW w:w="172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86"/>
              </w:rPr>
              <w:t>Successors and Assigns</w:t>
            </w:r>
          </w:p>
        </w:tc>
        <w:tc>
          <w:tcPr>
            <w:tcW w:w="4500" w:type="dxa"/>
            <w:vAlign w:val="bottom"/>
            <w:gridSpan w:val="12"/>
          </w:tcPr>
          <w:p>
            <w:pPr>
              <w:spacing w:after="0"/>
              <w:rPr>
                <w:sz w:val="17"/>
                <w:szCs w:val="17"/>
                <w:color w:val="auto"/>
              </w:rPr>
            </w:pP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11.06</w:t>
            </w:r>
          </w:p>
        </w:tc>
        <w:tc>
          <w:tcPr>
            <w:tcW w:w="110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5"/>
              </w:rPr>
              <w:t>Confidentiality</w:t>
            </w:r>
          </w:p>
        </w:tc>
        <w:tc>
          <w:tcPr>
            <w:tcW w:w="5120" w:type="dxa"/>
            <w:vAlign w:val="bottom"/>
            <w:gridSpan w:val="25"/>
          </w:tcPr>
          <w:p>
            <w:pPr>
              <w:spacing w:after="0"/>
              <w:rPr>
                <w:sz w:val="17"/>
                <w:szCs w:val="17"/>
                <w:color w:val="auto"/>
              </w:rPr>
            </w:pP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11.07</w:t>
            </w:r>
          </w:p>
        </w:tc>
        <w:tc>
          <w:tcPr>
            <w:tcW w:w="6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3"/>
              </w:rPr>
              <w:t>Survival</w:t>
            </w:r>
          </w:p>
        </w:tc>
        <w:tc>
          <w:tcPr>
            <w:tcW w:w="5600" w:type="dxa"/>
            <w:vAlign w:val="bottom"/>
            <w:gridSpan w:val="30"/>
          </w:tcPr>
          <w:p>
            <w:pPr>
              <w:spacing w:after="0"/>
              <w:rPr>
                <w:sz w:val="17"/>
                <w:szCs w:val="17"/>
                <w:color w:val="auto"/>
              </w:rPr>
            </w:pP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11.08</w:t>
            </w:r>
          </w:p>
        </w:tc>
        <w:tc>
          <w:tcPr>
            <w:tcW w:w="116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2"/>
              </w:rPr>
              <w:t>Governing Law</w:t>
            </w:r>
          </w:p>
        </w:tc>
        <w:tc>
          <w:tcPr>
            <w:tcW w:w="5060" w:type="dxa"/>
            <w:vAlign w:val="bottom"/>
            <w:gridSpan w:val="24"/>
          </w:tcPr>
          <w:p>
            <w:pPr>
              <w:spacing w:after="0"/>
              <w:rPr>
                <w:sz w:val="17"/>
                <w:szCs w:val="17"/>
                <w:color w:val="auto"/>
              </w:rPr>
            </w:pP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11.09</w:t>
            </w:r>
          </w:p>
        </w:tc>
        <w:tc>
          <w:tcPr>
            <w:tcW w:w="6220" w:type="dxa"/>
            <w:vAlign w:val="bottom"/>
            <w:gridSpan w:val="32"/>
          </w:tcPr>
          <w:p>
            <w:pPr>
              <w:spacing w:after="0" w:line="196" w:lineRule="exact"/>
              <w:rPr>
                <w:sz w:val="20"/>
                <w:szCs w:val="20"/>
                <w:color w:val="auto"/>
              </w:rPr>
            </w:pPr>
            <w:r>
              <w:rPr>
                <w:rFonts w:ascii="Arial" w:cs="Arial" w:eastAsia="Arial" w:hAnsi="Arial"/>
                <w:sz w:val="18"/>
                <w:szCs w:val="18"/>
                <w:color w:val="auto"/>
              </w:rPr>
              <w:t>Independence of Covenants</w:t>
            </w: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6"/>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11.10</w:t>
            </w:r>
          </w:p>
        </w:tc>
        <w:tc>
          <w:tcPr>
            <w:tcW w:w="6220" w:type="dxa"/>
            <w:vAlign w:val="bottom"/>
            <w:gridSpan w:val="32"/>
          </w:tcPr>
          <w:p>
            <w:pPr>
              <w:spacing w:after="0" w:line="196" w:lineRule="exact"/>
              <w:rPr>
                <w:sz w:val="20"/>
                <w:szCs w:val="20"/>
                <w:color w:val="auto"/>
              </w:rPr>
            </w:pPr>
            <w:r>
              <w:rPr>
                <w:rFonts w:ascii="Arial" w:cs="Arial" w:eastAsia="Arial" w:hAnsi="Arial"/>
                <w:sz w:val="18"/>
                <w:szCs w:val="18"/>
                <w:color w:val="auto"/>
              </w:rPr>
              <w:t>Counterparts; Integration; Effectiveness; Electronic Execution</w:t>
            </w: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453"/>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gridSpan w:val="3"/>
          </w:tcPr>
          <w:p>
            <w:pPr>
              <w:jc w:val="center"/>
              <w:ind w:left="370"/>
              <w:spacing w:after="0"/>
              <w:rPr>
                <w:sz w:val="20"/>
                <w:szCs w:val="20"/>
                <w:color w:val="auto"/>
              </w:rPr>
            </w:pPr>
            <w:r>
              <w:rPr>
                <w:rFonts w:ascii="Arial" w:cs="Arial" w:eastAsia="Arial" w:hAnsi="Arial"/>
                <w:sz w:val="18"/>
                <w:szCs w:val="18"/>
                <w:color w:val="auto"/>
              </w:rPr>
              <w:t>iii</w:t>
            </w:r>
          </w:p>
        </w:tc>
        <w:tc>
          <w:tcPr>
            <w:tcW w:w="1740" w:type="dxa"/>
            <w:vAlign w:val="bottom"/>
            <w:gridSpan w:val="5"/>
          </w:tcPr>
          <w:p>
            <w:pPr>
              <w:spacing w:after="0"/>
              <w:rPr>
                <w:sz w:val="24"/>
                <w:szCs w:val="24"/>
                <w:color w:val="auto"/>
              </w:rPr>
            </w:pPr>
          </w:p>
        </w:tc>
        <w:tc>
          <w:tcPr>
            <w:tcW w:w="3520" w:type="dxa"/>
            <w:vAlign w:val="bottom"/>
          </w:tcPr>
          <w:p>
            <w:pPr>
              <w:spacing w:after="0"/>
              <w:rPr>
                <w:sz w:val="24"/>
                <w:szCs w:val="24"/>
                <w:color w:val="auto"/>
              </w:rPr>
            </w:pPr>
          </w:p>
        </w:tc>
      </w:tr>
      <w:tr>
        <w:trPr>
          <w:trHeight w:val="132"/>
        </w:trPr>
        <w:tc>
          <w:tcPr>
            <w:tcW w:w="8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3520" w:type="dxa"/>
            <w:vAlign w:val="bottom"/>
            <w:tcBorders>
              <w:bottom w:val="single" w:sz="8" w:color="808080"/>
            </w:tcBorders>
          </w:tcPr>
          <w:p>
            <w:pPr>
              <w:spacing w:after="0"/>
              <w:rPr>
                <w:sz w:val="11"/>
                <w:szCs w:val="11"/>
                <w:color w:val="auto"/>
              </w:rPr>
            </w:pPr>
          </w:p>
        </w:tc>
      </w:tr>
      <w:tr>
        <w:trPr>
          <w:trHeight w:val="740"/>
        </w:trPr>
        <w:tc>
          <w:tcPr>
            <w:tcW w:w="1720" w:type="dxa"/>
            <w:vAlign w:val="bottom"/>
            <w:gridSpan w:val="3"/>
          </w:tcPr>
          <w:p>
            <w:pPr>
              <w:spacing w:after="0"/>
              <w:rPr>
                <w:sz w:val="20"/>
                <w:szCs w:val="20"/>
                <w:color w:val="auto"/>
              </w:rPr>
            </w:pPr>
            <w:r>
              <w:rPr>
                <w:rFonts w:ascii="Arial" w:cs="Arial" w:eastAsia="Arial" w:hAnsi="Arial"/>
                <w:sz w:val="18"/>
                <w:szCs w:val="18"/>
                <w:color w:val="auto"/>
              </w:rPr>
              <w:t>SECTION 11.11</w:t>
            </w:r>
          </w:p>
        </w:tc>
        <w:tc>
          <w:tcPr>
            <w:tcW w:w="8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Severability</w:t>
            </w:r>
          </w:p>
        </w:tc>
        <w:tc>
          <w:tcPr>
            <w:tcW w:w="5340" w:type="dxa"/>
            <w:vAlign w:val="bottom"/>
            <w:gridSpan w:val="28"/>
          </w:tcPr>
          <w:p>
            <w:pPr>
              <w:spacing w:after="0"/>
              <w:rPr>
                <w:sz w:val="24"/>
                <w:szCs w:val="24"/>
                <w:color w:val="auto"/>
              </w:rPr>
            </w:pPr>
          </w:p>
        </w:tc>
        <w:tc>
          <w:tcPr>
            <w:tcW w:w="35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11.12</w:t>
            </w:r>
          </w:p>
        </w:tc>
        <w:tc>
          <w:tcPr>
            <w:tcW w:w="4860" w:type="dxa"/>
            <w:vAlign w:val="bottom"/>
            <w:tcBorders>
              <w:bottom w:val="single" w:sz="8" w:color="auto"/>
            </w:tcBorders>
            <w:gridSpan w:val="30"/>
          </w:tcPr>
          <w:p>
            <w:pPr>
              <w:spacing w:after="0" w:line="196" w:lineRule="exact"/>
              <w:rPr>
                <w:sz w:val="20"/>
                <w:szCs w:val="20"/>
                <w:color w:val="auto"/>
              </w:rPr>
            </w:pPr>
            <w:r>
              <w:rPr>
                <w:rFonts w:ascii="Arial" w:cs="Arial" w:eastAsia="Arial" w:hAnsi="Arial"/>
                <w:sz w:val="18"/>
                <w:szCs w:val="18"/>
                <w:color w:val="auto"/>
                <w:w w:val="90"/>
              </w:rPr>
              <w:t>Conflicts Between This Agreement and the Other Loan Documents</w:t>
            </w:r>
          </w:p>
        </w:tc>
        <w:tc>
          <w:tcPr>
            <w:tcW w:w="1360" w:type="dxa"/>
            <w:vAlign w:val="bottom"/>
            <w:gridSpan w:val="2"/>
          </w:tcPr>
          <w:p>
            <w:pPr>
              <w:spacing w:after="0"/>
              <w:rPr>
                <w:sz w:val="17"/>
                <w:szCs w:val="17"/>
                <w:color w:val="auto"/>
              </w:rPr>
            </w:pP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147</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11.13</w:t>
            </w:r>
          </w:p>
        </w:tc>
        <w:tc>
          <w:tcPr>
            <w:tcW w:w="6220" w:type="dxa"/>
            <w:vAlign w:val="bottom"/>
            <w:gridSpan w:val="32"/>
          </w:tcPr>
          <w:p>
            <w:pPr>
              <w:spacing w:after="0" w:line="196" w:lineRule="exact"/>
              <w:rPr>
                <w:sz w:val="20"/>
                <w:szCs w:val="20"/>
                <w:color w:val="auto"/>
              </w:rPr>
            </w:pPr>
            <w:r>
              <w:rPr>
                <w:rFonts w:ascii="Arial" w:cs="Arial" w:eastAsia="Arial" w:hAnsi="Arial"/>
                <w:sz w:val="18"/>
                <w:szCs w:val="18"/>
                <w:color w:val="auto"/>
              </w:rPr>
              <w:t>Headings</w:t>
            </w: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147</w:t>
            </w: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gridSpan w:val="8"/>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11.14</w:t>
            </w:r>
          </w:p>
        </w:tc>
        <w:tc>
          <w:tcPr>
            <w:tcW w:w="6220" w:type="dxa"/>
            <w:vAlign w:val="bottom"/>
            <w:gridSpan w:val="32"/>
          </w:tcPr>
          <w:p>
            <w:pPr>
              <w:spacing w:after="0" w:line="196" w:lineRule="exact"/>
              <w:rPr>
                <w:sz w:val="20"/>
                <w:szCs w:val="20"/>
                <w:color w:val="auto"/>
              </w:rPr>
            </w:pPr>
            <w:r>
              <w:rPr>
                <w:rFonts w:ascii="Arial" w:cs="Arial" w:eastAsia="Arial" w:hAnsi="Arial"/>
                <w:sz w:val="18"/>
                <w:szCs w:val="18"/>
                <w:color w:val="auto"/>
              </w:rPr>
              <w:t>Limitation of Interest</w:t>
            </w: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147</w:t>
            </w: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gridSpan w:val="10"/>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gridSpan w:val="8"/>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11.15</w:t>
            </w:r>
          </w:p>
        </w:tc>
        <w:tc>
          <w:tcPr>
            <w:tcW w:w="416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8"/>
                <w:szCs w:val="18"/>
                <w:color w:val="auto"/>
                <w:w w:val="89"/>
              </w:rPr>
              <w:t>Submission to Jurisdiction; Consent to Service of Process</w:t>
            </w:r>
          </w:p>
        </w:tc>
        <w:tc>
          <w:tcPr>
            <w:tcW w:w="2060" w:type="dxa"/>
            <w:vAlign w:val="bottom"/>
            <w:gridSpan w:val="7"/>
          </w:tcPr>
          <w:p>
            <w:pPr>
              <w:spacing w:after="0"/>
              <w:rPr>
                <w:sz w:val="17"/>
                <w:szCs w:val="17"/>
                <w:color w:val="auto"/>
              </w:rPr>
            </w:pP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11.16</w:t>
            </w:r>
          </w:p>
        </w:tc>
        <w:tc>
          <w:tcPr>
            <w:tcW w:w="146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92"/>
              </w:rPr>
              <w:t>Waiver of Jury Trial</w:t>
            </w:r>
          </w:p>
        </w:tc>
        <w:tc>
          <w:tcPr>
            <w:tcW w:w="4760" w:type="dxa"/>
            <w:vAlign w:val="bottom"/>
            <w:gridSpan w:val="18"/>
          </w:tcPr>
          <w:p>
            <w:pPr>
              <w:spacing w:after="0"/>
              <w:rPr>
                <w:sz w:val="17"/>
                <w:szCs w:val="17"/>
                <w:color w:val="auto"/>
              </w:rPr>
            </w:pP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11.17</w:t>
            </w:r>
          </w:p>
        </w:tc>
        <w:tc>
          <w:tcPr>
            <w:tcW w:w="142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9"/>
              </w:rPr>
              <w:t>Judgment Currency</w:t>
            </w:r>
          </w:p>
        </w:tc>
        <w:tc>
          <w:tcPr>
            <w:tcW w:w="4800" w:type="dxa"/>
            <w:vAlign w:val="bottom"/>
            <w:gridSpan w:val="20"/>
          </w:tcPr>
          <w:p>
            <w:pPr>
              <w:spacing w:after="0"/>
              <w:rPr>
                <w:sz w:val="17"/>
                <w:szCs w:val="17"/>
                <w:color w:val="auto"/>
              </w:rPr>
            </w:pP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11.18</w:t>
            </w:r>
          </w:p>
        </w:tc>
        <w:tc>
          <w:tcPr>
            <w:tcW w:w="120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4"/>
              </w:rPr>
              <w:t>USA Patriot Act</w:t>
            </w:r>
          </w:p>
        </w:tc>
        <w:tc>
          <w:tcPr>
            <w:tcW w:w="5020" w:type="dxa"/>
            <w:vAlign w:val="bottom"/>
            <w:gridSpan w:val="22"/>
          </w:tcPr>
          <w:p>
            <w:pPr>
              <w:spacing w:after="0"/>
              <w:rPr>
                <w:sz w:val="17"/>
                <w:szCs w:val="17"/>
                <w:color w:val="auto"/>
              </w:rPr>
            </w:pP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11.19</w:t>
            </w:r>
          </w:p>
        </w:tc>
        <w:tc>
          <w:tcPr>
            <w:tcW w:w="6220" w:type="dxa"/>
            <w:vAlign w:val="bottom"/>
            <w:gridSpan w:val="32"/>
          </w:tcPr>
          <w:p>
            <w:pPr>
              <w:spacing w:after="0" w:line="196" w:lineRule="exact"/>
              <w:rPr>
                <w:sz w:val="20"/>
                <w:szCs w:val="20"/>
                <w:color w:val="auto"/>
              </w:rPr>
            </w:pPr>
            <w:r>
              <w:rPr>
                <w:rFonts w:ascii="Arial" w:cs="Arial" w:eastAsia="Arial" w:hAnsi="Arial"/>
                <w:sz w:val="18"/>
                <w:szCs w:val="18"/>
                <w:color w:val="auto"/>
              </w:rPr>
              <w:t>Payments Set Aside</w:t>
            </w: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11.20</w:t>
            </w:r>
          </w:p>
        </w:tc>
        <w:tc>
          <w:tcPr>
            <w:tcW w:w="1440" w:type="dxa"/>
            <w:vAlign w:val="bottom"/>
            <w:tcBorders>
              <w:top w:val="single" w:sz="8" w:color="auto"/>
            </w:tcBorders>
            <w:gridSpan w:val="13"/>
          </w:tcPr>
          <w:p>
            <w:pPr>
              <w:spacing w:after="0" w:line="196" w:lineRule="exact"/>
              <w:rPr>
                <w:sz w:val="20"/>
                <w:szCs w:val="20"/>
                <w:color w:val="auto"/>
              </w:rPr>
            </w:pPr>
            <w:r>
              <w:rPr>
                <w:rFonts w:ascii="Arial" w:cs="Arial" w:eastAsia="Arial" w:hAnsi="Arial"/>
                <w:sz w:val="18"/>
                <w:szCs w:val="18"/>
                <w:color w:val="auto"/>
                <w:w w:val="99"/>
              </w:rPr>
              <w:t>No Fiduciary Duty</w:t>
            </w:r>
          </w:p>
        </w:tc>
        <w:tc>
          <w:tcPr>
            <w:tcW w:w="4780" w:type="dxa"/>
            <w:vAlign w:val="bottom"/>
            <w:gridSpan w:val="19"/>
          </w:tcPr>
          <w:p>
            <w:pPr>
              <w:spacing w:after="0"/>
              <w:rPr>
                <w:sz w:val="17"/>
                <w:szCs w:val="17"/>
                <w:color w:val="auto"/>
              </w:rPr>
            </w:pP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gridSpan w:val="11"/>
            <w:shd w:val="clear" w:color="auto" w:fill="000000"/>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11.21</w:t>
            </w:r>
          </w:p>
        </w:tc>
        <w:tc>
          <w:tcPr>
            <w:tcW w:w="6220" w:type="dxa"/>
            <w:vAlign w:val="bottom"/>
            <w:gridSpan w:val="32"/>
          </w:tcPr>
          <w:p>
            <w:pPr>
              <w:spacing w:after="0" w:line="196" w:lineRule="exact"/>
              <w:rPr>
                <w:sz w:val="20"/>
                <w:szCs w:val="20"/>
                <w:color w:val="auto"/>
              </w:rPr>
            </w:pPr>
            <w:r>
              <w:rPr>
                <w:rFonts w:ascii="Arial" w:cs="Arial" w:eastAsia="Arial" w:hAnsi="Arial"/>
                <w:sz w:val="18"/>
                <w:szCs w:val="18"/>
                <w:color w:val="auto"/>
              </w:rPr>
              <w:t>Release of Guarantors</w:t>
            </w: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gridSpan w:val="17"/>
            <w:shd w:val="clear" w:color="auto" w:fill="000000"/>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11.22</w:t>
            </w:r>
          </w:p>
        </w:tc>
        <w:tc>
          <w:tcPr>
            <w:tcW w:w="6220" w:type="dxa"/>
            <w:vAlign w:val="bottom"/>
            <w:gridSpan w:val="32"/>
          </w:tcPr>
          <w:p>
            <w:pPr>
              <w:spacing w:after="0" w:line="196" w:lineRule="exact"/>
              <w:rPr>
                <w:sz w:val="20"/>
                <w:szCs w:val="20"/>
                <w:color w:val="auto"/>
              </w:rPr>
            </w:pPr>
            <w:r>
              <w:rPr>
                <w:rFonts w:ascii="Arial" w:cs="Arial" w:eastAsia="Arial" w:hAnsi="Arial"/>
                <w:sz w:val="18"/>
                <w:szCs w:val="18"/>
                <w:color w:val="auto"/>
              </w:rPr>
              <w:t>Acknowledgement and Consent to Bail-In of EEA Financial Institutions</w:t>
            </w: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196"/>
        </w:trPr>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SECTION 11.23</w:t>
            </w:r>
          </w:p>
        </w:tc>
        <w:tc>
          <w:tcPr>
            <w:tcW w:w="4500" w:type="dxa"/>
            <w:vAlign w:val="bottom"/>
            <w:tcBorders>
              <w:top w:val="single" w:sz="8" w:color="auto"/>
              <w:bottom w:val="single" w:sz="8" w:color="auto"/>
            </w:tcBorders>
            <w:gridSpan w:val="28"/>
          </w:tcPr>
          <w:p>
            <w:pPr>
              <w:spacing w:after="0" w:line="196" w:lineRule="exact"/>
              <w:rPr>
                <w:sz w:val="20"/>
                <w:szCs w:val="20"/>
                <w:color w:val="auto"/>
              </w:rPr>
            </w:pPr>
            <w:r>
              <w:rPr>
                <w:rFonts w:ascii="Arial" w:cs="Arial" w:eastAsia="Arial" w:hAnsi="Arial"/>
                <w:sz w:val="18"/>
                <w:szCs w:val="18"/>
                <w:color w:val="auto"/>
                <w:w w:val="91"/>
              </w:rPr>
              <w:t>Confirmation of Lender’s Status as a Swiss Qualifying Lender</w:t>
            </w:r>
          </w:p>
        </w:tc>
        <w:tc>
          <w:tcPr>
            <w:tcW w:w="700" w:type="dxa"/>
            <w:vAlign w:val="bottom"/>
            <w:tcBorders>
              <w:top w:val="single" w:sz="8" w:color="auto"/>
            </w:tcBorders>
            <w:gridSpan w:val="3"/>
          </w:tcPr>
          <w:p>
            <w:pPr>
              <w:spacing w:after="0"/>
              <w:rPr>
                <w:sz w:val="17"/>
                <w:szCs w:val="17"/>
                <w:color w:val="auto"/>
              </w:rPr>
            </w:pPr>
          </w:p>
        </w:tc>
        <w:tc>
          <w:tcPr>
            <w:tcW w:w="1020" w:type="dxa"/>
            <w:vAlign w:val="bottom"/>
          </w:tcPr>
          <w:p>
            <w:pPr>
              <w:spacing w:after="0"/>
              <w:rPr>
                <w:sz w:val="17"/>
                <w:szCs w:val="17"/>
                <w:color w:val="auto"/>
              </w:rPr>
            </w:pPr>
          </w:p>
        </w:tc>
        <w:tc>
          <w:tcPr>
            <w:tcW w:w="352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453"/>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80" w:type="dxa"/>
            <w:vAlign w:val="bottom"/>
            <w:gridSpan w:val="8"/>
          </w:tcPr>
          <w:p>
            <w:pPr>
              <w:jc w:val="center"/>
              <w:ind w:right="1280"/>
              <w:spacing w:after="0"/>
              <w:rPr>
                <w:sz w:val="20"/>
                <w:szCs w:val="20"/>
                <w:color w:val="auto"/>
              </w:rPr>
            </w:pPr>
            <w:r>
              <w:rPr>
                <w:rFonts w:ascii="Arial" w:cs="Arial" w:eastAsia="Arial" w:hAnsi="Arial"/>
                <w:sz w:val="18"/>
                <w:szCs w:val="18"/>
                <w:color w:val="auto"/>
              </w:rPr>
              <w:t>iv</w:t>
            </w:r>
          </w:p>
        </w:tc>
        <w:tc>
          <w:tcPr>
            <w:tcW w:w="3520" w:type="dxa"/>
            <w:vAlign w:val="bottom"/>
          </w:tcPr>
          <w:p>
            <w:pPr>
              <w:spacing w:after="0"/>
              <w:rPr>
                <w:sz w:val="24"/>
                <w:szCs w:val="24"/>
                <w:color w:val="auto"/>
              </w:rPr>
            </w:pPr>
          </w:p>
        </w:tc>
      </w:tr>
      <w:tr>
        <w:trPr>
          <w:trHeight w:val="132"/>
        </w:trPr>
        <w:tc>
          <w:tcPr>
            <w:tcW w:w="8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3520" w:type="dxa"/>
            <w:vAlign w:val="bottom"/>
            <w:tcBorders>
              <w:bottom w:val="single" w:sz="8" w:color="808080"/>
            </w:tcBorders>
          </w:tcPr>
          <w:p>
            <w:pPr>
              <w:spacing w:after="0"/>
              <w:rPr>
                <w:sz w:val="11"/>
                <w:szCs w:val="11"/>
                <w:color w:val="auto"/>
              </w:rPr>
            </w:pPr>
          </w:p>
        </w:tc>
      </w:tr>
      <w:tr>
        <w:trPr>
          <w:trHeight w:val="740"/>
        </w:trPr>
        <w:tc>
          <w:tcPr>
            <w:tcW w:w="172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20" w:type="dxa"/>
            <w:vAlign w:val="bottom"/>
            <w:gridSpan w:val="3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38"/>
        </w:trPr>
        <w:tc>
          <w:tcPr>
            <w:tcW w:w="172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6220" w:type="dxa"/>
            <w:vAlign w:val="bottom"/>
            <w:gridSpan w:val="32"/>
          </w:tcPr>
          <w:p>
            <w:pPr>
              <w:ind w:left="480"/>
              <w:spacing w:after="0"/>
              <w:rPr>
                <w:sz w:val="20"/>
                <w:szCs w:val="20"/>
                <w:color w:val="auto"/>
              </w:rPr>
            </w:pPr>
            <w:r>
              <w:rPr>
                <w:rFonts w:ascii="Arial" w:cs="Arial" w:eastAsia="Arial" w:hAnsi="Arial"/>
                <w:sz w:val="18"/>
                <w:szCs w:val="18"/>
                <w:color w:val="auto"/>
              </w:rPr>
              <w:t>Form of Assignment and Assumption</w:t>
            </w:r>
          </w:p>
        </w:tc>
        <w:tc>
          <w:tcPr>
            <w:tcW w:w="3520" w:type="dxa"/>
            <w:vAlign w:val="bottom"/>
          </w:tcPr>
          <w:p>
            <w:pPr>
              <w:spacing w:after="0"/>
              <w:rPr>
                <w:sz w:val="24"/>
                <w:szCs w:val="24"/>
                <w:color w:val="auto"/>
              </w:rPr>
            </w:pP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EXHIBIT B-1*</w:t>
            </w:r>
          </w:p>
        </w:tc>
        <w:tc>
          <w:tcPr>
            <w:tcW w:w="6220" w:type="dxa"/>
            <w:vAlign w:val="bottom"/>
            <w:gridSpan w:val="32"/>
          </w:tcPr>
          <w:p>
            <w:pPr>
              <w:ind w:left="480"/>
              <w:spacing w:after="0"/>
              <w:rPr>
                <w:sz w:val="20"/>
                <w:szCs w:val="20"/>
                <w:color w:val="auto"/>
              </w:rPr>
            </w:pPr>
            <w:r>
              <w:rPr>
                <w:rFonts w:ascii="Arial" w:cs="Arial" w:eastAsia="Arial" w:hAnsi="Arial"/>
                <w:sz w:val="18"/>
                <w:szCs w:val="18"/>
                <w:color w:val="auto"/>
              </w:rPr>
              <w:t>Form of Borrowing Request</w:t>
            </w:r>
          </w:p>
        </w:tc>
        <w:tc>
          <w:tcPr>
            <w:tcW w:w="3520" w:type="dxa"/>
            <w:vAlign w:val="bottom"/>
          </w:tcPr>
          <w:p>
            <w:pPr>
              <w:spacing w:after="0"/>
              <w:rPr>
                <w:sz w:val="18"/>
                <w:szCs w:val="18"/>
                <w:color w:val="auto"/>
              </w:rPr>
            </w:pP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EXHIBIT B-2*</w:t>
            </w:r>
          </w:p>
        </w:tc>
        <w:tc>
          <w:tcPr>
            <w:tcW w:w="6220" w:type="dxa"/>
            <w:vAlign w:val="bottom"/>
            <w:gridSpan w:val="32"/>
          </w:tcPr>
          <w:p>
            <w:pPr>
              <w:ind w:left="480"/>
              <w:spacing w:after="0"/>
              <w:rPr>
                <w:sz w:val="20"/>
                <w:szCs w:val="20"/>
                <w:color w:val="auto"/>
              </w:rPr>
            </w:pPr>
            <w:r>
              <w:rPr>
                <w:rFonts w:ascii="Arial" w:cs="Arial" w:eastAsia="Arial" w:hAnsi="Arial"/>
                <w:sz w:val="18"/>
                <w:szCs w:val="18"/>
                <w:color w:val="auto"/>
              </w:rPr>
              <w:t>Form of Swingline Borrowing Request</w:t>
            </w:r>
          </w:p>
        </w:tc>
        <w:tc>
          <w:tcPr>
            <w:tcW w:w="3520" w:type="dxa"/>
            <w:vAlign w:val="bottom"/>
          </w:tcPr>
          <w:p>
            <w:pPr>
              <w:spacing w:after="0"/>
              <w:rPr>
                <w:sz w:val="18"/>
                <w:szCs w:val="18"/>
                <w:color w:val="auto"/>
              </w:rPr>
            </w:pP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6220" w:type="dxa"/>
            <w:vAlign w:val="bottom"/>
            <w:gridSpan w:val="32"/>
          </w:tcPr>
          <w:p>
            <w:pPr>
              <w:ind w:left="480"/>
              <w:spacing w:after="0"/>
              <w:rPr>
                <w:sz w:val="20"/>
                <w:szCs w:val="20"/>
                <w:color w:val="auto"/>
              </w:rPr>
            </w:pPr>
            <w:r>
              <w:rPr>
                <w:rFonts w:ascii="Arial" w:cs="Arial" w:eastAsia="Arial" w:hAnsi="Arial"/>
                <w:sz w:val="18"/>
                <w:szCs w:val="18"/>
                <w:color w:val="auto"/>
              </w:rPr>
              <w:t>Form of Interest Election Request</w:t>
            </w:r>
          </w:p>
        </w:tc>
        <w:tc>
          <w:tcPr>
            <w:tcW w:w="3520" w:type="dxa"/>
            <w:vAlign w:val="bottom"/>
          </w:tcPr>
          <w:p>
            <w:pPr>
              <w:spacing w:after="0"/>
              <w:rPr>
                <w:sz w:val="18"/>
                <w:szCs w:val="18"/>
                <w:color w:val="auto"/>
              </w:rPr>
            </w:pP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EXHIBIT D-1</w:t>
            </w:r>
          </w:p>
        </w:tc>
        <w:tc>
          <w:tcPr>
            <w:tcW w:w="6220" w:type="dxa"/>
            <w:vAlign w:val="bottom"/>
            <w:gridSpan w:val="32"/>
          </w:tcPr>
          <w:p>
            <w:pPr>
              <w:ind w:left="480"/>
              <w:spacing w:after="0"/>
              <w:rPr>
                <w:sz w:val="20"/>
                <w:szCs w:val="20"/>
                <w:color w:val="auto"/>
              </w:rPr>
            </w:pPr>
            <w:r>
              <w:rPr>
                <w:rFonts w:ascii="Arial" w:cs="Arial" w:eastAsia="Arial" w:hAnsi="Arial"/>
                <w:sz w:val="18"/>
                <w:szCs w:val="18"/>
                <w:color w:val="auto"/>
              </w:rPr>
              <w:t>Form of Revolving Credit Note</w:t>
            </w:r>
          </w:p>
        </w:tc>
        <w:tc>
          <w:tcPr>
            <w:tcW w:w="3520" w:type="dxa"/>
            <w:vAlign w:val="bottom"/>
          </w:tcPr>
          <w:p>
            <w:pPr>
              <w:spacing w:after="0"/>
              <w:rPr>
                <w:sz w:val="18"/>
                <w:szCs w:val="18"/>
                <w:color w:val="auto"/>
              </w:rPr>
            </w:pPr>
          </w:p>
        </w:tc>
      </w:tr>
      <w:tr>
        <w:trPr>
          <w:trHeight w:val="212"/>
        </w:trPr>
        <w:tc>
          <w:tcPr>
            <w:tcW w:w="1720" w:type="dxa"/>
            <w:vAlign w:val="bottom"/>
            <w:gridSpan w:val="3"/>
          </w:tcPr>
          <w:p>
            <w:pPr>
              <w:spacing w:after="0"/>
              <w:rPr>
                <w:sz w:val="20"/>
                <w:szCs w:val="20"/>
                <w:color w:val="auto"/>
              </w:rPr>
            </w:pPr>
            <w:r>
              <w:rPr>
                <w:rFonts w:ascii="Arial" w:cs="Arial" w:eastAsia="Arial" w:hAnsi="Arial"/>
                <w:sz w:val="18"/>
                <w:szCs w:val="18"/>
                <w:color w:val="auto"/>
              </w:rPr>
              <w:t>EXHIBIT D-2</w:t>
            </w:r>
          </w:p>
        </w:tc>
        <w:tc>
          <w:tcPr>
            <w:tcW w:w="6220" w:type="dxa"/>
            <w:vAlign w:val="bottom"/>
            <w:gridSpan w:val="32"/>
          </w:tcPr>
          <w:p>
            <w:pPr>
              <w:ind w:left="480"/>
              <w:spacing w:after="0"/>
              <w:rPr>
                <w:sz w:val="20"/>
                <w:szCs w:val="20"/>
                <w:color w:val="auto"/>
              </w:rPr>
            </w:pPr>
            <w:r>
              <w:rPr>
                <w:rFonts w:ascii="Arial" w:cs="Arial" w:eastAsia="Arial" w:hAnsi="Arial"/>
                <w:sz w:val="18"/>
                <w:szCs w:val="18"/>
                <w:color w:val="auto"/>
              </w:rPr>
              <w:t>Form of Swingline Note</w:t>
            </w:r>
          </w:p>
        </w:tc>
        <w:tc>
          <w:tcPr>
            <w:tcW w:w="3520" w:type="dxa"/>
            <w:vAlign w:val="bottom"/>
          </w:tcPr>
          <w:p>
            <w:pPr>
              <w:spacing w:after="0"/>
              <w:rPr>
                <w:sz w:val="18"/>
                <w:szCs w:val="18"/>
                <w:color w:val="auto"/>
              </w:rPr>
            </w:pPr>
          </w:p>
        </w:tc>
      </w:tr>
      <w:tr>
        <w:trPr>
          <w:trHeight w:val="220"/>
        </w:trPr>
        <w:tc>
          <w:tcPr>
            <w:tcW w:w="172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6220" w:type="dxa"/>
            <w:vAlign w:val="bottom"/>
            <w:gridSpan w:val="32"/>
          </w:tcPr>
          <w:p>
            <w:pPr>
              <w:ind w:left="4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Reserved</w:t>
            </w:r>
            <w:r>
              <w:rPr>
                <w:rFonts w:ascii="Arial" w:cs="Arial" w:eastAsia="Arial" w:hAnsi="Arial"/>
                <w:sz w:val="18"/>
                <w:szCs w:val="18"/>
                <w:b w:val="1"/>
                <w:bCs w:val="1"/>
                <w:color w:val="auto"/>
              </w:rPr>
              <w:t>]</w:t>
            </w:r>
          </w:p>
        </w:tc>
        <w:tc>
          <w:tcPr>
            <w:tcW w:w="3520" w:type="dxa"/>
            <w:vAlign w:val="bottom"/>
          </w:tcPr>
          <w:p>
            <w:pPr>
              <w:spacing w:after="0"/>
              <w:rPr>
                <w:sz w:val="19"/>
                <w:szCs w:val="19"/>
                <w:color w:val="auto"/>
              </w:rPr>
            </w:pP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6220" w:type="dxa"/>
            <w:vAlign w:val="bottom"/>
            <w:gridSpan w:val="32"/>
          </w:tcPr>
          <w:p>
            <w:pPr>
              <w:ind w:left="480"/>
              <w:spacing w:after="0"/>
              <w:rPr>
                <w:sz w:val="20"/>
                <w:szCs w:val="20"/>
                <w:color w:val="auto"/>
              </w:rPr>
            </w:pPr>
            <w:r>
              <w:rPr>
                <w:rFonts w:ascii="Arial" w:cs="Arial" w:eastAsia="Arial" w:hAnsi="Arial"/>
                <w:sz w:val="18"/>
                <w:szCs w:val="18"/>
                <w:color w:val="auto"/>
              </w:rPr>
              <w:t>Form of Letter of Credit Request</w:t>
            </w:r>
          </w:p>
        </w:tc>
        <w:tc>
          <w:tcPr>
            <w:tcW w:w="3520" w:type="dxa"/>
            <w:vAlign w:val="bottom"/>
          </w:tcPr>
          <w:p>
            <w:pPr>
              <w:spacing w:after="0"/>
              <w:rPr>
                <w:sz w:val="18"/>
                <w:szCs w:val="18"/>
                <w:color w:val="auto"/>
              </w:rPr>
            </w:pP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6220" w:type="dxa"/>
            <w:vAlign w:val="bottom"/>
            <w:gridSpan w:val="32"/>
          </w:tcPr>
          <w:p>
            <w:pPr>
              <w:ind w:left="480"/>
              <w:spacing w:after="0"/>
              <w:rPr>
                <w:sz w:val="20"/>
                <w:szCs w:val="20"/>
                <w:color w:val="auto"/>
              </w:rPr>
            </w:pPr>
            <w:r>
              <w:rPr>
                <w:rFonts w:ascii="Arial" w:cs="Arial" w:eastAsia="Arial" w:hAnsi="Arial"/>
                <w:sz w:val="18"/>
                <w:szCs w:val="18"/>
                <w:color w:val="auto"/>
              </w:rPr>
              <w:t>Form of Compliance Certificate</w:t>
            </w:r>
          </w:p>
        </w:tc>
        <w:tc>
          <w:tcPr>
            <w:tcW w:w="3520" w:type="dxa"/>
            <w:vAlign w:val="bottom"/>
          </w:tcPr>
          <w:p>
            <w:pPr>
              <w:spacing w:after="0"/>
              <w:rPr>
                <w:sz w:val="18"/>
                <w:szCs w:val="18"/>
                <w:color w:val="auto"/>
              </w:rPr>
            </w:pP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EXHIBIT H</w:t>
            </w:r>
          </w:p>
        </w:tc>
        <w:tc>
          <w:tcPr>
            <w:tcW w:w="6220" w:type="dxa"/>
            <w:vAlign w:val="bottom"/>
            <w:gridSpan w:val="32"/>
          </w:tcPr>
          <w:p>
            <w:pPr>
              <w:ind w:left="480"/>
              <w:spacing w:after="0"/>
              <w:rPr>
                <w:sz w:val="20"/>
                <w:szCs w:val="20"/>
                <w:color w:val="auto"/>
              </w:rPr>
            </w:pPr>
            <w:r>
              <w:rPr>
                <w:rFonts w:ascii="Arial" w:cs="Arial" w:eastAsia="Arial" w:hAnsi="Arial"/>
                <w:sz w:val="18"/>
                <w:szCs w:val="18"/>
                <w:color w:val="auto"/>
              </w:rPr>
              <w:t>Form of Joinder Agreement</w:t>
            </w:r>
          </w:p>
        </w:tc>
        <w:tc>
          <w:tcPr>
            <w:tcW w:w="3520" w:type="dxa"/>
            <w:vAlign w:val="bottom"/>
          </w:tcPr>
          <w:p>
            <w:pPr>
              <w:spacing w:after="0"/>
              <w:rPr>
                <w:sz w:val="18"/>
                <w:szCs w:val="18"/>
                <w:color w:val="auto"/>
              </w:rPr>
            </w:pP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EXHIBIT I</w:t>
            </w:r>
          </w:p>
        </w:tc>
        <w:tc>
          <w:tcPr>
            <w:tcW w:w="6220" w:type="dxa"/>
            <w:vAlign w:val="bottom"/>
            <w:gridSpan w:val="32"/>
          </w:tcPr>
          <w:p>
            <w:pPr>
              <w:ind w:left="480"/>
              <w:spacing w:after="0"/>
              <w:rPr>
                <w:sz w:val="20"/>
                <w:szCs w:val="20"/>
                <w:color w:val="auto"/>
              </w:rPr>
            </w:pPr>
            <w:r>
              <w:rPr>
                <w:rFonts w:ascii="Arial" w:cs="Arial" w:eastAsia="Arial" w:hAnsi="Arial"/>
                <w:sz w:val="18"/>
                <w:szCs w:val="18"/>
                <w:color w:val="auto"/>
              </w:rPr>
              <w:t>Form of Assignee Certificate</w:t>
            </w:r>
          </w:p>
        </w:tc>
        <w:tc>
          <w:tcPr>
            <w:tcW w:w="3520" w:type="dxa"/>
            <w:vAlign w:val="bottom"/>
          </w:tcPr>
          <w:p>
            <w:pPr>
              <w:spacing w:after="0"/>
              <w:rPr>
                <w:sz w:val="18"/>
                <w:szCs w:val="18"/>
                <w:color w:val="auto"/>
              </w:rPr>
            </w:pP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EXHIBIT J</w:t>
            </w:r>
          </w:p>
        </w:tc>
        <w:tc>
          <w:tcPr>
            <w:tcW w:w="6220" w:type="dxa"/>
            <w:vAlign w:val="bottom"/>
            <w:gridSpan w:val="32"/>
          </w:tcPr>
          <w:p>
            <w:pPr>
              <w:ind w:left="480"/>
              <w:spacing w:after="0"/>
              <w:rPr>
                <w:sz w:val="20"/>
                <w:szCs w:val="20"/>
                <w:color w:val="auto"/>
              </w:rPr>
            </w:pPr>
            <w:r>
              <w:rPr>
                <w:rFonts w:ascii="Arial" w:cs="Arial" w:eastAsia="Arial" w:hAnsi="Arial"/>
                <w:sz w:val="18"/>
                <w:szCs w:val="18"/>
                <w:color w:val="auto"/>
              </w:rPr>
              <w:t>Form of Participant Certificate</w:t>
            </w:r>
          </w:p>
        </w:tc>
        <w:tc>
          <w:tcPr>
            <w:tcW w:w="3520" w:type="dxa"/>
            <w:vAlign w:val="bottom"/>
          </w:tcPr>
          <w:p>
            <w:pPr>
              <w:spacing w:after="0"/>
              <w:rPr>
                <w:sz w:val="18"/>
                <w:szCs w:val="18"/>
                <w:color w:val="auto"/>
              </w:rPr>
            </w:pP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EXHIBIT K</w:t>
            </w:r>
          </w:p>
        </w:tc>
        <w:tc>
          <w:tcPr>
            <w:tcW w:w="6220" w:type="dxa"/>
            <w:vAlign w:val="bottom"/>
            <w:gridSpan w:val="32"/>
          </w:tcPr>
          <w:p>
            <w:pPr>
              <w:ind w:left="480"/>
              <w:spacing w:after="0"/>
              <w:rPr>
                <w:sz w:val="20"/>
                <w:szCs w:val="20"/>
                <w:color w:val="auto"/>
              </w:rPr>
            </w:pPr>
            <w:r>
              <w:rPr>
                <w:rFonts w:ascii="Arial" w:cs="Arial" w:eastAsia="Arial" w:hAnsi="Arial"/>
                <w:sz w:val="18"/>
                <w:szCs w:val="18"/>
                <w:color w:val="auto"/>
              </w:rPr>
              <w:t>Form of Increasing Lender Supplement</w:t>
            </w:r>
          </w:p>
        </w:tc>
        <w:tc>
          <w:tcPr>
            <w:tcW w:w="3520" w:type="dxa"/>
            <w:vAlign w:val="bottom"/>
          </w:tcPr>
          <w:p>
            <w:pPr>
              <w:spacing w:after="0"/>
              <w:rPr>
                <w:sz w:val="18"/>
                <w:szCs w:val="18"/>
                <w:color w:val="auto"/>
              </w:rPr>
            </w:pPr>
          </w:p>
        </w:tc>
      </w:tr>
      <w:tr>
        <w:trPr>
          <w:trHeight w:val="230"/>
        </w:trPr>
        <w:tc>
          <w:tcPr>
            <w:tcW w:w="1720" w:type="dxa"/>
            <w:vAlign w:val="bottom"/>
            <w:gridSpan w:val="3"/>
          </w:tcPr>
          <w:p>
            <w:pPr>
              <w:spacing w:after="0"/>
              <w:rPr>
                <w:sz w:val="20"/>
                <w:szCs w:val="20"/>
                <w:color w:val="auto"/>
              </w:rPr>
            </w:pPr>
            <w:r>
              <w:rPr>
                <w:rFonts w:ascii="Arial" w:cs="Arial" w:eastAsia="Arial" w:hAnsi="Arial"/>
                <w:sz w:val="18"/>
                <w:szCs w:val="18"/>
                <w:color w:val="auto"/>
              </w:rPr>
              <w:t>EXHIBIT L</w:t>
            </w:r>
          </w:p>
        </w:tc>
        <w:tc>
          <w:tcPr>
            <w:tcW w:w="6220" w:type="dxa"/>
            <w:vAlign w:val="bottom"/>
            <w:gridSpan w:val="32"/>
          </w:tcPr>
          <w:p>
            <w:pPr>
              <w:ind w:left="480"/>
              <w:spacing w:after="0"/>
              <w:rPr>
                <w:sz w:val="20"/>
                <w:szCs w:val="20"/>
                <w:color w:val="auto"/>
              </w:rPr>
            </w:pPr>
            <w:r>
              <w:rPr>
                <w:rFonts w:ascii="Arial" w:cs="Arial" w:eastAsia="Arial" w:hAnsi="Arial"/>
                <w:sz w:val="18"/>
                <w:szCs w:val="18"/>
                <w:color w:val="auto"/>
              </w:rPr>
              <w:t>Form of Additional Lender Supplement</w:t>
            </w:r>
          </w:p>
        </w:tc>
        <w:tc>
          <w:tcPr>
            <w:tcW w:w="3520" w:type="dxa"/>
            <w:vAlign w:val="bottom"/>
          </w:tcPr>
          <w:p>
            <w:pPr>
              <w:spacing w:after="0"/>
              <w:rPr>
                <w:sz w:val="20"/>
                <w:szCs w:val="20"/>
                <w:color w:val="auto"/>
              </w:rPr>
            </w:pPr>
          </w:p>
        </w:tc>
      </w:tr>
      <w:tr>
        <w:trPr>
          <w:trHeight w:val="392"/>
        </w:trPr>
        <w:tc>
          <w:tcPr>
            <w:tcW w:w="172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0"/>
        </w:trPr>
        <w:tc>
          <w:tcPr>
            <w:tcW w:w="104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20" w:type="dxa"/>
            <w:vAlign w:val="bottom"/>
            <w:gridSpan w:val="3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53"/>
        </w:trPr>
        <w:tc>
          <w:tcPr>
            <w:tcW w:w="1720" w:type="dxa"/>
            <w:vAlign w:val="bottom"/>
            <w:gridSpan w:val="3"/>
          </w:tcPr>
          <w:p>
            <w:pPr>
              <w:spacing w:after="0"/>
              <w:rPr>
                <w:sz w:val="20"/>
                <w:szCs w:val="20"/>
                <w:color w:val="auto"/>
              </w:rPr>
            </w:pPr>
            <w:r>
              <w:rPr>
                <w:rFonts w:ascii="Arial" w:cs="Arial" w:eastAsia="Arial" w:hAnsi="Arial"/>
                <w:sz w:val="18"/>
                <w:szCs w:val="18"/>
                <w:color w:val="auto"/>
              </w:rPr>
              <w:t>SCHEDULE 1.01A</w:t>
            </w:r>
          </w:p>
        </w:tc>
        <w:tc>
          <w:tcPr>
            <w:tcW w:w="6220" w:type="dxa"/>
            <w:vAlign w:val="bottom"/>
            <w:gridSpan w:val="32"/>
          </w:tcPr>
          <w:p>
            <w:pPr>
              <w:ind w:left="480"/>
              <w:spacing w:after="0"/>
              <w:rPr>
                <w:sz w:val="20"/>
                <w:szCs w:val="20"/>
                <w:color w:val="auto"/>
              </w:rPr>
            </w:pPr>
            <w:r>
              <w:rPr>
                <w:rFonts w:ascii="Arial" w:cs="Arial" w:eastAsia="Arial" w:hAnsi="Arial"/>
                <w:sz w:val="18"/>
                <w:szCs w:val="18"/>
                <w:color w:val="auto"/>
              </w:rPr>
              <w:t>Excluded Jurisdictions</w:t>
            </w:r>
          </w:p>
        </w:tc>
        <w:tc>
          <w:tcPr>
            <w:tcW w:w="3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-5644515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-5644515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-3131820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-3131820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08" w:right="199" w:bottom="0" w:gutter="0" w:footer="0" w:header="0"/>
        </w:sectPr>
      </w:pPr>
    </w:p>
    <w:bookmarkStart w:id="14" w:name="page15"/>
    <w:bookmarkEnd w:id="14"/>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SCHEDULE 1.01B</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SCHEDULE 1.01C*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SCHEDULE 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6.05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8.01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8.04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8.06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Guarantors on the Amendment No. 3 Effective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Letters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Disclosed Litigation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Restrictive Agreements</w:t>
      </w:r>
    </w:p>
    <w:p>
      <w:pPr>
        <w:spacing w:after="0" w:line="200" w:lineRule="exact"/>
        <w:rPr>
          <w:sz w:val="20"/>
          <w:szCs w:val="20"/>
          <w:color w:val="auto"/>
        </w:rPr>
      </w:pPr>
    </w:p>
    <w:p>
      <w:pPr>
        <w:sectPr>
          <w:pgSz w:w="11900" w:h="16887" w:orient="portrait"/>
          <w:cols w:equalWidth="0" w:num="2">
            <w:col w:w="1520" w:space="680"/>
            <w:col w:w="9220"/>
          </w:cols>
          <w:pgMar w:left="240" w:top="125" w:right="239" w:bottom="0" w:gutter="0" w:footer="0" w:header="0"/>
        </w:sectPr>
      </w:pPr>
    </w:p>
    <w:p>
      <w:pPr>
        <w:spacing w:after="0" w:line="240" w:lineRule="exact"/>
        <w:rPr>
          <w:sz w:val="20"/>
          <w:szCs w:val="20"/>
          <w:color w:val="auto"/>
        </w:rPr>
      </w:pPr>
    </w:p>
    <w:p>
      <w:pPr>
        <w:ind w:left="5660" w:right="5180" w:hanging="5652"/>
        <w:spacing w:after="0" w:line="432" w:lineRule="auto"/>
        <w:tabs>
          <w:tab w:leader="none" w:pos="134"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Denotes an Exhibit or Schedule that will be amended pursuant to Amendment No. 3.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AMENDED AND RESTATED CREDIT AGREEMENT, dated as of May 9, 2016, is among WEATHERFORD INTERNATIONAL LTD., a Bermuda exempted company (“</w:t>
      </w:r>
      <w:r>
        <w:rPr>
          <w:rFonts w:ascii="Arial" w:cs="Arial" w:eastAsia="Arial" w:hAnsi="Arial"/>
          <w:sz w:val="18"/>
          <w:szCs w:val="18"/>
          <w:u w:val="single" w:color="auto"/>
          <w:color w:val="auto"/>
        </w:rPr>
        <w:t>WIL-Bermuda</w:t>
      </w:r>
      <w:r>
        <w:rPr>
          <w:rFonts w:ascii="Arial" w:cs="Arial" w:eastAsia="Arial" w:hAnsi="Arial"/>
          <w:sz w:val="18"/>
          <w:szCs w:val="18"/>
          <w:color w:val="auto"/>
        </w:rPr>
        <w:t>”), WEATHERFORD INTERNATIONAL plc, an Irish public limited company (“</w:t>
      </w:r>
      <w:r>
        <w:rPr>
          <w:rFonts w:ascii="Arial" w:cs="Arial" w:eastAsia="Arial" w:hAnsi="Arial"/>
          <w:sz w:val="18"/>
          <w:szCs w:val="18"/>
          <w:u w:val="single" w:color="auto"/>
          <w:color w:val="auto"/>
        </w:rPr>
        <w:t>WIL-Ireland</w:t>
      </w:r>
      <w:r>
        <w:rPr>
          <w:rFonts w:ascii="Arial" w:cs="Arial" w:eastAsia="Arial" w:hAnsi="Arial"/>
          <w:sz w:val="18"/>
          <w:szCs w:val="18"/>
          <w:color w:val="auto"/>
        </w:rPr>
        <w:t>”), the other Subsidiaries of WIL-Ireland from time to time party hereto, the Lenders from time to time party hereto, JPMORGAN CHASE BANK, N.A., as administrative agent for the Lenders and as a Swingline Lender, and the Issuing Banks from time to time party hereto.</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WHEREAS, WIL-Bermuda, WIL-Ireland, certain of the Lenders, and the Administrative Agent are parties to that certain Credit Agreement, dated as of October 15, 2010 (as amended by that certain Amendment No. 1 to Credit Agreement, dated as of July 13, 2011, as further amended by that certain Amendment No. 2 to Credit Agreement, dated as of August 6, 2012, as further amended by that certain Amendment No. 3 to Credit Agreement, dated as of June 30, 2015, and as further amended by that certain Amendment No. 4 to Credit Agreement, dated as of February 1, 2016, the “</w:t>
      </w:r>
      <w:r>
        <w:rPr>
          <w:rFonts w:ascii="Arial" w:cs="Arial" w:eastAsia="Arial" w:hAnsi="Arial"/>
          <w:sz w:val="18"/>
          <w:szCs w:val="18"/>
          <w:u w:val="single" w:color="auto"/>
          <w:color w:val="auto"/>
        </w:rPr>
        <w:t>Existing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84"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WHEREAS</w:t>
      </w:r>
      <w:r>
        <w:rPr>
          <w:rFonts w:ascii="Arial" w:cs="Arial" w:eastAsia="Arial" w:hAnsi="Arial"/>
          <w:sz w:val="18"/>
          <w:szCs w:val="18"/>
          <w:b w:val="1"/>
          <w:bCs w:val="1"/>
          <w:color w:val="auto"/>
        </w:rPr>
        <w:t>,</w:t>
      </w:r>
      <w:r>
        <w:rPr>
          <w:rFonts w:ascii="Arial" w:cs="Arial" w:eastAsia="Arial" w:hAnsi="Arial"/>
          <w:sz w:val="18"/>
          <w:szCs w:val="18"/>
          <w:color w:val="auto"/>
        </w:rPr>
        <w:t xml:space="preserve"> WIL-Ireland, WIL-Bermuda, WIL-Delaware, the “Extending Lenders” (under and as defined in this Agreement on the Effective Date), the “Required Lenders” (under and as defined in the Existing Credit Agreement), the Administrative Agent, the Issuing Banks and the Swingline Lender have entered into that certain Amendment and Restatement Agreement, dated as of the date hereof (the “</w:t>
      </w:r>
      <w:r>
        <w:rPr>
          <w:rFonts w:ascii="Arial" w:cs="Arial" w:eastAsia="Arial" w:hAnsi="Arial"/>
          <w:sz w:val="18"/>
          <w:szCs w:val="18"/>
          <w:u w:val="single" w:color="auto"/>
          <w:color w:val="auto"/>
        </w:rPr>
        <w:t>Amendment and Restatement Agreement</w:t>
      </w:r>
      <w:r>
        <w:rPr>
          <w:rFonts w:ascii="Arial" w:cs="Arial" w:eastAsia="Arial" w:hAnsi="Arial"/>
          <w:sz w:val="18"/>
          <w:szCs w:val="18"/>
          <w:color w:val="auto"/>
        </w:rPr>
        <w:t>”), to consent to and effect certain transactions specified therein, including the amendment and restatement of the Existing Credit Agreement in its entirety to extend the “Maturity Date” (as defined in the Existing Credit Agreement) solely for such Extending Lenders and make certain other modifications and amendments, all as more particularly described herein.</w:t>
      </w:r>
    </w:p>
    <w:p>
      <w:pPr>
        <w:spacing w:after="0" w:line="19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contained in this Agreement, and for other good and valuable consideration, the receipt and sufficiency of which are hereby acknowledged, the parties hereto agree as follows: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ACCOUNTING TERMS; INTERPRETATION</w:t>
      </w:r>
    </w:p>
    <w:p>
      <w:pPr>
        <w:spacing w:after="0" w:line="21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terms shall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Senior Notes</w:t>
      </w:r>
      <w:r>
        <w:rPr>
          <w:rFonts w:ascii="Arial" w:cs="Arial" w:eastAsia="Arial" w:hAnsi="Arial"/>
          <w:sz w:val="18"/>
          <w:szCs w:val="18"/>
          <w:color w:val="auto"/>
        </w:rPr>
        <w:t>” means the 5.125% Senior Notes due September 15, 2020 issued by WIL-Bermuda.</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364-Day Revolving Credit Administrative Agent</w:t>
      </w:r>
      <w:r>
        <w:rPr>
          <w:rFonts w:ascii="Arial" w:cs="Arial" w:eastAsia="Arial" w:hAnsi="Arial"/>
          <w:sz w:val="18"/>
          <w:szCs w:val="18"/>
          <w:color w:val="auto"/>
        </w:rPr>
        <w:t>” means JPMorgan, in its capacity as administrative agent under the 364-Day Revolving Credit Agreement or any successor or substitute administrative agent thereunder.</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364-Day Revolving Credit Agreement</w:t>
      </w:r>
      <w:r>
        <w:rPr>
          <w:rFonts w:ascii="Arial" w:cs="Arial" w:eastAsia="Arial" w:hAnsi="Arial"/>
          <w:sz w:val="18"/>
          <w:szCs w:val="18"/>
          <w:color w:val="auto"/>
        </w:rPr>
        <w:t>” means that certain 364-Day Revolving Credit Agreement, dated as of August 16, 2018, by and among WIL-Bermuda, the other borrowers from time to time party thereto, the lenders from time to time party thereto, the 364-Day Revolving Credit Administrative Agent and the 364-Day Revolving Credit Collateral Agent.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364-Day Revolving Credit Collateral</w:t>
      </w:r>
      <w:r>
        <w:rPr>
          <w:rFonts w:ascii="Arial" w:cs="Arial" w:eastAsia="Arial" w:hAnsi="Arial"/>
          <w:sz w:val="18"/>
          <w:szCs w:val="18"/>
          <w:color w:val="auto"/>
        </w:rPr>
        <w:t>” means the Collateral (as defined in the 364-Day Revolving Credit Agreement).</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364-Day Revolving Credit Collateral Agent</w:t>
      </w:r>
      <w:r>
        <w:rPr>
          <w:rFonts w:ascii="Arial" w:cs="Arial" w:eastAsia="Arial" w:hAnsi="Arial"/>
          <w:sz w:val="18"/>
          <w:szCs w:val="18"/>
          <w:color w:val="auto"/>
        </w:rPr>
        <w:t>” means Morgan Stanley Bank, N.A. in its capacity as collateral agent under the 364-Day Revolving Credit Agreement or any successor or substitute collateral agent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364-Day Revolving Credit Documents</w:t>
      </w:r>
      <w:r>
        <w:rPr>
          <w:rFonts w:ascii="Arial" w:cs="Arial" w:eastAsia="Arial" w:hAnsi="Arial"/>
          <w:sz w:val="18"/>
          <w:szCs w:val="18"/>
          <w:color w:val="auto"/>
        </w:rPr>
        <w:t>” means the Loan Documents (as defined in the 364-Day Revolving Credit Agreement).</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364-Day Revolving Credit Facility</w:t>
      </w:r>
      <w:r>
        <w:rPr>
          <w:rFonts w:ascii="Arial" w:cs="Arial" w:eastAsia="Arial" w:hAnsi="Arial"/>
          <w:sz w:val="18"/>
          <w:szCs w:val="18"/>
          <w:color w:val="auto"/>
        </w:rPr>
        <w:t>” means the senior secured second-lien 364-day revolving credit facility provided pursuant to the 364-Day Revolving Credit Agreement and the other 364-Day Revolving Credit Documents.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364-Day Revolving Credit Incremental Commitment</w:t>
      </w:r>
      <w:r>
        <w:rPr>
          <w:rFonts w:ascii="Arial" w:cs="Arial" w:eastAsia="Arial" w:hAnsi="Arial"/>
          <w:sz w:val="18"/>
          <w:szCs w:val="18"/>
          <w:color w:val="auto"/>
        </w:rPr>
        <w:t>” means an Incremental Commitment (as defined in the 364-Day Revolving Credit Agreement) or similar increase of commitments under the 364-Day Revolving Credit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364-Day Revolving Credit Maturity Date</w:t>
      </w:r>
      <w:r>
        <w:rPr>
          <w:rFonts w:ascii="Arial" w:cs="Arial" w:eastAsia="Arial" w:hAnsi="Arial"/>
          <w:sz w:val="18"/>
          <w:szCs w:val="18"/>
          <w:color w:val="auto"/>
        </w:rPr>
        <w:t>” means the Maturity Date (as defined in the 364-Day Revolving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364-Day Revolving Credit Obligations</w:t>
      </w:r>
      <w:r>
        <w:rPr>
          <w:rFonts w:ascii="Arial" w:cs="Arial" w:eastAsia="Arial" w:hAnsi="Arial"/>
          <w:sz w:val="18"/>
          <w:szCs w:val="18"/>
          <w:color w:val="auto"/>
        </w:rPr>
        <w:t>” means the Secured Obligations (as defined in the 364-Day Revolving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364-Day Revolving Credit Secured Parties</w:t>
      </w:r>
      <w:r>
        <w:rPr>
          <w:rFonts w:ascii="Arial" w:cs="Arial" w:eastAsia="Arial" w:hAnsi="Arial"/>
          <w:sz w:val="18"/>
          <w:szCs w:val="18"/>
          <w:color w:val="auto"/>
        </w:rPr>
        <w:t>” means the Secured Parties (as defined in the 364-Day Revolving Credit Agreement).</w:t>
      </w:r>
    </w:p>
    <w:p>
      <w:pPr>
        <w:sectPr>
          <w:pgSz w:w="11900" w:h="16887" w:orient="portrait"/>
          <w:cols w:equalWidth="0" w:num="1">
            <w:col w:w="11420"/>
          </w:cols>
          <w:pgMar w:left="240" w:top="125" w:right="239" w:bottom="0" w:gutter="0" w:footer="0" w:header="0"/>
          <w:type w:val="continuous"/>
        </w:sectPr>
      </w:pPr>
    </w:p>
    <w:bookmarkStart w:id="15" w:name="page16"/>
    <w:bookmarkEnd w:id="1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364-Day Swingline Loans</w:t>
      </w:r>
      <w:r>
        <w:rPr>
          <w:rFonts w:ascii="Arial" w:cs="Arial" w:eastAsia="Arial" w:hAnsi="Arial"/>
          <w:sz w:val="18"/>
          <w:szCs w:val="18"/>
          <w:color w:val="auto"/>
        </w:rPr>
        <w:t>” means the Swingline Loans (as defined in the 364-Day Revolving Credit Agreement).</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Acceptable Deposit Account</w:t>
      </w:r>
      <w:r>
        <w:rPr>
          <w:rFonts w:ascii="Arial" w:cs="Arial" w:eastAsia="Arial" w:hAnsi="Arial"/>
          <w:sz w:val="16"/>
          <w:szCs w:val="16"/>
          <w:color w:val="auto"/>
        </w:rPr>
        <w:t>” means any deposit account that is (a) subject to a deposit account control agreement in form and substance reasonably acceptable to the Administrative Agent, which establishes “control” (within the meaning of Section 9-104 of the Uniform Commercial Code of the State of New York) with respect to such deposit account by the Term Loan Agent on behalf of the Term Loan Secured Parties and the 364-Day Revolving Credit Collateral Agent on behalf of the 364-Day Revolving Credit Secured Parties and (b) subject to other documentation reasonably satisfactory to the Administrative Agent that does not permit any withdrawals from such deposit account except to Redeem any of the 2020 Senior Notes.</w:t>
      </w:r>
    </w:p>
    <w:p>
      <w:pPr>
        <w:spacing w:after="0" w:line="158" w:lineRule="exact"/>
        <w:rPr>
          <w:sz w:val="20"/>
          <w:szCs w:val="20"/>
          <w:color w:val="auto"/>
        </w:rPr>
      </w:pPr>
    </w:p>
    <w:p>
      <w:pPr>
        <w:jc w:val="both"/>
        <w:ind w:right="5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acquisition (whether by purchase, merger, consolidation or otherwise) of property or series of related acquisitions of property that constitutes (i) assets comprising all or substantially all or any significant portion of a business or operating unit of a business, or (ii) all or substantially all of the Capital Stock of a Person.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Added Guarantor</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7.08(c)</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Financial Covenant</w:t>
      </w:r>
      <w:r>
        <w:rPr>
          <w:rFonts w:ascii="Arial" w:cs="Arial" w:eastAsia="Arial" w:hAnsi="Arial"/>
          <w:sz w:val="16"/>
          <w:szCs w:val="16"/>
          <w:color w:val="auto"/>
        </w:rPr>
        <w:t>” means any affirmative or negative “maintenance” financial covenant contained in any Other Debt Agreement applicable to WIL-Ireland or any Restricted Subsidiary (regardless of whether such provision is labeled or otherwise characterized as a “financial covenant”), including any defined terms as used therein, the subject matter of which either (a) is similar to that of any of the Financial Covenants or the related definitions contained in this Agreement, but contains one or more percentages, amounts, formulas or other provisions that are more restrictive as to WIL-Ireland or any Restricted Subsidiary or more beneficial to the holder or holders of any Indebtedness to which such Other Debt Agreement relates than as set forth herein (and such covenant or similar restriction shall be deemed an Additional Financial Covenant only to the extent that it is more restrictive or more beneficial) or</w:t>
      </w:r>
    </w:p>
    <w:p>
      <w:pPr>
        <w:spacing w:after="0" w:line="5" w:lineRule="exact"/>
        <w:rPr>
          <w:sz w:val="20"/>
          <w:szCs w:val="20"/>
          <w:color w:val="auto"/>
        </w:rPr>
      </w:pPr>
    </w:p>
    <w:p>
      <w:pPr>
        <w:ind w:left="660" w:right="2220" w:hanging="652"/>
        <w:spacing w:after="0" w:line="492" w:lineRule="auto"/>
        <w:tabs>
          <w:tab w:leader="none" w:pos="26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 different from the subject matter of any of the Financial Covenants or the related definitions contained in this Agreement. “</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2.18(a)</w:t>
      </w:r>
      <w:r>
        <w:rPr>
          <w:rFonts w:ascii="Arial" w:cs="Arial" w:eastAsia="Arial" w:hAnsi="Arial"/>
          <w:sz w:val="18"/>
          <w:szCs w:val="18"/>
          <w:color w:val="auto"/>
        </w:rPr>
        <w:t>.</w:t>
      </w:r>
    </w:p>
    <w:p>
      <w:pPr>
        <w:spacing w:after="0" w:line="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 Supplement</w:t>
      </w:r>
      <w:r>
        <w:rPr>
          <w:rFonts w:ascii="Arial" w:cs="Arial" w:eastAsia="Arial" w:hAnsi="Arial"/>
          <w:sz w:val="18"/>
          <w:szCs w:val="18"/>
          <w:color w:val="auto"/>
        </w:rPr>
        <w:t xml:space="preserve">” means an additional lender supplement entered into by the Borrowers and any Additional Lender in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or any other form reasonably acceptable to the Administrative Agent.</w:t>
      </w:r>
    </w:p>
    <w:p>
      <w:pPr>
        <w:spacing w:after="0" w:line="170"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LIBO Rate</w:t>
      </w:r>
      <w:r>
        <w:rPr>
          <w:rFonts w:ascii="Arial" w:cs="Arial" w:eastAsia="Arial" w:hAnsi="Arial"/>
          <w:sz w:val="17"/>
          <w:szCs w:val="17"/>
          <w:color w:val="auto"/>
        </w:rPr>
        <w:t>” means, with respect to any Eurodollar Borrowing for any Interest Period, an interest rate per annum (rounded upwards, if necessary, to the next 1/100 of 1%) equal to (a) the LIBO Rate for such Interest Period multiplied by (b) the Statutory Reserve Rate.</w:t>
      </w:r>
    </w:p>
    <w:p>
      <w:pPr>
        <w:spacing w:after="0" w:line="14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JPMorgan in its capacity as administrative agent for the Lenders and any successor in such capacity pursuant to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specified Person, any other Person that, directly or indirectly, controls, is controlled by or is under direct or indirect common control with, such specified Person. For the purposes of this definition, “control” (including, with correlative meanings, the terms “controlling” and “controlled”), when used with respect to any Person, means the power to direct the management and policies of such Person, directly or indirectly, whether through the ownership of voting securities, by contract or otherwise.</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Guaranty</w:t>
      </w:r>
      <w:r>
        <w:rPr>
          <w:rFonts w:ascii="Arial" w:cs="Arial" w:eastAsia="Arial" w:hAnsi="Arial"/>
          <w:sz w:val="18"/>
          <w:szCs w:val="18"/>
          <w:color w:val="auto"/>
        </w:rPr>
        <w:t>” means that certain Affiliate Guaranty, dated as of the Effective Date, by and among WIL-Ireland and the other Guarantors party thereto in favor of the Administrative Agent, for the benefit of itself and the other holders of the Guaranteed Obligations.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11.02(e)(ii)</w:t>
      </w:r>
      <w:r>
        <w:rPr>
          <w:rFonts w:ascii="Arial" w:cs="Arial" w:eastAsia="Arial" w:hAnsi="Arial"/>
          <w:sz w:val="18"/>
          <w:szCs w:val="18"/>
          <w:color w:val="auto"/>
        </w:rPr>
        <w:t>.</w:t>
      </w:r>
    </w:p>
    <w:p>
      <w:pPr>
        <w:spacing w:after="0" w:line="225"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at any time, the sum of the Commitments of all Lenders at such time. The amount of the Aggregate Commitments as of the Amendment No. 3 Effective Date is $583,257,419.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Swingline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Amended and Restated Credit Agreement.</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means, for any day, a rate per annum equal to the greatest of (a) the Prime Rate in effect on such day, (b) the NYFRB Rate in effect on such day plus ½ of 1% and (c) the Adjusted LIBO Rate for a one month Interest Period on such day (or if such day is not a Business Day, the immediately preceding Business Day) plus 1%, provided that, for the purpose of this definition, the Adjusted LIBO Rate for any day shall be based on the LIBO Screen Rate (or if the LIBO Screen Rate is not available for such one month Interest Period, the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For the avoidance of doubt, if the Alternate Base Rate shall be less than zero, such rate shall be deemed to be zero for purposes of this Agreement.</w:t>
      </w:r>
    </w:p>
    <w:p>
      <w:pPr>
        <w:spacing w:after="0" w:line="16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Currency</w:t>
      </w:r>
      <w:r>
        <w:rPr>
          <w:rFonts w:ascii="Arial" w:cs="Arial" w:eastAsia="Arial" w:hAnsi="Arial"/>
          <w:sz w:val="16"/>
          <w:szCs w:val="16"/>
          <w:color w:val="auto"/>
        </w:rPr>
        <w:t>” shall mean, with respect to any Letter of Credit, any currency (other than Dollars) so long as such currency is freely traded and convertible into Dollars in the London Interbank market and a Dollar Equivalent thereof can be calculated, in which such Letter of Credit shall be denominated, as requested by any Borrower and agreed to by the applicable Issuing Bank, with prior written consent of the Administrative Agent.</w:t>
      </w:r>
    </w:p>
    <w:p>
      <w:pPr>
        <w:sectPr>
          <w:pgSz w:w="11900" w:h="16838" w:orient="portrait"/>
          <w:cols w:equalWidth="0" w:num="1">
            <w:col w:w="11400"/>
          </w:cols>
          <w:pgMar w:left="240" w:top="341" w:right="259" w:bottom="0" w:gutter="0" w:footer="0" w:header="0"/>
        </w:sectPr>
      </w:pPr>
    </w:p>
    <w:bookmarkStart w:id="16" w:name="page17"/>
    <w:bookmarkEnd w:id="16"/>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and Restatement Agreement</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3</w:t>
      </w:r>
      <w:r>
        <w:rPr>
          <w:rFonts w:ascii="Arial" w:cs="Arial" w:eastAsia="Arial" w:hAnsi="Arial"/>
          <w:sz w:val="18"/>
          <w:szCs w:val="18"/>
          <w:color w:val="auto"/>
        </w:rPr>
        <w:t>” means that certain Amendment No. 3 to Amended and Restated Credit Agreement entered into as of August 16, 2018 by and among the Obligor Parties, the Lenders listed on the signature pages attached thereto and the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3 Anniversary Date</w:t>
      </w:r>
      <w:r>
        <w:rPr>
          <w:rFonts w:ascii="Arial" w:cs="Arial" w:eastAsia="Arial" w:hAnsi="Arial"/>
          <w:sz w:val="18"/>
          <w:szCs w:val="18"/>
          <w:color w:val="auto"/>
        </w:rPr>
        <w:t>” means August 16,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3 Effective Date</w:t>
      </w:r>
      <w:r>
        <w:rPr>
          <w:rFonts w:ascii="Arial" w:cs="Arial" w:eastAsia="Arial" w:hAnsi="Arial"/>
          <w:sz w:val="18"/>
          <w:szCs w:val="18"/>
          <w:color w:val="auto"/>
        </w:rPr>
        <w:t>” means August 16, 2018.</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Angolan Bond Investment</w:t>
      </w:r>
      <w:r>
        <w:rPr>
          <w:rFonts w:ascii="Arial" w:cs="Arial" w:eastAsia="Arial" w:hAnsi="Arial"/>
          <w:sz w:val="18"/>
          <w:szCs w:val="18"/>
          <w:color w:val="auto"/>
        </w:rPr>
        <w:t>” means the purchase of Dollar-linked or inflation-protected Angolan government sovereign bonds by WIL-Ireland or a Restricted Subsidiary.</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WIL-Ireland or any of its Subsidiaries from time to time concerning or relating to bribery or corruption.</w:t>
      </w:r>
    </w:p>
    <w:p>
      <w:pPr>
        <w:spacing w:after="0" w:line="170"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for any day, (a) with respect to any Non-Extending Lender’s (i) ABR Revolving Credit Loans, the per annum rate of interest set forth in the definition of the term “Non-Extending Lender Applicable Rate” under the heading “ABR Margin” and (ii) Eurodollar Revolving Credit Loans, the per annum rate of interest set forth in the definition of the term “Non-Extending Lender Applicable Rate” under the heading “LIBOR Margin”, in each case based upon the Specified Senior Leverage Ratio as of the most recently ended Fiscal Quarter for which financial statements are available and (b) with respect to any Extending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Lender’s (i) ABR Revolving Credit Loans, the per annum rate of interest set forth in the definition of the term “Extending Lender Applicable Rate” under the heading “ABR Margin” and (ii) Eurodollar Revolving Credit Loans, the per annum rate of interest set forth in the definition of the term “Extending Lender Applicable Rate” under the heading “LIBOR Margin”, in each case based upon the Specified Senior Leverage Ratio as of the most recently ended Fiscal Quarter for which financial statements are available.</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with respect to any Lender, the percentage (carried out to the twelfth decimal place) of the Aggregate Commitments represented by such Lender’s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any time that a Defaulting Lender shall exist, “Applicable Percentage” shall mean the percentage of the Aggregate Commitments (disregarding any Defaulting Lender’s Commitment at such time) represented by such Lender’s Commitment. If all of the Commitments have terminated or expired, the Applicable Percentages shall be determined based upon the Commitments most recently in effect, giving effect to any assignments permitted hereunder and to any Lender’s status as a Defaulting Lender at the time of determination. The Applicable Percentage of each Lender as of the Amendment No. 3 Effective Date is set forth opposite such Lender’s name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or in the Assignment and Assumption pursuant to which such Lender becomes a party hereto, as applicable.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Assignee Certificate</w:t>
      </w:r>
      <w:r>
        <w:rPr>
          <w:rFonts w:ascii="Arial" w:cs="Arial" w:eastAsia="Arial" w:hAnsi="Arial"/>
          <w:sz w:val="17"/>
          <w:szCs w:val="17"/>
          <w:color w:val="auto"/>
        </w:rPr>
        <w:t xml:space="preserve">” means a certificate executed by an assignee under an Assignment and Assumption, substantially in the form of </w:t>
      </w:r>
      <w:r>
        <w:rPr>
          <w:rFonts w:ascii="Arial" w:cs="Arial" w:eastAsia="Arial" w:hAnsi="Arial"/>
          <w:sz w:val="17"/>
          <w:szCs w:val="17"/>
          <w:u w:val="single" w:color="auto"/>
          <w:color w:val="auto"/>
        </w:rPr>
        <w:t>Exhibit I</w:t>
      </w:r>
      <w:r>
        <w:rPr>
          <w:rFonts w:ascii="Arial" w:cs="Arial" w:eastAsia="Arial" w:hAnsi="Arial"/>
          <w:sz w:val="17"/>
          <w:szCs w:val="17"/>
          <w:color w:val="auto"/>
        </w:rPr>
        <w:t>.</w:t>
      </w:r>
    </w:p>
    <w:p>
      <w:pPr>
        <w:spacing w:after="0" w:line="23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agreement entered into by a Lender and an assignee (with the consent of any party whose consent is required by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 Receivables Amount</w:t>
      </w:r>
      <w:r>
        <w:rPr>
          <w:rFonts w:ascii="Arial" w:cs="Arial" w:eastAsia="Arial" w:hAnsi="Arial"/>
          <w:sz w:val="17"/>
          <w:szCs w:val="17"/>
          <w:color w:val="auto"/>
        </w:rPr>
        <w:t>” means the amount of obligations outstanding under receivables purchase facilities or factoring transactions on any date of determination that would be characterized as principal if such facilities or transactions were structured as secured lending transactions rather than as purchases, whether such obligations would constitute on-balance sheet Indebtedness or an off-balance sheet liability.</w:t>
      </w:r>
    </w:p>
    <w:p>
      <w:pPr>
        <w:spacing w:after="0" w:line="166"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Availability Period</w:t>
      </w:r>
      <w:r>
        <w:rPr>
          <w:rFonts w:ascii="Arial" w:cs="Arial" w:eastAsia="Arial" w:hAnsi="Arial"/>
          <w:sz w:val="16"/>
          <w:szCs w:val="16"/>
          <w:color w:val="auto"/>
        </w:rPr>
        <w:t>” means the period from the Effective Date to the earlier of (a) (i) with respect to the Non-Extending Lenders, the Existing Maturity Date or (ii) with respect to the Extending Lenders, the Extended Maturity Date and (b) the date of termination of all of the Commitments.</w:t>
      </w:r>
    </w:p>
    <w:p>
      <w:pPr>
        <w:spacing w:after="0" w:line="12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w:t>
      </w:r>
      <w:r>
        <w:rPr>
          <w:rFonts w:ascii="Arial" w:cs="Arial" w:eastAsia="Arial" w:hAnsi="Arial"/>
          <w:sz w:val="18"/>
          <w:szCs w:val="18"/>
          <w:color w:val="auto"/>
        </w:rPr>
        <w:t>” means each and any of the following bank services provided to WIL-Ireland or any Restricted Subsidiary by any Lender or any of its Affiliates: (a) credit cards for commercial customers (including commercial credit cards and purchasing cards), (b) stored value cards, (c) merchant processing services and (d) treasury management services (including controlled disbursement, automated clearinghouse transactions, return items, any direct debit scheme or arrangement, overdrafts and interstate depository network services).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Obligations</w:t>
      </w:r>
      <w:r>
        <w:rPr>
          <w:rFonts w:ascii="Arial" w:cs="Arial" w:eastAsia="Arial" w:hAnsi="Arial"/>
          <w:sz w:val="18"/>
          <w:szCs w:val="18"/>
          <w:color w:val="auto"/>
        </w:rPr>
        <w:t>” means any and all obligations of WIL-Ireland or any Restricted Subsidiary, whether absolute or contingent and howsoever and whensoever created, arising, evidenced or acquired (including all renewals, extensions and modifications thereof and substitutions therefor) in connection with Banking Services.</w:t>
      </w:r>
    </w:p>
    <w:p>
      <w:pPr>
        <w:spacing w:after="0" w:line="181"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Event</w:t>
      </w:r>
      <w:r>
        <w:rPr>
          <w:rFonts w:ascii="Arial" w:cs="Arial" w:eastAsia="Arial" w:hAnsi="Arial"/>
          <w:sz w:val="16"/>
          <w:szCs w:val="16"/>
          <w:color w:val="auto"/>
        </w:rPr>
        <w:t xml:space="preserve">” means, with respect to any Person, such Person becomes the subject of a bankruptcy or insolvency proceeding, or has had a receiver, conservator, trustee, administrator, custodian, examiner,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Bankruptcy Event shall not result solely by</w:t>
      </w:r>
    </w:p>
    <w:p>
      <w:pPr>
        <w:sectPr>
          <w:pgSz w:w="11900" w:h="16945" w:orient="portrait"/>
          <w:cols w:equalWidth="0" w:num="1">
            <w:col w:w="11380"/>
          </w:cols>
          <w:pgMar w:left="240" w:top="125" w:right="279" w:bottom="0" w:gutter="0" w:footer="0" w:header="0"/>
        </w:sectPr>
      </w:pPr>
    </w:p>
    <w:bookmarkStart w:id="17" w:name="page18"/>
    <w:bookmarkEnd w:id="17"/>
    <w:p>
      <w:pPr>
        <w:ind w:right="80"/>
        <w:spacing w:after="0" w:line="259" w:lineRule="auto"/>
        <w:rPr>
          <w:sz w:val="20"/>
          <w:szCs w:val="20"/>
          <w:color w:val="auto"/>
        </w:rPr>
      </w:pPr>
      <w:r>
        <w:rPr>
          <w:rFonts w:ascii="Arial" w:cs="Arial" w:eastAsia="Arial" w:hAnsi="Arial"/>
          <w:sz w:val="18"/>
          <w:szCs w:val="18"/>
          <w:color w:val="auto"/>
        </w:rPr>
        <w:t>virtue of any ownership interest, or the acquisition of any ownership interest, in such Person by a Governmental Authority or instrumentality thereof so long as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 (or any successor).</w:t>
      </w:r>
    </w:p>
    <w:p>
      <w:pPr>
        <w:spacing w:after="0" w:line="225"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with respect to any Person, the board of directors (or other governing body) of such Person (or of its (managing) general partner or managing member, as the case may be), or any committee thereof duly authorized to act on behalf of such board of directors (or other governing body).</w:t>
      </w:r>
    </w:p>
    <w:p>
      <w:pPr>
        <w:spacing w:after="0" w:line="181"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Borrowers</w:t>
      </w:r>
      <w:r>
        <w:rPr>
          <w:rFonts w:ascii="Arial" w:cs="Arial" w:eastAsia="Arial" w:hAnsi="Arial"/>
          <w:sz w:val="17"/>
          <w:szCs w:val="17"/>
          <w:color w:val="auto"/>
        </w:rPr>
        <w:t xml:space="preserve">” means, collectively, WIL-Bermuda, WOFS and any other Persons from time to time becoming Borrowers hereunder pursuant to </w:t>
      </w:r>
      <w:r>
        <w:rPr>
          <w:rFonts w:ascii="Arial" w:cs="Arial" w:eastAsia="Arial" w:hAnsi="Arial"/>
          <w:sz w:val="17"/>
          <w:szCs w:val="17"/>
          <w:u w:val="single" w:color="auto"/>
          <w:color w:val="auto"/>
        </w:rPr>
        <w:t>Section 11.01(c)</w:t>
      </w:r>
      <w:r>
        <w:rPr>
          <w:rFonts w:ascii="Arial" w:cs="Arial" w:eastAsia="Arial" w:hAnsi="Arial"/>
          <w:sz w:val="17"/>
          <w:szCs w:val="17"/>
          <w:color w:val="auto"/>
        </w:rPr>
        <w:t xml:space="preserve">, but excluding any Persons who from time to time cease to be Borrowers hereunder pursuant to </w:t>
      </w:r>
      <w:r>
        <w:rPr>
          <w:rFonts w:ascii="Arial" w:cs="Arial" w:eastAsia="Arial" w:hAnsi="Arial"/>
          <w:sz w:val="17"/>
          <w:szCs w:val="17"/>
          <w:u w:val="single" w:color="auto"/>
          <w:color w:val="auto"/>
        </w:rPr>
        <w:t>Section 11.01(d)</w:t>
      </w:r>
      <w:r>
        <w:rPr>
          <w:rFonts w:ascii="Arial" w:cs="Arial" w:eastAsia="Arial" w:hAnsi="Arial"/>
          <w:sz w:val="17"/>
          <w:szCs w:val="17"/>
          <w:color w:val="auto"/>
        </w:rPr>
        <w:t>.</w:t>
      </w:r>
    </w:p>
    <w:p>
      <w:pPr>
        <w:spacing w:after="0" w:line="14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Credit Loans of the same Type made, converted or continued on the same date and, in the case of Eurodollar Loans, as to which a single Interest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Period is in effect or (b) a Swingline Borrowing. For the avoidance of doubt, prior to the Non-Extended Revolving Maturity Date, each Borrowing shall be comprised of both Extended Revolving Loans and Non-Extended Revolving Loans, as provided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a Borrower for a Borrowing of Revolving Credit Loans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Eurodollar Loan,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also exclude any day on which banks are not open for dealings in Dollar deposits in the London interbank market.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w:t>
      </w:r>
      <w:r>
        <w:rPr>
          <w:rFonts w:ascii="Arial" w:cs="Arial" w:eastAsia="Arial" w:hAnsi="Arial"/>
          <w:sz w:val="16"/>
          <w:szCs w:val="16"/>
          <w:color w:val="auto"/>
        </w:rPr>
        <w:t>” means, as to any Person, any lease in respect of which the rental obligation of such Person constitutes a Capital Lease Obligation.</w:t>
      </w:r>
    </w:p>
    <w:p>
      <w:pPr>
        <w:spacing w:after="0" w:line="24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w:t>
      </w:r>
      <w:r>
        <w:rPr>
          <w:rFonts w:ascii="Arial" w:cs="Arial" w:eastAsia="Arial" w:hAnsi="Arial"/>
          <w:sz w:val="18"/>
          <w:szCs w:val="18"/>
          <w:color w:val="auto"/>
        </w:rPr>
        <w:t>” means, with respect to any Person, the obligation of such Person to pay rent or other amounts under a lease of (or other agreement conveying the right to use) real or personal property that is required to be classified and accounted for as a capital lease obligation on a balance sheet of such Person under GAAP and, for purposes of this Agreement, the amount of such obligation at any date shall be the capitalized amount thereof at such date, determined in accordance with GAAP.</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with respect to any Person, any and all shares, interests, rights to purchase, warrants, options, participations or other equivalents (however designated) of such Person’s equity, including all common stock and preferred stock, common shares and preference shares, any limited or general partnership interests and any limited liability company membership interests.</w:t>
      </w:r>
    </w:p>
    <w:p>
      <w:pPr>
        <w:spacing w:after="0" w:line="18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Carry-Over LC Exposure</w:t>
      </w:r>
      <w:r>
        <w:rPr>
          <w:rFonts w:ascii="Arial" w:cs="Arial" w:eastAsia="Arial" w:hAnsi="Arial"/>
          <w:sz w:val="18"/>
          <w:szCs w:val="18"/>
          <w:color w:val="auto"/>
        </w:rPr>
        <w:t>” means, as of any date of determination, the aggregate LC Exposure of all Non-Extending Lenders and Extending Lenders as of such date solely with respect to any and all Carry-Over Letters of Credit.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Carry-Over Letter of Credit</w:t>
      </w:r>
      <w:r>
        <w:rPr>
          <w:rFonts w:ascii="Arial" w:cs="Arial" w:eastAsia="Arial" w:hAnsi="Arial"/>
          <w:sz w:val="18"/>
          <w:szCs w:val="18"/>
          <w:color w:val="auto"/>
        </w:rPr>
        <w:t>” means any Letter of Credit that was issued prior to the Existing Maturity Date and has an expiry date after the Existing Maturity Date.</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Collateralized LC Exposure</w:t>
      </w:r>
      <w:r>
        <w:rPr>
          <w:rFonts w:ascii="Arial" w:cs="Arial" w:eastAsia="Arial" w:hAnsi="Arial"/>
          <w:sz w:val="18"/>
          <w:szCs w:val="18"/>
          <w:color w:val="auto"/>
        </w:rPr>
        <w:t>” means, with respect to any Specified Letter of Credit as of any date, the amount of cash collateral pledged to the applicable issuing bank or institution that issued such Specified Letter of Credit as security to cover reimbursement obligations of WIL-Ireland or any Restricted Subsidiary in respect of such Specified Letter of Credit, excluding any such cash collateral that is (a) in excess of the stated amount of such Specified Letter of Credit or (b) designated solely for the purpose of paying or reimbursing any amounts other than amounts drawn under such Specified Letter of Credit.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225" w:lineRule="exact"/>
        <w:rPr>
          <w:sz w:val="20"/>
          <w:szCs w:val="20"/>
          <w:color w:val="auto"/>
        </w:rPr>
      </w:pPr>
    </w:p>
    <w:p>
      <w:pPr>
        <w:jc w:val="both"/>
        <w:ind w:right="100" w:firstLine="656"/>
        <w:spacing w:after="0" w:line="264" w:lineRule="auto"/>
        <w:tabs>
          <w:tab w:leader="none" w:pos="13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81" w:lineRule="exact"/>
        <w:rPr>
          <w:rFonts w:ascii="Arial" w:cs="Arial" w:eastAsia="Arial" w:hAnsi="Arial"/>
          <w:sz w:val="18"/>
          <w:szCs w:val="18"/>
          <w:color w:val="auto"/>
        </w:rPr>
      </w:pPr>
    </w:p>
    <w:p>
      <w:pPr>
        <w:ind w:right="60" w:firstLine="656"/>
        <w:spacing w:after="0" w:line="277" w:lineRule="auto"/>
        <w:tabs>
          <w:tab w:leader="none" w:pos="13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obtainable from S&amp;P or from Moody’s;</w:t>
      </w:r>
    </w:p>
    <w:p>
      <w:pPr>
        <w:spacing w:after="0" w:line="170" w:lineRule="exact"/>
        <w:rPr>
          <w:rFonts w:ascii="Arial" w:cs="Arial" w:eastAsia="Arial" w:hAnsi="Arial"/>
          <w:sz w:val="18"/>
          <w:szCs w:val="18"/>
          <w:color w:val="auto"/>
        </w:rPr>
      </w:pPr>
    </w:p>
    <w:p>
      <w:pPr>
        <w:ind w:right="20" w:firstLine="656"/>
        <w:spacing w:after="0" w:line="342" w:lineRule="auto"/>
        <w:tabs>
          <w:tab w:leader="none" w:pos="1343"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w:t>
      </w:r>
    </w:p>
    <w:p>
      <w:pPr>
        <w:sectPr>
          <w:pgSz w:w="11900" w:h="16838" w:orient="portrait"/>
          <w:cols w:equalWidth="0" w:num="1">
            <w:col w:w="11400"/>
          </w:cols>
          <w:pgMar w:left="240" w:top="125" w:right="259" w:bottom="0" w:gutter="0" w:footer="0" w:header="0"/>
        </w:sectPr>
      </w:pPr>
    </w:p>
    <w:bookmarkStart w:id="18" w:name="page19"/>
    <w:bookmarkEnd w:id="18"/>
    <w:p>
      <w:pPr>
        <w:ind w:right="760"/>
        <w:spacing w:after="0" w:line="277" w:lineRule="auto"/>
        <w:rPr>
          <w:sz w:val="20"/>
          <w:szCs w:val="20"/>
          <w:color w:val="auto"/>
        </w:rPr>
      </w:pPr>
      <w:r>
        <w:rPr>
          <w:rFonts w:ascii="Arial" w:cs="Arial" w:eastAsia="Arial" w:hAnsi="Arial"/>
          <w:sz w:val="18"/>
          <w:szCs w:val="18"/>
          <w:color w:val="auto"/>
        </w:rPr>
        <w:t>under the laws of the United States of America or any State thereof which has a combined capital and surplus and undivided profits of not less than $500,000,000;</w:t>
      </w:r>
    </w:p>
    <w:p>
      <w:pPr>
        <w:spacing w:after="0" w:line="170" w:lineRule="exact"/>
        <w:rPr>
          <w:sz w:val="20"/>
          <w:szCs w:val="20"/>
          <w:color w:val="auto"/>
        </w:rPr>
      </w:pPr>
    </w:p>
    <w:p>
      <w:pPr>
        <w:ind w:right="300" w:firstLine="656"/>
        <w:spacing w:after="0" w:line="277" w:lineRule="auto"/>
        <w:tabs>
          <w:tab w:leader="none" w:pos="1353" w:val="left"/>
        </w:tabs>
        <w:numPr>
          <w:ilvl w:val="1"/>
          <w:numId w:val="35"/>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thirty (30) days for securities described in clause (a) above and entered into with a financial institution satisfying the criteria described in clause (c) above;</w:t>
      </w:r>
    </w:p>
    <w:p>
      <w:pPr>
        <w:spacing w:after="0" w:line="170" w:lineRule="exact"/>
        <w:rPr>
          <w:rFonts w:ascii="Arial" w:cs="Arial" w:eastAsia="Arial" w:hAnsi="Arial"/>
          <w:sz w:val="18"/>
          <w:szCs w:val="18"/>
          <w:color w:val="auto"/>
        </w:rPr>
      </w:pPr>
    </w:p>
    <w:p>
      <w:pPr>
        <w:ind w:right="100" w:firstLine="656"/>
        <w:spacing w:after="0" w:line="277" w:lineRule="auto"/>
        <w:tabs>
          <w:tab w:leader="none" w:pos="1343" w:val="left"/>
        </w:tabs>
        <w:numPr>
          <w:ilvl w:val="1"/>
          <w:numId w:val="35"/>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of 1940, (ii) are rated AAA by S&amp;P and Aaa by Moody’s and (iii) have portfolio assets of at least $5,000,000,000; and</w:t>
      </w:r>
    </w:p>
    <w:p>
      <w:pPr>
        <w:spacing w:after="0" w:line="170" w:lineRule="exact"/>
        <w:rPr>
          <w:rFonts w:ascii="Arial" w:cs="Arial" w:eastAsia="Arial" w:hAnsi="Arial"/>
          <w:sz w:val="18"/>
          <w:szCs w:val="18"/>
          <w:color w:val="auto"/>
        </w:rPr>
      </w:pPr>
    </w:p>
    <w:p>
      <w:pPr>
        <w:jc w:val="both"/>
        <w:ind w:right="80" w:firstLine="656"/>
        <w:spacing w:after="0" w:line="264" w:lineRule="auto"/>
        <w:tabs>
          <w:tab w:leader="none" w:pos="873"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the case of any Restricted Subsidiary that is organized under the laws of a jurisdiction outside the United States of America, other investments that are analogous to the foregoing, are of comparable credit quality and are customarily used by companies in the jurisdiction of such Restricted Subsidiary for cash management purposes.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provided however,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 (a) in the case of the Weatherford Parent Company, (i) any “person” (as such term is used in Sections 13(d) and 14(d) of the Exchange Act as in effect on the Effective Date) or related persons constituting a “group” (as such term is used in Rule 13d-5 under the Exchange Act in effect on the Effective Date) is or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becomes the “beneficial owner” (as defined in Rules 13d-3 and 13d-5 under the Exchange Act, as in effect on the Effective Date), directly or indirectly, of 50% or more of the total voting power of the Voting Stock of the Weatherford Parent Company, except as a result of a Redomestication; (ii) the shareholders of the Weatherford Parent Company approve any plan of liquidation, winding up or dissolution of the Weatherford Parent Company, except in connection with a Redomestication; (iii) the Weatherford Parent Company Disposes of all or substantially all of its assets to any Person other than an Obligor or a Restricted Subsidiary organized in a Specified Jurisdiction that, concurrently with such Disposition, becomes a Guarantor in accordance with </w:t>
      </w:r>
      <w:r>
        <w:rPr>
          <w:rFonts w:ascii="Arial" w:cs="Arial" w:eastAsia="Arial" w:hAnsi="Arial"/>
          <w:sz w:val="16"/>
          <w:szCs w:val="16"/>
          <w:u w:val="single" w:color="auto"/>
          <w:color w:val="auto"/>
        </w:rPr>
        <w:t>Section 7.08(a)</w:t>
      </w:r>
      <w:r>
        <w:rPr>
          <w:rFonts w:ascii="Arial" w:cs="Arial" w:eastAsia="Arial" w:hAnsi="Arial"/>
          <w:sz w:val="16"/>
          <w:szCs w:val="16"/>
          <w:color w:val="auto"/>
        </w:rPr>
        <w:t xml:space="preserve">, except in connection with a Redomestication; or (iv) during any period of twelve consecutive months, individuals who, at the beginning of such period, constituted the Board of Directors of the Weatherford Parent Company (together with any new directors whose appointment or election by such Board of Directors or whose nomination for election by the shareholders of the Weatherford Parent Company, as applicable, was approved by a vote of not less than a majority of the directors then still in office who were either directors at the beginning of such period or whose appointment, election or nomination for election was previously so approved) cease for any reason to constitute a majority of the Board of Directors of the Weatherford Parent Company then in office, but excluding from the foregoing clause any change in the composition or membership of the Board of Directors of the Weatherford Parent Company resulting solely from the addition thereto or removal therefrom of directors to the extent necessary for the Weatherford Parent Company to comply with the United States Sarbanes Oxley Act of 2002 or the rules and regulations of any stock exchange on which the Weatherford Parent Company’s securities are listed, pursuant to the recommendation of the Weatherford Parent Company’s legal counsel; or (b) in the case of any other Obligor Party, except in a transaction permitted by </w:t>
      </w:r>
      <w:r>
        <w:rPr>
          <w:rFonts w:ascii="Arial" w:cs="Arial" w:eastAsia="Arial" w:hAnsi="Arial"/>
          <w:sz w:val="16"/>
          <w:szCs w:val="16"/>
          <w:u w:val="single" w:color="auto"/>
          <w:color w:val="auto"/>
        </w:rPr>
        <w:t>Section 8.02</w:t>
      </w:r>
      <w:r>
        <w:rPr>
          <w:rFonts w:ascii="Arial" w:cs="Arial" w:eastAsia="Arial" w:hAnsi="Arial"/>
          <w:sz w:val="16"/>
          <w:szCs w:val="16"/>
          <w:color w:val="auto"/>
        </w:rPr>
        <w:t>, the Weatherford Parent Company ceases to own, after giving effect to such event or series of events, directly or indirectly, 100% of the issued and outstanding Capital Stock of each class of such Obligor Party.</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Event</w:t>
      </w:r>
      <w:r>
        <w:rPr>
          <w:rFonts w:ascii="Arial" w:cs="Arial" w:eastAsia="Arial" w:hAnsi="Arial"/>
          <w:sz w:val="18"/>
          <w:szCs w:val="18"/>
          <w:color w:val="auto"/>
        </w:rPr>
        <w:t>” means (a) the execution of any definitive agreement which when fully performed by the parties thereto, would result in a Change of Control; or (b) the commencement of a tender offer pursuant to Section 14(d) of the Exchange Act that would result in a Change of Control if completed.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Citi Credit Documents</w:t>
      </w:r>
      <w:r>
        <w:rPr>
          <w:rFonts w:ascii="Arial" w:cs="Arial" w:eastAsia="Arial" w:hAnsi="Arial"/>
          <w:sz w:val="18"/>
          <w:szCs w:val="18"/>
          <w:color w:val="auto"/>
        </w:rPr>
        <w:t>” means, collectively, (a) that certain Credit and Guaranty Agreement, dated as of March 3, 2014, among WIL-Bermuda, WIL-Delaware, WIL-Ireland (successor-in-interest to Weatherford International Ltd., a Swiss joint stock company), the lenders party thereto from time to time and Citicorp USA, Inc., as administrative agent and as issuing bank, and (b) that certain Continuing Agreement for Standby Letters of Credit, dated March 3, 2014, among WIL-Bermuda, WIL-Delaware, WIL-Ireland (successor-in-interest to Weatherford International Ltd., a Swiss joint stock company) and Citibank, N.A.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 and the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2.18(a)</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Commitments</w:t>
      </w:r>
      <w:r>
        <w:rPr>
          <w:rFonts w:ascii="Arial" w:cs="Arial" w:eastAsia="Arial" w:hAnsi="Arial"/>
          <w:sz w:val="18"/>
          <w:szCs w:val="18"/>
          <w:color w:val="auto"/>
        </w:rPr>
        <w:t>” means, collectively, the Extended Commitments and the Non-Extended Commitments, if applicable, and “</w:t>
      </w:r>
      <w:r>
        <w:rPr>
          <w:rFonts w:ascii="Arial" w:cs="Arial" w:eastAsia="Arial" w:hAnsi="Arial"/>
          <w:sz w:val="18"/>
          <w:szCs w:val="18"/>
          <w:u w:val="single" w:color="auto"/>
          <w:color w:val="auto"/>
        </w:rPr>
        <w:t>Commitment</w:t>
      </w:r>
      <w:r>
        <w:rPr>
          <w:rFonts w:ascii="Arial" w:cs="Arial" w:eastAsia="Arial" w:hAnsi="Arial"/>
          <w:sz w:val="18"/>
          <w:szCs w:val="18"/>
          <w:color w:val="auto"/>
        </w:rPr>
        <w:t>” means any Extended Commitment or Non-Extended Commitment, as the context may require.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 statute.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11.02(e)(ii)</w:t>
      </w:r>
      <w:r>
        <w:rPr>
          <w:rFonts w:ascii="Arial" w:cs="Arial" w:eastAsia="Arial" w:hAnsi="Arial"/>
          <w:sz w:val="18"/>
          <w:szCs w:val="18"/>
          <w:color w:val="auto"/>
        </w:rPr>
        <w:t>.</w:t>
      </w:r>
    </w:p>
    <w:p>
      <w:pPr>
        <w:sectPr>
          <w:pgSz w:w="11900" w:h="16838" w:orient="portrait"/>
          <w:cols w:equalWidth="0" w:num="1">
            <w:col w:w="11380"/>
          </w:cols>
          <w:pgMar w:left="240" w:top="125" w:right="279" w:bottom="32" w:gutter="0" w:footer="0" w:header="0"/>
        </w:sectPr>
      </w:pPr>
    </w:p>
    <w:bookmarkStart w:id="19" w:name="page20"/>
    <w:bookmarkEnd w:id="19"/>
    <w:p>
      <w:pPr>
        <w:ind w:right="6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xml:space="preserve">” means with respect to any fiscal period, a certificate of a Principal Financial Officer of WIL-Ireland substantially in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certifying as to (a) whether a Default has occurred and, if a Default has occurred, specifying the details thereof and any action taken or proposed to be taken with respect thereto, (b) setting forth reasonably detailed calculations demonstrating compliance with the Financial Covenants for such period, (c) attaching a summary report with respect to all Specified Letters of Credit, including all undrawn amounts thereunder, as of the last day of such period, (d) identifying all Material Specified Subsidiaries, (e) specifying whether any Material Specified Subsidiaries are organized in jurisdictions other than Specified Jurisdictions or Excluded Jurisdictions, and (f) stating whether any change in GAAP or in the application thereof has occurred since the date of WIL-Ireland’s consolidated financial statements most recently delivered pursuant to </w:t>
      </w:r>
      <w:r>
        <w:rPr>
          <w:rFonts w:ascii="Arial" w:cs="Arial" w:eastAsia="Arial" w:hAnsi="Arial"/>
          <w:sz w:val="17"/>
          <w:szCs w:val="17"/>
          <w:u w:val="single" w:color="auto"/>
          <w:color w:val="auto"/>
        </w:rPr>
        <w:t>Section 7.01(b)</w:t>
      </w:r>
      <w:r>
        <w:rPr>
          <w:rFonts w:ascii="Arial" w:cs="Arial" w:eastAsia="Arial" w:hAnsi="Arial"/>
          <w:sz w:val="17"/>
          <w:szCs w:val="17"/>
          <w:color w:val="auto"/>
        </w:rPr>
        <w:t xml:space="preserve"> and, if any such change has occurred, specifying the effect of such change on the financial statements accompanying such certificate.</w:t>
      </w:r>
    </w:p>
    <w:p>
      <w:pPr>
        <w:spacing w:after="0" w:line="17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Adjusted EBITDA</w:t>
      </w:r>
      <w:r>
        <w:rPr>
          <w:rFonts w:ascii="Arial" w:cs="Arial" w:eastAsia="Arial" w:hAnsi="Arial"/>
          <w:sz w:val="16"/>
          <w:szCs w:val="16"/>
          <w:color w:val="auto"/>
        </w:rPr>
        <w:t xml:space="preserve">” means, for any period and with respect to any Reference Group, Consolidated Net Income of such Reference Group for such period </w:t>
      </w:r>
      <w:r>
        <w:rPr>
          <w:rFonts w:ascii="Arial" w:cs="Arial" w:eastAsia="Arial" w:hAnsi="Arial"/>
          <w:sz w:val="16"/>
          <w:szCs w:val="16"/>
          <w:i w:val="1"/>
          <w:iCs w:val="1"/>
          <w:color w:val="auto"/>
        </w:rPr>
        <w:t>plus</w:t>
      </w:r>
      <w:r>
        <w:rPr>
          <w:rFonts w:ascii="Arial" w:cs="Arial" w:eastAsia="Arial" w:hAnsi="Arial"/>
          <w:sz w:val="16"/>
          <w:szCs w:val="16"/>
          <w:color w:val="auto"/>
        </w:rPr>
        <w:t>, (a) the following expenses or charges (without duplication) and to the extent deducted from revenues in determining Consolidated Net Income of such Reference Group for such period: (i) Consolidated Interest Expense, (ii) expense for income taxes, (iii) depreciation, (iv) amortization,</w:t>
      </w:r>
    </w:p>
    <w:p>
      <w:pPr>
        <w:jc w:val="both"/>
        <w:ind w:right="380" w:firstLine="8"/>
        <w:spacing w:after="0" w:line="281" w:lineRule="auto"/>
        <w:tabs>
          <w:tab w:leader="none" w:pos="2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extraordinary or non-recurring cash costs, expenses and charges, including those related to (A) severance, cost savings, operating expense reductions, facilities closings, percentage of completion contracts, consolidations, and integration costs and other restructuring charges or reserves and (B) litigation, settlement and judgment costs and expenses (provided that the aggregate amount of all amounts added back pursuant to this clause (v) shall not exceed $100,000,000 for any Testing Period), (vi) any non-cash losses or charges under Swap Agreements resulting from the application of FASB ASC 815,</w:t>
      </w:r>
    </w:p>
    <w:p>
      <w:pPr>
        <w:spacing w:after="0" w:line="2" w:lineRule="exact"/>
        <w:rPr>
          <w:rFonts w:ascii="Arial" w:cs="Arial" w:eastAsia="Arial" w:hAnsi="Arial"/>
          <w:sz w:val="16"/>
          <w:szCs w:val="16"/>
          <w:color w:val="auto"/>
        </w:rPr>
      </w:pPr>
    </w:p>
    <w:p>
      <w:pPr>
        <w:ind w:right="40" w:firstLine="8"/>
        <w:spacing w:after="0" w:line="270" w:lineRule="auto"/>
        <w:tabs>
          <w:tab w:leader="none" w:pos="3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non-cash compensation expenses or costs related to any management equity plan or stock option plan or any other management or employee benefit plan or agreement, (viii) fees, expenses, premiums and similar charges incurred in connection with the Term Loan Agreement, the 364-Day Revolving Credit Agreement, this Agreement and the Transactions, and (ix) all other non-cash charges, expenses or losses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following items of income or gains (without duplication) to the extent included in Consolidated Net Income of such Reference Group for such period, (i) interest income, (ii) income tax benefits (to the extent not netted from tax expense), (iii) any cash payments made during such period in respect of non-cash items described in clause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above subsequent to the Fiscal Quarter in which such non-cash expenses or losses were incurred (iv)</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any non-cash gains under Swap Agreements resulting from the application of FASB ASC 815 and (v) all other non-cash income or gains, all calculated for such Reference Group in accordance with GAAP on a consolidated basis. For the purposes of calculating Consolidated Adjusted EBITDA of any Reference Group for any Testing Period if at any time during such Testing Period any member of the applicable Reference Group shall have made any Material Acquisition or Material Disposition, Consolidated Adjusted EBITDA of such Reference Group for such Testing Period shall be calculated after giving effect thereto on a pro forma basis as if such Material Acquisition or Material Disposition had occurred on the first day of such Testing Period.</w:t>
      </w:r>
    </w:p>
    <w:p>
      <w:pPr>
        <w:spacing w:after="0" w:line="15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means, for any period and with respect to any Reference Group, the interest expense (including interest expense under Capital Lease Obligations that is treated as interest in accordance with GAAP) of such Reference Group calculated on a consolidated basis for such period with respect to (a) all outstanding Indebtedness of such Reference Group and all outstanding letters of credit, bank guaranties and bankers’ acceptances of such Reference Group, in each case allocable to such period in accordance with GAAP (including all commissions, discounts and other fees and charges owed with respect to letters of credit and bankers acceptance financing; amortization of original issue discount resulting from the issuance of indebtedness at less than par; financing fees (including arrangement, amendment and contract fees), debt issuance costs, commissions and expenses and, in each case, the amortization thereof; and net costs under interest rate Swap Agreements to the extent such net costs are allocable to such period in accordance with GAAP; but excluding any interest that is paid in kind by adding the amount thereof to the principal amount of the related Indebtedness) and (b) the interest, yield, discount or costs, as applicable, payable on all Attributable Receivables Amounts of such Reference Group and attributable to such period. In the event that any member of such Reference Group shall have completed a Material Acquisition or a Material Disposition at any time during any Testing Period, Consolidated Interest Expense shall be determined for such period on a pro forma basis as if such Material Acquisition or Material Disposition, and any related incurrence or repayment of Indebtedness, had occurred at the beginning of such Testing Period.</w:t>
      </w:r>
    </w:p>
    <w:p>
      <w:pPr>
        <w:spacing w:after="0" w:line="16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means, for any period and with respect to any Reference Group, the net income (or loss) of such Reference Group calculated in accordance with GAAP on a consolidated basis (without duplication) for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excluded, without duplication:</w:t>
      </w:r>
    </w:p>
    <w:p>
      <w:pPr>
        <w:ind w:left="260" w:hanging="252"/>
        <w:spacing w:after="0"/>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income (or loss) of any Person accrued prior to the date such Person became a Restricted Subsidiary of a member of such Reference Group, or is</w:t>
      </w:r>
    </w:p>
    <w:p>
      <w:pPr>
        <w:spacing w:after="0" w:line="32" w:lineRule="exact"/>
        <w:rPr>
          <w:rFonts w:ascii="Arial" w:cs="Arial" w:eastAsia="Arial" w:hAnsi="Arial"/>
          <w:sz w:val="16"/>
          <w:szCs w:val="16"/>
          <w:color w:val="auto"/>
        </w:rPr>
      </w:pPr>
    </w:p>
    <w:p>
      <w:pPr>
        <w:ind w:right="20"/>
        <w:spacing w:after="0" w:line="269" w:lineRule="auto"/>
        <w:rPr>
          <w:rFonts w:ascii="Arial" w:cs="Arial" w:eastAsia="Arial" w:hAnsi="Arial"/>
          <w:sz w:val="16"/>
          <w:szCs w:val="16"/>
          <w:color w:val="auto"/>
        </w:rPr>
      </w:pPr>
      <w:r>
        <w:rPr>
          <w:rFonts w:ascii="Arial" w:cs="Arial" w:eastAsia="Arial" w:hAnsi="Arial"/>
          <w:sz w:val="17"/>
          <w:szCs w:val="17"/>
          <w:color w:val="auto"/>
        </w:rPr>
        <w:t>merged into or consolidated with a member of such Reference Group or such Person’s assets are acquired by any member of such Reference Group; (b) the income (or loss) of any Person that is not a Restricted Subsidiary of any member of such Reference Group, or that is accounted for by the equity method of accounting (provided that Consolidated Net Income of such Reference Group for such period shall be increased by the amount of dividends or distributions or other payments that are actually paid in cash or Cash Equivalents to any member of such Reference Group by such Person during such period); (c) the undistributed earnings of any Restricted Subsidiary of any member of such Reference Group to the extent that the declaration or payment of dividends or similar distributions by such Restricted Subsidiary is not at the time permitted by operation of the terms of its organizational documents or any contractual obligation (other than the Loan Documents) or Requirement of Law applicable to such Restricted Subsidiary; and (d)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cumulative effect of a change in accounting principles and changes as a result of the adoption or modification of accounting policies during such period to the extent included in Consolidated Net Income of such Reference Group for such period.</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Convertible Indebtedness</w:t>
      </w:r>
      <w:r>
        <w:rPr>
          <w:rFonts w:ascii="Arial" w:cs="Arial" w:eastAsia="Arial" w:hAnsi="Arial"/>
          <w:sz w:val="16"/>
          <w:szCs w:val="16"/>
          <w:color w:val="auto"/>
        </w:rPr>
        <w:t>” means Indebtedness of WIL-Ireland or any of its Subsidiaries permitted to be incurred under the terms of this Agreement that is either (a) convertible or exchangeable into ordinary shares of WIL-Ireland (and cash in lieu of fractional shares) and/or cash (in an amount determined by reference to the price of such ordinary shares) or (b) sold as units with call options, warrants or rights to purchase (or substantially equivalent derivative transactions) that are exercisable for ordinary shares of WIL-Ireland and/or cash (in an amount determined by reference to the price of such common stock).</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Administrative Agent, any Issuing Bank, any Swingline Lender or any other Lender.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the occurrence of any event that with the giving of notice or the passage of time or both would become an Event of Default.</w:t>
      </w:r>
    </w:p>
    <w:p>
      <w:pPr>
        <w:sectPr>
          <w:pgSz w:w="11900" w:h="16838" w:orient="portrait"/>
          <w:cols w:equalWidth="0" w:num="1">
            <w:col w:w="11420"/>
          </w:cols>
          <w:pgMar w:left="240" w:top="125" w:right="239" w:bottom="0" w:gutter="0" w:footer="0" w:header="0"/>
        </w:sectPr>
      </w:pPr>
    </w:p>
    <w:bookmarkStart w:id="20" w:name="page21"/>
    <w:bookmarkEnd w:id="20"/>
    <w:p>
      <w:pPr>
        <w:spacing w:after="0" w:line="9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Obligor Party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any Obligor Party or any Credit Party, acting in good faith, to provide a certification in writing from an authorized officer of such Lender that it will comply with its obligations to fund prospective Loans and participations in then outstanding Letters of Credit and Swingline Loans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clause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upon such Obligor Party’s or Credit Party’s receipt of such certification in form and substance satisfactory to such Obligor Party or such Credit Party, as applicable, and the Administrative Agent, or (d) has become, or whose Lender Parent has become, the subject of a Bankruptcy Event or a Bail-In Action.</w:t>
      </w:r>
    </w:p>
    <w:p>
      <w:pPr>
        <w:spacing w:after="0" w:line="18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Assets</w:t>
      </w:r>
      <w:r>
        <w:rPr>
          <w:rFonts w:ascii="Arial" w:cs="Arial" w:eastAsia="Arial" w:hAnsi="Arial"/>
          <w:sz w:val="18"/>
          <w:szCs w:val="18"/>
          <w:color w:val="auto"/>
        </w:rPr>
        <w:t>” means, the assets used in the United States and Canadian land hydraulic fracturing pressure pumping, multistage completions and pump-down perforating businesses of WIL-Ireland and its Subsidiaries.</w:t>
      </w:r>
    </w:p>
    <w:p>
      <w:pPr>
        <w:spacing w:after="0" w:line="170"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Joint Venture</w:t>
      </w:r>
      <w:r>
        <w:rPr>
          <w:rFonts w:ascii="Arial" w:cs="Arial" w:eastAsia="Arial" w:hAnsi="Arial"/>
          <w:sz w:val="17"/>
          <w:szCs w:val="17"/>
          <w:color w:val="auto"/>
        </w:rPr>
        <w:t>” means either (a) the potential joint venture involving the Designated Assets that is described in the same writing delivered to the Administrative Agent and the Lenders prior to the Effective Date that describes the Designated Assets or (b) the joint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venture between WIL-Ireland and Schlumberger Limited more particularly described in the press release of WIL-Ireland dated March 24, 2017 captioned “Weatherford and Schlumberger to Form OneStim Joint Venture”.</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Joint Venture Investment</w:t>
      </w:r>
      <w:r>
        <w:rPr>
          <w:rFonts w:ascii="Arial" w:cs="Arial" w:eastAsia="Arial" w:hAnsi="Arial"/>
          <w:sz w:val="18"/>
          <w:szCs w:val="18"/>
          <w:color w:val="auto"/>
        </w:rPr>
        <w:t xml:space="preserve">” means an Investment permitted by </w:t>
      </w:r>
      <w:r>
        <w:rPr>
          <w:rFonts w:ascii="Arial" w:cs="Arial" w:eastAsia="Arial" w:hAnsi="Arial"/>
          <w:sz w:val="18"/>
          <w:szCs w:val="18"/>
          <w:u w:val="single" w:color="auto"/>
          <w:color w:val="auto"/>
        </w:rPr>
        <w:t>Section 8.06(h)</w:t>
      </w:r>
      <w:r>
        <w:rPr>
          <w:rFonts w:ascii="Arial" w:cs="Arial" w:eastAsia="Arial" w:hAnsi="Arial"/>
          <w:sz w:val="18"/>
          <w:szCs w:val="18"/>
          <w:color w:val="auto"/>
        </w:rPr>
        <w:t xml:space="preserve"> consisting of the contribution by WIL-Ireland or any Restricted Subsidiary of assets, other than cash or Cash Equivalents.</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Joint Venture Investments Basket</w:t>
      </w:r>
      <w:r>
        <w:rPr>
          <w:rFonts w:ascii="Arial" w:cs="Arial" w:eastAsia="Arial" w:hAnsi="Arial"/>
          <w:sz w:val="18"/>
          <w:szCs w:val="18"/>
          <w:color w:val="auto"/>
        </w:rPr>
        <w:t xml:space="preserve">” means, at any date of determination, an amount equal to the sum of (a) $25,000,000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if such date is on or after the first anniversary of the Effective Date, $25,000,000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if such date is on or after the second anniversary of the Effective Date, $25,000,000.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Deutsche Bank</w:t>
      </w:r>
      <w:r>
        <w:rPr>
          <w:rFonts w:ascii="Arial" w:cs="Arial" w:eastAsia="Arial" w:hAnsi="Arial"/>
          <w:sz w:val="18"/>
          <w:szCs w:val="18"/>
          <w:color w:val="auto"/>
        </w:rPr>
        <w:t>” means Deutsche Bank AG New York Branch and its successors.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w:t>
      </w:r>
      <w:r>
        <w:rPr>
          <w:rFonts w:ascii="Arial" w:cs="Arial" w:eastAsia="Arial" w:hAnsi="Arial"/>
          <w:sz w:val="18"/>
          <w:szCs w:val="18"/>
          <w:color w:val="auto"/>
        </w:rPr>
        <w:t>” means to sell, lease, assign, exchange, convey or otherwise transfer (excluding the granting of a Lien on) any property. “Disposition” has a meaning correlative thereto.</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Capital Stock</w:t>
      </w:r>
      <w:r>
        <w:rPr>
          <w:rFonts w:ascii="Arial" w:cs="Arial" w:eastAsia="Arial" w:hAnsi="Arial"/>
          <w:sz w:val="16"/>
          <w:szCs w:val="16"/>
          <w:color w:val="auto"/>
        </w:rPr>
        <w:t xml:space="preserve">” means any Capital Stock that, by its terms (or by the terms of any security into which it is convertible or for which it is exchangeable), or upon the happening of any event, (a) matures or is mandatorily redeemable for any consideration other than other Capital Stock (which would not constitute Disqualified Capital Stock), pursuant to a sinking fund obligation or otherwise, or (b) is convertible or exchangeable for Indebtedness or redeemable for any consideration other than other Capital Stock (which would not constitute Disqualified Capital Stock) at the option of the holder thereof, in whole or in part, in each case (determined as of the date of issuance), on or prior to the date that is 91 days after the latest to occur of (i) the Extended Maturity Date, (ii) the 364-Day Revolving Credit Maturity Date and (iii) the Term Loan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Capital Stock that would not constitute Disqualified Capital Stock but for provisions thereof giving holders thereof (or the holders of any security into which such Capital Stock is convertible or for which such Capital Stock is exchangeable) the right to require the issuer thereof to redeem such Capital Stock upon the occurrence of any Change of Control or any Disposition occurring prior to the date that is 91 days after the latest to occur of (i) the Extended Maturity Date, (ii) the 364-Day Revolving Credit Maturity Date and (iii) the Term Loan Maturity Date at the time such Capital Stock is issued shall not constitute Disqualified Capital Stock if such Capital Stock provides that the issuer thereof will not redeem any such Capital Stock pursuant to such provisions prior to Payment in Full.</w:t>
      </w:r>
    </w:p>
    <w:p>
      <w:pPr>
        <w:spacing w:after="0" w:line="17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on any date of determination, (a) with respect to any amount denominated in Dollars, such amount and (b) with respect to any amount denominated in an Alternative Currency, the equivalent in Dollars of such amount determined by the Administrative Agent in accordance with normal banking industry practice using the Exchange Rate on such date of determination. In making any determination of the Dollar Equivalent for any purpose, the Administrative Agent shall use the relevant Exchange Rate in effect on the date on which a Dollar Equivalent is required to be determined pursuant to the provisions of this Agreement. As appropriate, amounts specified herein as amounts in Dollars shall be or include any relevant Dollar Equivalent amount.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States of America.</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ECP</w:t>
      </w:r>
      <w:r>
        <w:rPr>
          <w:rFonts w:ascii="Arial" w:cs="Arial" w:eastAsia="Arial" w:hAnsi="Arial"/>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70"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w:t>
      </w:r>
    </w:p>
    <w:p>
      <w:pPr>
        <w:ind w:firstLine="8"/>
        <w:spacing w:after="0" w:line="261"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institution established in an EEA Member Country which is a subsidiary of an institution described in clauses (a) or (b) of this definition and is subject to consolidated supervision with its parent.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ectPr>
          <w:pgSz w:w="11900" w:h="16929" w:orient="portrait"/>
          <w:cols w:equalWidth="0" w:num="1">
            <w:col w:w="11420"/>
          </w:cols>
          <w:pgMar w:left="240" w:top="125" w:right="239" w:bottom="0" w:gutter="0" w:footer="0" w:header="0"/>
        </w:sectPr>
      </w:pPr>
    </w:p>
    <w:bookmarkStart w:id="21" w:name="page22"/>
    <w:bookmarkEnd w:id="21"/>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means the date on which each party hereto has executed and delivered this Agreement and the other conditions set forth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are first satisfied (or waived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Electronic System</w:t>
      </w:r>
      <w:r>
        <w:rPr>
          <w:rFonts w:ascii="Arial" w:cs="Arial" w:eastAsia="Arial" w:hAnsi="Arial"/>
          <w:sz w:val="17"/>
          <w:szCs w:val="17"/>
          <w:color w:val="auto"/>
        </w:rPr>
        <w:t>” means any electronic system, including e-mail, e-fax, Intralinks®, ClearPar®, Debt Domain, Syndtrak and any other Internet or extranet-based site, whether such electronic system is owned, operated or hosted by the Administrative Agent and the Issuing Bank and any of its respective Related Parties or any other Person, providing for access to data protected by passcodes or other security system.</w:t>
      </w:r>
    </w:p>
    <w:p>
      <w:pPr>
        <w:spacing w:after="0" w:line="166"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Requirements of Law, relating in any way to the protection of the environment, preservation or reclamation of natural resources, the management, release or threatened release of any Hazardous Material or to health and safety with respect to exposure to Hazardous Materials.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(including any liability for damages, costs of environmental remediation, fines, penalties or indemnities), of WIL-Ireland or any of its Subsidiaries resulting from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United States Employee Retirement Income Security Act of 1974, as amended from time to time, and all rules, regulations, rulings and interpretations adopted by the U.S. Department of Labor thereunder.</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 each member of a controlled group of corporations and each trade or business (whether or not incorporated) under common control which, together with WIL-Ireland or any Borrower, would be treated as a single employer at any time within the preceding six years under Section 414 of the Code and (b) any Subsidiary of any of the Obligors.</w:t>
      </w:r>
    </w:p>
    <w:p>
      <w:pPr>
        <w:spacing w:after="0" w:line="18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with respect to a Plan, whether or not waived; (c) the filing pursuant to Section 412(c) of the Code or Section 302(c) of ERISA of an application for a waiver of the minimum funding standard with respect to any Plan; (d) the incurrence by WIL-Ireland, any Borrower or any ERISA Affiliate of any liability under Title IV of ERISA with respect to the termination of any Plan; (e) the receipt by WIL-Ireland, any Borrower or any ERISA Affiliate from the PBGC or a plan administrator of any notice relating to an intention to terminate any Plan or to appoint a trustee to administer any Plan; (f) the incurrence by WIL-Ireland, any Borrower or any ERISA Affiliate of any liability with respect to the withdrawal or partial withdrawal from any Plan or Multiemployer Plan; (g) the receipt by any Multiemployer Plan from WIL-Ireland, any Borrower or any ERISA Affiliate of any notice, concerning the imposition upon WIL-Ireland, any Borrower or any ERISA Affiliate of Withdrawal Liability or a determination that a Multiemployer Plan is, or is expected to be, insolvent or is subject to the requirements for plans in endangered, critical or critical and declining status under Section 432 of the Code or Section 305 of ERISA; or (h) any Foreign Plan Event.</w:t>
      </w:r>
    </w:p>
    <w:p>
      <w:pPr>
        <w:spacing w:after="0" w:line="18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LIBO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2.06(c)(i)</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Excess Cash Flow</w:t>
      </w:r>
      <w:r>
        <w:rPr>
          <w:rFonts w:ascii="Arial" w:cs="Arial" w:eastAsia="Arial" w:hAnsi="Arial"/>
          <w:sz w:val="17"/>
          <w:szCs w:val="17"/>
          <w:color w:val="auto"/>
        </w:rPr>
        <w:t>” means, for any Fiscal Quarter, the excess, if any, of (a) the sum, without duplication, of (i) Consolidated Net Income for the WIL-Ireland Group for such Fiscal Quarter, (ii) the amount of all non-cash charges (including depreciation and amortization) deducted in arriving at such Consolidated Net Income, (iii) decreases in Working Capital for such Fiscal Quarter, and (iv) the aggregate net amount of non-cash loss on the disposition of property by WIL-Ireland and its Restricted Subsidiaries during such Fiscal Quarter (other than sales of inventory in the ordinary course of business), to the extent deducted in arriving at such Consolidated Net Income over (b) the sum, without duplication, of (i) the amount of all non-cash</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credits included in arriving at such Consolidated Net Income, (ii) the aggregate amount actually paid by WIL-Ireland and its Restricted Subsidiaries in cash during such Fiscal Quarter on account of capital expenditures, (iii) the aggregate amount of all regularly scheduled principal payments of Long-Term Debt (including the Term Loans) of WIL-Ireland and its Restricted Subsidiaries made during such Fiscal Quarter (other than in respect of any revolving credit facility to the extent there is not an equivalent permanent reduction in commitments thereunder), (iv) increases in Working Capital for such Fiscal Quarter, and (v) the aggregate net amount of non-cash gain on the disposition of property by WIL-Ireland and its Restricted Subsidiaries during such Fiscal Quarter (other than sales of inventory in the ordinary course of business), to the extent included in arriving at such Consolidated Net Income;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in the case of clause (b)(ii), such amount shall exclude the principal amount of Indebtedness incurred in connection with such expenditures and (B) in the case of clauses (b)(ii) and (b)(iii), such amounts shall exclude any such expenditures or payments financed with insurance proceeds, issuances of Capital Stock by WIL-Ireland (other than Disqualified Capital Stock), or the proceeds of Dispositions of assets.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w:t>
      </w:r>
    </w:p>
    <w:p>
      <w:pPr>
        <w:sectPr>
          <w:pgSz w:w="11900" w:h="16838" w:orient="portrait"/>
          <w:cols w:equalWidth="0" w:num="1">
            <w:col w:w="11420"/>
          </w:cols>
          <w:pgMar w:left="240" w:top="341" w:right="239" w:bottom="0" w:gutter="0" w:footer="0" w:header="0"/>
        </w:sectPr>
      </w:pPr>
    </w:p>
    <w:bookmarkStart w:id="22" w:name="page23"/>
    <w:bookmarkEnd w:id="22"/>
    <w:p>
      <w:pPr>
        <w:spacing w:after="0" w:line="103"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xml:space="preserve">” shall mean, on any day, (a) with respect to any Alternative Currency on a particular date, the rate of exchange for the purchase of Dollars with such Alternative Currency in the London foreign exchange market at or about 11:00 a.m. London time (or New York time, as applicable) on a particular day as displayed by ICE Data Services as the “ask price”, or as displayed on such other information service which publishes that rate of exchange from time to time in place of ICE Data Services (or if such service ceases to be available, the equivalent of such amount in Dollars as determined by the Administrative Agent, in consultation with the Borrowers, using any method of determination it deems reasonably appropriate) and (b) if such amount is denominated in any other currency (other than Dollars), the equivalent of such amount in Dollars as determined by the Administrative Agent, in consultation with the Borrowers, using any method of determination it deems reasonably appropriate;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with any determination by the Administrative Agent of the equivalent of such amount in Dollars, as applicable, pursuant to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upon the written request of any Borrower, the Administrative Agent shall notify such Borrower of the sources used to determine such amount.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Jurisdictions</w:t>
      </w:r>
      <w:r>
        <w:rPr>
          <w:rFonts w:ascii="Arial" w:cs="Arial" w:eastAsia="Arial" w:hAnsi="Arial"/>
          <w:sz w:val="18"/>
          <w:szCs w:val="18"/>
          <w:color w:val="auto"/>
        </w:rPr>
        <w:t xml:space="preserve">” means the countries or other jurisdictions identified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hereto.</w:t>
      </w:r>
    </w:p>
    <w:p>
      <w:pPr>
        <w:spacing w:after="0" w:line="22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Obligor, any Specified Swap Obligation if, and to the extent that, all or a portion of the guarantee of such Obligor of, or the grant by such Obligor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Obligor’s failure for any reason to constitute an ECP at the time the guarantee of such Obligor or the grant of such security interest becomes effective with respect to such Specified Swap Obligation. If a Specified Swap Obligation arises under a master agreement governing more than one swap, such exclusion shall apply only to the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portion of such Specified Swap Obligation that is attributable to swaps for which such guarantee or security interest is or becomes illegal.</w:t>
      </w:r>
    </w:p>
    <w:p>
      <w:pPr>
        <w:spacing w:after="0" w:line="22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any Lender, any Issuing Bank or any other recipient of any payment to be made by or on account of any obligation of any Borrower or Guarantor under any Loan Document, (a) any taxes imposed on (or measured by reference to, in whole or in part) its income, profits, capital or net worth (but excluding withholding Taxes for purposes of this subsection </w:t>
      </w:r>
      <w:r>
        <w:rPr>
          <w:rFonts w:ascii="Arial" w:cs="Arial" w:eastAsia="Arial" w:hAnsi="Arial"/>
          <w:sz w:val="16"/>
          <w:szCs w:val="16"/>
          <w:u w:val="single" w:color="auto"/>
          <w:color w:val="auto"/>
        </w:rPr>
        <w:t>(a)</w:t>
      </w:r>
      <w:r>
        <w:rPr>
          <w:rFonts w:ascii="Arial" w:cs="Arial" w:eastAsia="Arial" w:hAnsi="Arial"/>
          <w:sz w:val="16"/>
          <w:szCs w:val="16"/>
          <w:color w:val="auto"/>
        </w:rPr>
        <w:t xml:space="preserve"> only) (i) by the United States of America, or by the jurisdiction under the laws of which such recipient is organized or resident or in which its principal office is located or, in the case of any Lender, in which its applicable lending office is located or (ii) that are Other Connection Taxes, (b) any branch profits taxes imposed by the United States of America or any similar tax imposed by any other jurisdiction in which a Borrower, the Administrative Agent, any Lender, any Issuing Bank or any other such recipient is located or otherwise conducting business activity, (c) in the case of a Lender (other than an assignee pursuant to an assignment required by WIL-Bermuda under </w:t>
      </w:r>
      <w:r>
        <w:rPr>
          <w:rFonts w:ascii="Arial" w:cs="Arial" w:eastAsia="Arial" w:hAnsi="Arial"/>
          <w:sz w:val="16"/>
          <w:szCs w:val="16"/>
          <w:u w:val="single" w:color="auto"/>
          <w:color w:val="auto"/>
        </w:rPr>
        <w:t>Section 4.03(b)</w:t>
      </w:r>
      <w:r>
        <w:rPr>
          <w:rFonts w:ascii="Arial" w:cs="Arial" w:eastAsia="Arial" w:hAnsi="Arial"/>
          <w:sz w:val="16"/>
          <w:szCs w:val="16"/>
          <w:color w:val="auto"/>
        </w:rPr>
        <w:t xml:space="preserve">), any withholding tax that is imposed on amounts payable to such Lender at the time such Lender becomes a party to this Agreement (or designates a new lending office) or would have been so imposed if a Borrower were a United States corporation, except to the extent that such Lender (or its assignor, if any) was entitled, at the time of designation of a new lending office (or assignment), to receive additional amounts from such Borrower with respect to such withholding tax pursuant to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(d) in the case of any Lender that becomes a party to this Agreement after the date hereof (or designates a new lending office after the date hereof) without the prior written consent of WIL to the extent required by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(other than</w:t>
      </w:r>
    </w:p>
    <w:p>
      <w:pPr>
        <w:spacing w:after="0" w:line="4" w:lineRule="exact"/>
        <w:rPr>
          <w:sz w:val="20"/>
          <w:szCs w:val="20"/>
          <w:color w:val="auto"/>
        </w:rPr>
      </w:pPr>
    </w:p>
    <w:p>
      <w:pPr>
        <w:ind w:right="20" w:firstLine="8"/>
        <w:spacing w:after="0" w:line="251" w:lineRule="auto"/>
        <w:tabs>
          <w:tab w:leader="none" w:pos="2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 Lender that becomes a party to this Agreement or designates a new lending office when an Event of Default has occurred and is continuing, (ii) a Lender that designates a new lending office after the date hereof pursuant to </w:t>
      </w:r>
      <w:r>
        <w:rPr>
          <w:rFonts w:ascii="Arial" w:cs="Arial" w:eastAsia="Arial" w:hAnsi="Arial"/>
          <w:sz w:val="18"/>
          <w:szCs w:val="18"/>
          <w:u w:val="single" w:color="auto"/>
          <w:color w:val="auto"/>
        </w:rPr>
        <w:t>Section 4.03(a)</w:t>
      </w:r>
      <w:r>
        <w:rPr>
          <w:rFonts w:ascii="Arial" w:cs="Arial" w:eastAsia="Arial" w:hAnsi="Arial"/>
          <w:sz w:val="18"/>
          <w:szCs w:val="18"/>
          <w:color w:val="auto"/>
        </w:rPr>
        <w:t xml:space="preserve">, (iii) an assignee pursuant to an assignment by a Lender under </w:t>
      </w:r>
      <w:r>
        <w:rPr>
          <w:rFonts w:ascii="Arial" w:cs="Arial" w:eastAsia="Arial" w:hAnsi="Arial"/>
          <w:sz w:val="18"/>
          <w:szCs w:val="18"/>
          <w:u w:val="single" w:color="auto"/>
          <w:color w:val="auto"/>
        </w:rPr>
        <w:t>Section 4.03(a)</w:t>
      </w:r>
      <w:r>
        <w:rPr>
          <w:rFonts w:ascii="Arial" w:cs="Arial" w:eastAsia="Arial" w:hAnsi="Arial"/>
          <w:sz w:val="18"/>
          <w:szCs w:val="18"/>
          <w:color w:val="auto"/>
        </w:rPr>
        <w:t xml:space="preserve">, and (iv) an assignee pursuant to an assignment required by WIL-Bermuda under </w:t>
      </w:r>
      <w:r>
        <w:rPr>
          <w:rFonts w:ascii="Arial" w:cs="Arial" w:eastAsia="Arial" w:hAnsi="Arial"/>
          <w:sz w:val="18"/>
          <w:szCs w:val="18"/>
          <w:u w:val="single" w:color="auto"/>
          <w:color w:val="auto"/>
        </w:rPr>
        <w:t>Section 4.03(b))</w:t>
      </w:r>
      <w:r>
        <w:rPr>
          <w:rFonts w:ascii="Arial" w:cs="Arial" w:eastAsia="Arial" w:hAnsi="Arial"/>
          <w:sz w:val="18"/>
          <w:szCs w:val="18"/>
          <w:color w:val="auto"/>
        </w:rPr>
        <w:t xml:space="preserve">, any withholding tax that is imposed on amounts payable to such Lender pursuant to any Loan Document (and including any additional withholding tax that is imposed on amounts payable to such Lender as a result of a change in treaty, law or regulation), (e) in the case of a Lender, any withholding tax imposed on amounts payable to such Lender immediately after it changes its jurisdiction of organization and/or tax residency, except to the extent payments to, or for the benefit of, such Lender were subject to a withholding tax for which an Obligor was responsible immediately prior to the Lender’s change in jurisdiction and/or tax residency, (f) any withholding tax attributable to such Lender’s failure to comply with </w:t>
      </w:r>
      <w:r>
        <w:rPr>
          <w:rFonts w:ascii="Arial" w:cs="Arial" w:eastAsia="Arial" w:hAnsi="Arial"/>
          <w:sz w:val="18"/>
          <w:szCs w:val="18"/>
          <w:u w:val="single" w:color="auto"/>
          <w:color w:val="auto"/>
        </w:rPr>
        <w:t>Section 4.02(c)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4.02(e)</w:t>
      </w:r>
      <w:r>
        <w:rPr>
          <w:rFonts w:ascii="Arial" w:cs="Arial" w:eastAsia="Arial" w:hAnsi="Arial"/>
          <w:sz w:val="18"/>
          <w:szCs w:val="18"/>
          <w:color w:val="auto"/>
        </w:rPr>
        <w:t xml:space="preserve"> and (g) any United States federal withholding Taxes imposed by FATCA.</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means July 12, 2019.</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Senior Notes</w:t>
      </w:r>
      <w:r>
        <w:rPr>
          <w:rFonts w:ascii="Arial" w:cs="Arial" w:eastAsia="Arial" w:hAnsi="Arial"/>
          <w:sz w:val="18"/>
          <w:szCs w:val="18"/>
          <w:color w:val="auto"/>
        </w:rPr>
        <w:t>” means, collectively, (a) the 6.800% Senior Notes due June 15, 2037 issued by WIL-Delaware, (b) the 6.500% Senior Notes due August 1, 2036 issued by WIL-Bermuda, (c) the 7.000% Senior Notes due March 15, 2038 issued by WIL-Bermuda, (d)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9.875% Senior Notes due March 1, 2039 issued by WIL-Bermuda, (e) the 2020 Senior Notes, (f) the 6.750% Senior Notes due September 15, 2040 issued by WIL-Bermuda, (g) the 4.500% Senior Notes due April 15, 2022 issued by WIL-Bermuda, (h) the 5.950% Senior Notes due April 15, 2042 issued by WIL-Bermuda, (i) the 5.875% Exchangeable Senior Notes due July 1, 2021 issued by WIL-Bermuda, (j) the 7.75% Senior Notes due June 15, 2021 issued by WIL-Bermuda, (k) the 8.25% Senior Notes due June 15, 2023 issued by WIL-Bermuda, (l) the 9.875% Senior Notes due February 15, 2024 issued by WIL-Bermuda and (m) the 9.875% Senior Notes due March 1, 2025 issued by WIL-Delaware.</w:t>
      </w:r>
    </w:p>
    <w:p>
      <w:pPr>
        <w:spacing w:after="0" w:line="173"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Senior Notes Indentures</w:t>
      </w:r>
      <w:r>
        <w:rPr>
          <w:rFonts w:ascii="Arial" w:cs="Arial" w:eastAsia="Arial" w:hAnsi="Arial"/>
          <w:sz w:val="16"/>
          <w:szCs w:val="16"/>
          <w:color w:val="auto"/>
        </w:rPr>
        <w:t>” means, collectively, (a) that certain Indenture, dated as of June 18, 2007, among WIL-Delaware, as issuer, WIL-Bermuda, as guarantor, and Deutsche Bank Trust Company Americas, as trustee, and (b) that certain Indenture, dated as of October 1, 2003, among WIL-Bermuda, as issuer, WIL-Delaware, as guarantor, and Deutsche Bank Trust Company Americas, as trustee, in each case, as supplemented or otherwise modified by all supplemental indentures thereto or any other document supplementing or modifying the terms of such Indentures.</w:t>
      </w:r>
    </w:p>
    <w:p>
      <w:pPr>
        <w:spacing w:after="0" w:line="154"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Extended Commitment</w:t>
      </w:r>
      <w:r>
        <w:rPr>
          <w:rFonts w:ascii="Arial" w:cs="Arial" w:eastAsia="Arial" w:hAnsi="Arial"/>
          <w:sz w:val="16"/>
          <w:szCs w:val="16"/>
          <w:color w:val="auto"/>
        </w:rPr>
        <w:t xml:space="preserve">” means, with respect to each Extending Lender, the commitment of such Extending Lender to (a) make Loans, (b) acquire participations in Letters of Credit hereunder and (c) acquire participations in Swingline Loans, which commitment will terminate on the Extended Maturity Date (if not terminated earlier in accordance with the terms hereof), in an aggregate principal amount set forth opposite such Extending Lender’s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under the heading “Extended Commitment” or in the Additional Lender Supplement or Assignment and Assumption pursuant to which such Extending Lender shall have provided or assumed its Extended Commitment, as applicable, as such amount may be (i) reduced from time to time pursuant to</w:t>
      </w:r>
    </w:p>
    <w:p>
      <w:pPr>
        <w:sectPr>
          <w:pgSz w:w="11900" w:h="16941" w:orient="portrait"/>
          <w:cols w:equalWidth="0" w:num="1">
            <w:col w:w="11380"/>
          </w:cols>
          <w:pgMar w:left="240" w:top="125" w:right="279" w:bottom="0" w:gutter="0" w:footer="0" w:header="0"/>
        </w:sectPr>
      </w:pPr>
    </w:p>
    <w:bookmarkStart w:id="23" w:name="page24"/>
    <w:bookmarkEnd w:id="23"/>
    <w:p>
      <w:pPr>
        <w:ind w:right="140"/>
        <w:spacing w:after="0" w:line="277" w:lineRule="auto"/>
        <w:rPr>
          <w:sz w:val="20"/>
          <w:szCs w:val="20"/>
          <w:color w:val="auto"/>
        </w:rPr>
      </w:pP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(ii) increased from time to time pursuant to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and (iii) reduced or increased from time to time pursuant to assignments by or to such Extending Lender pursuant to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11.05</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Expiration Letter of Credit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3.01(c)</w:t>
      </w:r>
      <w:r>
        <w:rPr>
          <w:rFonts w:ascii="Arial" w:cs="Arial" w:eastAsia="Arial" w:hAnsi="Arial"/>
          <w:sz w:val="18"/>
          <w:szCs w:val="18"/>
          <w:color w:val="auto"/>
        </w:rPr>
        <w:t>.</w:t>
      </w:r>
    </w:p>
    <w:p>
      <w:pPr>
        <w:spacing w:after="0" w:line="225"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Maturity Date</w:t>
      </w:r>
      <w:r>
        <w:rPr>
          <w:rFonts w:ascii="Arial" w:cs="Arial" w:eastAsia="Arial" w:hAnsi="Arial"/>
          <w:sz w:val="18"/>
          <w:szCs w:val="18"/>
          <w:color w:val="auto"/>
        </w:rPr>
        <w:t xml:space="preserve">” means July 13, 2020;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WIL-Bermuda has not voluntarily Redeemed a necessary amount of its 2020 Senior Notes prior to June 12, 2020 such that no more than $50,000,000 of its 2020 Senior Notes remain outstanding on such date, then the Extended Maturity Date shall be June 12, 2020 unless WIL-Bermuda has deposited such necessary amount in cash into an Acceptable Deposit Account on or before such date.</w:t>
      </w:r>
    </w:p>
    <w:p>
      <w:pPr>
        <w:spacing w:after="0" w:line="18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xml:space="preserve">” means each Person listed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to the extent such Person is providing an Extended Commitment and any other Person that (a) accepts an assignment from, and assumes the obligations of, an Extending Lender pursuant to an Assignment and Assumption Agreement, other than any such Person that ceases to be a party hereto pursuant to an Assignment and Assumption Agreement or (b) provides all or a portion of any Incremental Commitments in accordance with </w:t>
      </w:r>
      <w:r>
        <w:rPr>
          <w:rFonts w:ascii="Arial" w:cs="Arial" w:eastAsia="Arial" w:hAnsi="Arial"/>
          <w:sz w:val="18"/>
          <w:szCs w:val="18"/>
          <w:u w:val="single" w:color="auto"/>
          <w:color w:val="auto"/>
        </w:rPr>
        <w:t>Section 2.18</w:t>
      </w:r>
      <w:r>
        <w:rPr>
          <w:rFonts w:ascii="Arial" w:cs="Arial" w:eastAsia="Arial" w:hAnsi="Arial"/>
          <w:sz w:val="18"/>
          <w:szCs w:val="18"/>
          <w:color w:val="auto"/>
        </w:rPr>
        <w:t>.</w:t>
      </w:r>
    </w:p>
    <w:p>
      <w:pPr>
        <w:spacing w:after="0" w:line="187" w:lineRule="exact"/>
        <w:rPr>
          <w:sz w:val="20"/>
          <w:szCs w:val="20"/>
          <w:color w:val="auto"/>
        </w:rPr>
      </w:pPr>
    </w:p>
    <w:p>
      <w:pPr>
        <w:ind w:right="20" w:firstLine="6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 Applicable Rate</w:t>
      </w:r>
      <w:r>
        <w:rPr>
          <w:rFonts w:ascii="Arial" w:cs="Arial" w:eastAsia="Arial" w:hAnsi="Arial"/>
          <w:sz w:val="18"/>
          <w:szCs w:val="18"/>
          <w:color w:val="auto"/>
        </w:rPr>
        <w:t>” means, for any day, with respect to the facility fees payable to any Extending Lender hereunder or with respect to any Eurodollar Revolving Credit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Loan or ABR Revolving Credit Loan of any Extending Lender, as the case may be, the applicable rate per annum set forth below under the captions “Facility Fee Rate”, “LIBOR Margin” or “ABR Margin”, as the case may be, based upon the Specified Senior Leverage Ratio as of the most recently ended Fiscal Quarter for which financial statements are available:</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rPr>
              <w:t>Category</w:t>
            </w:r>
          </w:p>
        </w:tc>
        <w:tc>
          <w:tcPr>
            <w:tcW w:w="280" w:type="dxa"/>
            <w:vAlign w:val="bottom"/>
            <w:vMerge w:val="restart"/>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4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91"/>
              </w:rPr>
              <w:t>Specified Senior</w:t>
            </w: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Facility Fee</w:t>
            </w: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LIBOR</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ABR</w:t>
            </w:r>
          </w:p>
        </w:tc>
        <w:tc>
          <w:tcPr>
            <w:tcW w:w="0" w:type="dxa"/>
            <w:vAlign w:val="bottom"/>
          </w:tcPr>
          <w:p>
            <w:pPr>
              <w:spacing w:after="0"/>
              <w:rPr>
                <w:sz w:val="1"/>
                <w:szCs w:val="1"/>
                <w:color w:val="auto"/>
              </w:rPr>
            </w:pPr>
          </w:p>
        </w:tc>
      </w:tr>
      <w:tr>
        <w:trPr>
          <w:trHeight w:val="171"/>
        </w:trPr>
        <w:tc>
          <w:tcPr>
            <w:tcW w:w="15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2"/>
          </w:tcPr>
          <w:p>
            <w:pPr>
              <w:jc w:val="center"/>
              <w:ind w:right="1260"/>
              <w:spacing w:after="0"/>
              <w:rPr>
                <w:sz w:val="20"/>
                <w:szCs w:val="20"/>
                <w:color w:val="auto"/>
              </w:rPr>
            </w:pPr>
            <w:r>
              <w:rPr>
                <w:rFonts w:ascii="Arial" w:cs="Arial" w:eastAsia="Arial" w:hAnsi="Arial"/>
                <w:sz w:val="14"/>
                <w:szCs w:val="14"/>
                <w:b w:val="1"/>
                <w:bCs w:val="1"/>
                <w:color w:val="auto"/>
                <w:w w:val="93"/>
              </w:rPr>
              <w:t>Leverage Ratio</w:t>
            </w:r>
          </w:p>
        </w:tc>
        <w:tc>
          <w:tcPr>
            <w:tcW w:w="3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3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Margin</w:t>
            </w:r>
          </w:p>
        </w:tc>
        <w:tc>
          <w:tcPr>
            <w:tcW w:w="3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Margin</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Category 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1240"/>
              <w:spacing w:after="0"/>
              <w:rPr>
                <w:sz w:val="20"/>
                <w:szCs w:val="20"/>
                <w:color w:val="auto"/>
              </w:rPr>
            </w:pPr>
            <w:r>
              <w:rPr>
                <w:rFonts w:ascii="Arial" w:cs="Arial" w:eastAsia="Arial" w:hAnsi="Arial"/>
                <w:sz w:val="18"/>
                <w:szCs w:val="18"/>
                <w:color w:val="auto"/>
                <w:w w:val="90"/>
              </w:rPr>
              <w:t>&lt; 1.00 to 1.00</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0.325%</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2.675%</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176"/>
        </w:trPr>
        <w:tc>
          <w:tcPr>
            <w:tcW w:w="186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Category 2</w:t>
            </w:r>
          </w:p>
        </w:tc>
        <w:tc>
          <w:tcPr>
            <w:tcW w:w="560" w:type="dxa"/>
            <w:vAlign w:val="bottom"/>
          </w:tcPr>
          <w:p>
            <w:pPr>
              <w:spacing w:after="0"/>
              <w:rPr>
                <w:sz w:val="15"/>
                <w:szCs w:val="15"/>
                <w:color w:val="auto"/>
              </w:rPr>
            </w:pPr>
          </w:p>
        </w:tc>
        <w:tc>
          <w:tcPr>
            <w:tcW w:w="3220" w:type="dxa"/>
            <w:vAlign w:val="bottom"/>
            <w:gridSpan w:val="5"/>
          </w:tcPr>
          <w:p>
            <w:pPr>
              <w:jc w:val="center"/>
              <w:ind w:right="880"/>
              <w:spacing w:after="0" w:line="176" w:lineRule="exact"/>
              <w:rPr>
                <w:sz w:val="20"/>
                <w:szCs w:val="20"/>
                <w:color w:val="auto"/>
              </w:rPr>
            </w:pPr>
            <w:r>
              <w:rPr>
                <w:rFonts w:ascii="Arial" w:cs="Arial" w:eastAsia="Arial" w:hAnsi="Arial"/>
                <w:sz w:val="18"/>
                <w:szCs w:val="18"/>
                <w:color w:val="auto"/>
                <w:w w:val="91"/>
              </w:rPr>
              <w:t>&gt; 1.00 to 1.00 but &lt; 2.00 to 1.00</w:t>
            </w:r>
          </w:p>
        </w:tc>
        <w:tc>
          <w:tcPr>
            <w:tcW w:w="140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0.400%</w:t>
            </w:r>
          </w:p>
        </w:tc>
        <w:tc>
          <w:tcPr>
            <w:tcW w:w="138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3.550%</w:t>
            </w:r>
          </w:p>
        </w:tc>
        <w:tc>
          <w:tcPr>
            <w:tcW w:w="13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1"/>
        </w:trPr>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Category 3</w:t>
            </w:r>
          </w:p>
        </w:tc>
        <w:tc>
          <w:tcPr>
            <w:tcW w:w="560" w:type="dxa"/>
            <w:vAlign w:val="bottom"/>
            <w:shd w:val="clear" w:color="auto" w:fill="CCEEFF"/>
          </w:tcPr>
          <w:p>
            <w:pPr>
              <w:spacing w:after="0"/>
              <w:rPr>
                <w:sz w:val="17"/>
                <w:szCs w:val="17"/>
                <w:color w:val="auto"/>
              </w:rPr>
            </w:pPr>
          </w:p>
        </w:tc>
        <w:tc>
          <w:tcPr>
            <w:tcW w:w="3220" w:type="dxa"/>
            <w:vAlign w:val="bottom"/>
            <w:gridSpan w:val="5"/>
            <w:shd w:val="clear" w:color="auto" w:fill="CCEEFF"/>
          </w:tcPr>
          <w:p>
            <w:pPr>
              <w:jc w:val="center"/>
              <w:ind w:right="880"/>
              <w:spacing w:after="0" w:line="176" w:lineRule="exact"/>
              <w:rPr>
                <w:sz w:val="20"/>
                <w:szCs w:val="20"/>
                <w:color w:val="auto"/>
              </w:rPr>
            </w:pPr>
            <w:r>
              <w:rPr>
                <w:rFonts w:ascii="Arial" w:cs="Arial" w:eastAsia="Arial" w:hAnsi="Arial"/>
                <w:sz w:val="18"/>
                <w:szCs w:val="18"/>
                <w:color w:val="auto"/>
                <w:w w:val="91"/>
              </w:rPr>
              <w:t>&gt; 2.00 to 1.00 but &lt; 2.50 to 1.00</w:t>
            </w:r>
          </w:p>
        </w:tc>
        <w:tc>
          <w:tcPr>
            <w:tcW w:w="14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0.500%</w:t>
            </w:r>
          </w:p>
        </w:tc>
        <w:tc>
          <w:tcPr>
            <w:tcW w:w="13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3.950%</w:t>
            </w:r>
          </w:p>
        </w:tc>
        <w:tc>
          <w:tcPr>
            <w:tcW w:w="13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176"/>
        </w:trPr>
        <w:tc>
          <w:tcPr>
            <w:tcW w:w="1860" w:type="dxa"/>
            <w:vAlign w:val="bottom"/>
            <w:tcBorders>
              <w:top w:val="single" w:sz="8" w:color="CCEEFF"/>
            </w:tcBorders>
            <w:gridSpan w:val="2"/>
          </w:tcPr>
          <w:p>
            <w:pPr>
              <w:ind w:left="400"/>
              <w:spacing w:after="0" w:line="176" w:lineRule="exact"/>
              <w:rPr>
                <w:sz w:val="20"/>
                <w:szCs w:val="20"/>
                <w:color w:val="auto"/>
              </w:rPr>
            </w:pPr>
            <w:r>
              <w:rPr>
                <w:rFonts w:ascii="Arial" w:cs="Arial" w:eastAsia="Arial" w:hAnsi="Arial"/>
                <w:sz w:val="18"/>
                <w:szCs w:val="18"/>
                <w:color w:val="auto"/>
              </w:rPr>
              <w:t>Category 4</w:t>
            </w:r>
          </w:p>
        </w:tc>
        <w:tc>
          <w:tcPr>
            <w:tcW w:w="5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2540" w:type="dxa"/>
            <w:vAlign w:val="bottom"/>
            <w:tcBorders>
              <w:top w:val="single" w:sz="8" w:color="CCEEFF"/>
            </w:tcBorders>
            <w:gridSpan w:val="3"/>
          </w:tcPr>
          <w:p>
            <w:pPr>
              <w:jc w:val="center"/>
              <w:ind w:right="1540"/>
              <w:spacing w:after="0" w:line="176" w:lineRule="exact"/>
              <w:rPr>
                <w:sz w:val="20"/>
                <w:szCs w:val="20"/>
                <w:color w:val="auto"/>
              </w:rPr>
            </w:pPr>
            <w:r>
              <w:rPr>
                <w:rFonts w:ascii="Arial" w:cs="Arial" w:eastAsia="Arial" w:hAnsi="Arial"/>
                <w:sz w:val="18"/>
                <w:szCs w:val="18"/>
                <w:color w:val="auto"/>
                <w:w w:val="90"/>
              </w:rPr>
              <w:t>&gt; 2.50 to 1.00</w:t>
            </w:r>
          </w:p>
        </w:tc>
        <w:tc>
          <w:tcPr>
            <w:tcW w:w="1400" w:type="dxa"/>
            <w:vAlign w:val="bottom"/>
            <w:tcBorders>
              <w:top w:val="single" w:sz="8" w:color="CCEEFF"/>
            </w:tcBorders>
            <w:gridSpan w:val="2"/>
          </w:tcPr>
          <w:p>
            <w:pPr>
              <w:jc w:val="right"/>
              <w:ind w:right="160"/>
              <w:spacing w:after="0" w:line="176" w:lineRule="exact"/>
              <w:rPr>
                <w:sz w:val="20"/>
                <w:szCs w:val="20"/>
                <w:color w:val="auto"/>
              </w:rPr>
            </w:pPr>
            <w:r>
              <w:rPr>
                <w:rFonts w:ascii="Arial" w:cs="Arial" w:eastAsia="Arial" w:hAnsi="Arial"/>
                <w:sz w:val="18"/>
                <w:szCs w:val="18"/>
                <w:color w:val="auto"/>
              </w:rPr>
              <w:t>0.750%</w:t>
            </w:r>
          </w:p>
        </w:tc>
        <w:tc>
          <w:tcPr>
            <w:tcW w:w="1380" w:type="dxa"/>
            <w:vAlign w:val="bottom"/>
            <w:tcBorders>
              <w:top w:val="single" w:sz="8" w:color="CCEEFF"/>
            </w:tcBorders>
            <w:gridSpan w:val="2"/>
          </w:tcPr>
          <w:p>
            <w:pPr>
              <w:jc w:val="right"/>
              <w:ind w:right="160"/>
              <w:spacing w:after="0" w:line="176" w:lineRule="exact"/>
              <w:rPr>
                <w:sz w:val="20"/>
                <w:szCs w:val="20"/>
                <w:color w:val="auto"/>
              </w:rPr>
            </w:pPr>
            <w:r>
              <w:rPr>
                <w:rFonts w:ascii="Arial" w:cs="Arial" w:eastAsia="Arial" w:hAnsi="Arial"/>
                <w:sz w:val="18"/>
                <w:szCs w:val="18"/>
                <w:color w:val="auto"/>
              </w:rPr>
              <w:t>4.450%</w:t>
            </w:r>
          </w:p>
        </w:tc>
        <w:tc>
          <w:tcPr>
            <w:tcW w:w="1380" w:type="dxa"/>
            <w:vAlign w:val="bottom"/>
            <w:tcBorders>
              <w:top w:val="single" w:sz="8" w:color="CCEEFF"/>
            </w:tcBorders>
            <w:gridSpan w:val="2"/>
          </w:tcPr>
          <w:p>
            <w:pPr>
              <w:jc w:val="right"/>
              <w:ind w:right="140"/>
              <w:spacing w:after="0" w:line="176" w:lineRule="exact"/>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at any time WIL-Ireland fails to deliver the quarterly or annual financial statements or related certificates required under this Agreement on or before the date such statements or certificates are due, Category 4 shall be deemed applicable for the period commencing three Business Days after such required date of delivery and ending on the date which is three Business Days after such statements or certificates are actually delivered, after which the Category shall be determined in accordance with the table above as applicable.</w:t>
      </w:r>
    </w:p>
    <w:p>
      <w:pPr>
        <w:spacing w:after="0" w:line="18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Adjustments, if any, to the Category then in effect shall be effective three Business Days after the Administrative Agent has received the applicable financial statements and related certificates and shall apply until the date immediately preceding the effective date of the next such change.</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Until any adjustment becomes effective as provided in the paragraph above upon the Administrative Agent’s receipt of the applicable financial statements for the fiscal quarter ended June 30, 2018, Category 1 will be applicable under this Agreement based on the financial statements and related certificates for the fiscal quarter ended March 31,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 Revolving Credit Loan</w:t>
      </w:r>
      <w:r>
        <w:rPr>
          <w:rFonts w:ascii="Arial" w:cs="Arial" w:eastAsia="Arial" w:hAnsi="Arial"/>
          <w:sz w:val="18"/>
          <w:szCs w:val="18"/>
          <w:color w:val="auto"/>
        </w:rPr>
        <w:t>” means a Revolving Credit Loan of an Extending Lender.</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 Rate</w:t>
      </w:r>
      <w:r>
        <w:rPr>
          <w:rFonts w:ascii="Arial" w:cs="Arial" w:eastAsia="Arial" w:hAnsi="Arial"/>
          <w:sz w:val="18"/>
          <w:szCs w:val="18"/>
          <w:color w:val="auto"/>
        </w:rPr>
        <w:t>” means, for any day, (a) with respect to any Non-Extending Lender, the per annum rate set forth in the definition of the term “Non-Extending Lender Applicable Rate” under the heading “Facility Fee Rate”, based upon the Specified Senior Leverage Ratio as of the most recently ended Fiscal Quarter for which financial statements are available and (b) with respect to any Extending Lender, the per annum rate set forth in the definition of the term “Extending Lender Applicable Rate” under the heading “Facility Fee Rate”, based upon the Specified Senior Leverage Ratio as of the most recently ended Fiscal Quarter for which financial statements are available.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Intergovernmental Agreement as defined in Treasury Regulation Section 1.1471-1T(b)(67) or any successor provisions.</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For the avoidance of doubt, if the Federal Funds Effective Rate shall be less than zero, such rate shall be deemed to be zero for purposes of this Agreement.</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Covenants</w:t>
      </w:r>
      <w:r>
        <w:rPr>
          <w:rFonts w:ascii="Arial" w:cs="Arial" w:eastAsia="Arial" w:hAnsi="Arial"/>
          <w:sz w:val="18"/>
          <w:szCs w:val="18"/>
          <w:color w:val="auto"/>
        </w:rPr>
        <w:t xml:space="preserve">” means those covenants set forth in </w:t>
      </w:r>
      <w:r>
        <w:rPr>
          <w:rFonts w:ascii="Arial" w:cs="Arial" w:eastAsia="Arial" w:hAnsi="Arial"/>
          <w:sz w:val="18"/>
          <w:szCs w:val="18"/>
          <w:u w:val="single" w:color="auto"/>
          <w:color w:val="auto"/>
        </w:rPr>
        <w:t>Section 8.09</w:t>
      </w:r>
      <w:r>
        <w:rPr>
          <w:rFonts w:ascii="Arial" w:cs="Arial" w:eastAsia="Arial" w:hAnsi="Arial"/>
          <w:sz w:val="18"/>
          <w:szCs w:val="18"/>
          <w:color w:val="auto"/>
        </w:rPr>
        <w:t xml:space="preserve"> and any Additional Financial Covenants included in this Agreement from time to time pursuant to </w:t>
      </w:r>
      <w:r>
        <w:rPr>
          <w:rFonts w:ascii="Arial" w:cs="Arial" w:eastAsia="Arial" w:hAnsi="Arial"/>
          <w:sz w:val="18"/>
          <w:szCs w:val="18"/>
          <w:u w:val="single" w:color="auto"/>
          <w:color w:val="auto"/>
        </w:rPr>
        <w:t>Section 7.10</w:t>
      </w:r>
      <w:r>
        <w:rPr>
          <w:rFonts w:ascii="Arial" w:cs="Arial" w:eastAsia="Arial" w:hAnsi="Arial"/>
          <w:sz w:val="18"/>
          <w:szCs w:val="18"/>
          <w:color w:val="auto"/>
        </w:rPr>
        <w:t>.</w:t>
      </w:r>
    </w:p>
    <w:p>
      <w:pPr>
        <w:spacing w:after="0" w:line="170"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Standby Letter of Credit</w:t>
      </w:r>
      <w:r>
        <w:rPr>
          <w:rFonts w:ascii="Arial" w:cs="Arial" w:eastAsia="Arial" w:hAnsi="Arial"/>
          <w:sz w:val="17"/>
          <w:szCs w:val="17"/>
          <w:color w:val="auto"/>
        </w:rPr>
        <w:t xml:space="preserve">” means a standby Letter of Credit under which the beneficiary is entitled to draw thereon in the event that the account party (or the Person or Persons on whose behalf such Letter of Credit was issued) fails to perform a financial obligation. By way of example, a Financial Standby Letter of Credit includes (a) a standby Letter of Credit that secures an obligation to repay borrowed money or to pay invoices, insurance premiums or other monetary obligations, (b) a standby Letter of Credit issued to back a bank guarantee, surety bond or other similar instrument issued to secure an obligation to repay borrowed money or to pay invoices, insurance premiums or other monetary obligations and (c) each Existing Letter of Credit that is identified as a “Financial Standby Letter of Credit” on </w:t>
      </w:r>
      <w:r>
        <w:rPr>
          <w:rFonts w:ascii="Arial" w:cs="Arial" w:eastAsia="Arial" w:hAnsi="Arial"/>
          <w:sz w:val="17"/>
          <w:szCs w:val="17"/>
          <w:u w:val="single" w:color="auto"/>
          <w:color w:val="auto"/>
        </w:rPr>
        <w:t>Schedule 3.01</w:t>
      </w:r>
      <w:r>
        <w:rPr>
          <w:rFonts w:ascii="Arial" w:cs="Arial" w:eastAsia="Arial" w:hAnsi="Arial"/>
          <w:sz w:val="17"/>
          <w:szCs w:val="17"/>
          <w:color w:val="auto"/>
        </w:rPr>
        <w:t>.</w:t>
      </w:r>
    </w:p>
    <w:p>
      <w:pPr>
        <w:sectPr>
          <w:pgSz w:w="11900" w:h="16838" w:orient="portrait"/>
          <w:cols w:equalWidth="0" w:num="1">
            <w:col w:w="11400"/>
          </w:cols>
          <w:pgMar w:left="240" w:top="125" w:right="259" w:bottom="0" w:gutter="0" w:footer="0" w:header="0"/>
        </w:sectPr>
      </w:pPr>
    </w:p>
    <w:bookmarkStart w:id="24" w:name="page25"/>
    <w:bookmarkEnd w:id="24"/>
    <w:p>
      <w:pPr>
        <w:spacing w:after="0" w:line="13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Standby LC Participation Fee Rate</w:t>
      </w:r>
      <w:r>
        <w:rPr>
          <w:rFonts w:ascii="Arial" w:cs="Arial" w:eastAsia="Arial" w:hAnsi="Arial"/>
          <w:sz w:val="18"/>
          <w:szCs w:val="18"/>
          <w:color w:val="auto"/>
        </w:rPr>
        <w:t>” means, for any day, (a) with respect to any Non-Extending Lender, a per annum rate equal to the applicable “LIBOR Margin” set forth in the definition of the term “Non-Extending Lender Applicable Rate”, based upon the Specified Senior Leverage Ratio as of the most recently ended Fiscal Quarter for which financial statements are available and (b) with respect to any Extending Lender, a per annum rate equal to the applicable “LIBOR Margin” set forth in the definition of “Extending Lender Applicable Rate”, based upon the Specified Senior Leverage Ratio as of the most recently ended Fiscal Quarter for which financial statements are available.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a Fiscal Quarter of WIL-Ireland, ending on the last day of each March, June, September and December.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a Fiscal Year of WIL-Ireland, ending on December 31 of each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any Lender that is organized under the laws of a jurisdiction other than the United States of America or any State thereof.</w:t>
      </w:r>
    </w:p>
    <w:p>
      <w:pPr>
        <w:spacing w:after="0" w:line="24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Plan</w:t>
      </w:r>
      <w:r>
        <w:rPr>
          <w:rFonts w:ascii="Arial" w:cs="Arial" w:eastAsia="Arial" w:hAnsi="Arial"/>
          <w:sz w:val="18"/>
          <w:szCs w:val="18"/>
          <w:color w:val="auto"/>
        </w:rPr>
        <w:t>” means any employee pension benefit plan (within the meaning of Section 3(2) of ERISA, whether or not subject to ERISA) that is not subject to United States law, that 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maintained or contributed to by WIL-Ireland, any Borrower or any ERISA Affiliate or with respect to which WIL-Ireland, any Borrower or any ERISA Affiliate may have any liability.</w:t>
      </w:r>
    </w:p>
    <w:p>
      <w:pPr>
        <w:spacing w:after="0" w:line="17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Plan Event</w:t>
      </w:r>
      <w:r>
        <w:rPr>
          <w:rFonts w:ascii="Arial" w:cs="Arial" w:eastAsia="Arial" w:hAnsi="Arial"/>
          <w:sz w:val="17"/>
          <w:szCs w:val="17"/>
          <w:color w:val="auto"/>
        </w:rPr>
        <w:t>” means with respect to any Foreign Plan, (i) the failure to make or, if applicable, accrue in accordance with normal accounting practices, any employer or employee contributions required by applicable law or by the terms of such Foreign Plan, (ii) the failure to register or loss of good standing with applicable regulatory authorities of any such Foreign Plan required to be registered, (iii) the failure of any Foreign Plan to comply with any material provisions of applicable law and regulations or with the material terms of such Foreign Plan, or (iv) a final determination that WIL-Ireland, any Borrower or any ERISA Affiliate are responsible for a deficit or funding shortfall in a Foreign Plan.</w:t>
      </w:r>
    </w:p>
    <w:p>
      <w:pPr>
        <w:spacing w:after="0" w:line="173"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Funded Indebtedness</w:t>
      </w:r>
      <w:r>
        <w:rPr>
          <w:rFonts w:ascii="Arial" w:cs="Arial" w:eastAsia="Arial" w:hAnsi="Arial"/>
          <w:sz w:val="17"/>
          <w:szCs w:val="17"/>
          <w:color w:val="auto"/>
        </w:rPr>
        <w:t>” means, with respect to any Reference Group as of any date, the sum, without duplication, of (a) all Indebtedness of the type described in clauses (a), (b), (d) and (g) of the definition thereof of any member of such Reference Group, other than any such Indebtedness that is Subordinated, and (b) all Guarantees by any member of such Reference Group with respect to any of the foregoing types of Indebtedness (whether or not the primary obligor is a member of such Reference Group), other than any such Guarantee that is Subordinated.</w:t>
      </w:r>
    </w:p>
    <w:p>
      <w:pPr>
        <w:spacing w:after="0" w:line="17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 as in effect from time to time as set forth in the opinions, statements and pronouncements of the Accounting Principles Board of the American Institute of Certified Public Accountants and the Financial Accounting Standards Board.</w:t>
      </w:r>
    </w:p>
    <w:p>
      <w:pPr>
        <w:spacing w:after="0" w:line="181"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the government of any Specified Jurisdiction or any other nation and any political subdivision of any of the foregoing, whether state or local, and any central bank, agency, authority, instrumentality, regulatory body, department, commission, board, bureau, court, tribunal or other entity exercising executive, legislative, judicial, taxing, regulatory or administrative powers or functions of or pertaining to government.</w:t>
      </w:r>
    </w:p>
    <w:p>
      <w:pPr>
        <w:spacing w:after="0" w:line="14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xml:space="preserve">” of or by any Person means any guaranty or other contingent liability of such Person (other than any endorsement for collection or deposit in the ordinary course of business), direct or indirect, with respect to any Indebtedness of another Person, through an agreement or otherwise, including (a) any other endorsement or discount with recourse or undertaking substantially equivalent to or having economic effect similar to a guarantee in respect of any such Indebtedness, (b) any agreement (i) to pay or purchase, or to advance or supply funds for the primary purpose of the payment or purchase of, any such Indebtedness, (ii) to purchase securities or to purchase, sell or lease property, products, materials or supplies, or transportation or services, with the primary purpose of enabling such other Person to pay any such Indebtedness or (iii) to make any loan, advance or capital contribution to or other investment in, or to otherwise provide funds to or for, such other Person in respect of enabling such Person to satisfy any such Indebtedness (including any liability for a dividend, stock liquidation payment or expense) or to assure a minimum equity, working capital or other balance sheet condition in respect of any such Indebtedness, and (c) any obligations of such Person as an account party in respect of any letter of credit or bank guaranty issued to support any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support letters delivered for audit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purposes (to the extent consistent with past practices of WIL-Ireland and its Restricted Subsidiaries) and performance guarantees shall not be considered Guarantees pursuant to this definition. The amount of any Guarantee shall be an amount equal to the lesser of the stated or determinable amount of the primary Indebtedness in respect of which such Guarantee is made or, if not stated or determinable, the maximum reasonably anticipated liability in respect thereof as determined by such Person in good faith.</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means (a) all Obligations and (b) all Swap Obligations and Banking Services Obligations owing to one or more Lenders or their respective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Obligor, the term “Guaranteed Obligations” shall not include any Excluded Swap Obligations of such Obligor.</w:t>
      </w:r>
    </w:p>
    <w:p>
      <w:pPr>
        <w:spacing w:after="0" w:line="181"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Guarantors</w:t>
      </w:r>
      <w:r>
        <w:rPr>
          <w:rFonts w:ascii="Arial" w:cs="Arial" w:eastAsia="Arial" w:hAnsi="Arial"/>
          <w:sz w:val="17"/>
          <w:szCs w:val="17"/>
          <w:color w:val="auto"/>
        </w:rPr>
        <w:t xml:space="preserve">” means each Holdco Guarantor and each other Restricted Subsidiary that enters into a Guaranty Agreement with respect to the Guaranteed Obligations. The Guarantors as of the Amendment No. 3 Effective Date are set forth on </w:t>
      </w:r>
      <w:r>
        <w:rPr>
          <w:rFonts w:ascii="Arial" w:cs="Arial" w:eastAsia="Arial" w:hAnsi="Arial"/>
          <w:sz w:val="17"/>
          <w:szCs w:val="17"/>
          <w:u w:val="single" w:color="auto"/>
          <w:color w:val="auto"/>
        </w:rPr>
        <w:t>Schedule 1.01C</w:t>
      </w:r>
      <w:r>
        <w:rPr>
          <w:rFonts w:ascii="Arial" w:cs="Arial" w:eastAsia="Arial" w:hAnsi="Arial"/>
          <w:sz w:val="17"/>
          <w:szCs w:val="17"/>
          <w:color w:val="auto"/>
        </w:rPr>
        <w:t xml:space="preserve"> hereto.</w:t>
      </w:r>
    </w:p>
    <w:p>
      <w:pPr>
        <w:spacing w:after="0" w:line="14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Guaranty Agreements</w:t>
      </w:r>
      <w:r>
        <w:rPr>
          <w:rFonts w:ascii="Arial" w:cs="Arial" w:eastAsia="Arial" w:hAnsi="Arial"/>
          <w:sz w:val="16"/>
          <w:szCs w:val="16"/>
          <w:color w:val="auto"/>
        </w:rPr>
        <w:t>” means, collectively, (a) the Affiliate Guaranty dated as of the Effective Date by and among WIL-Ireland and the Restricted Subsidiaries party thereto in favor of the Administrative Agent, for the benefit of itself and the other holders of the Guaranteed Obligations, and (b) any other guaranty agreement in form and substance reasonably satisfactory to the Administrative Agent in favor of the Administrative Agent, for the benefit of itself and the other holders of the Guaranteed Obligations, in any such case, pursuant to which any Person guarantees the Guaranteed Obligations.</w:t>
      </w:r>
    </w:p>
    <w:p>
      <w:pPr>
        <w:spacing w:after="0" w:line="154"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all explosive or radioactive substances or wastes and all hazardous or toxic substances, wastes or other pollutants, including petroleum or petroleum distillates, asbestos or asbestos containing materials, polychlorinated biphenyls, radon gas and all other substances or</w:t>
      </w:r>
    </w:p>
    <w:p>
      <w:pPr>
        <w:sectPr>
          <w:pgSz w:w="11900" w:h="16975" w:orient="portrait"/>
          <w:cols w:equalWidth="0" w:num="1">
            <w:col w:w="11420"/>
          </w:cols>
          <w:pgMar w:left="240" w:top="341" w:right="239" w:bottom="0" w:gutter="0" w:footer="0" w:header="0"/>
        </w:sectPr>
      </w:pPr>
    </w:p>
    <w:bookmarkStart w:id="25" w:name="page26"/>
    <w:bookmarkEnd w:id="25"/>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wastes of any nature regulated pursuant to any Environmental Law.</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Holdco Guarantor</w:t>
      </w:r>
      <w:r>
        <w:rPr>
          <w:rFonts w:ascii="Arial" w:cs="Arial" w:eastAsia="Arial" w:hAnsi="Arial"/>
          <w:sz w:val="18"/>
          <w:szCs w:val="18"/>
          <w:color w:val="auto"/>
        </w:rPr>
        <w:t>” means each of WIL-Ireland, WIL-Delaware, Weatherford Investment Inc., a Delaware corporation, Weatherford International Holding (Bermuda) Ltd., a Bermuda exempted company, Weatherford Bermuda Holdings Ltd., a Bermuda exempted company, and Weatherford Products GmbH, a Switzerland limited liability company.</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Hostile Acquisition</w:t>
      </w:r>
      <w:r>
        <w:rPr>
          <w:rFonts w:ascii="Arial" w:cs="Arial" w:eastAsia="Arial" w:hAnsi="Arial"/>
          <w:sz w:val="17"/>
          <w:szCs w:val="17"/>
          <w:color w:val="auto"/>
        </w:rPr>
        <w:t>” means (a) the acquisition of the Capital Stock of a Person through a tender offer or similar solicitation of the owners of such Capital Stock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has the meaning assigned to such term in the definition of “LIBO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Incorporated Financial Covenant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7.10(b)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2.18(b)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2.18(a)</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 Supplement</w:t>
      </w:r>
      <w:r>
        <w:rPr>
          <w:rFonts w:ascii="Arial" w:cs="Arial" w:eastAsia="Arial" w:hAnsi="Arial"/>
          <w:sz w:val="18"/>
          <w:szCs w:val="18"/>
          <w:color w:val="auto"/>
        </w:rPr>
        <w:t xml:space="preserve">” means an increasing lender supplement entered into by the Borrowers and any Increasing Lender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or any other form reasonably acceptable to the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 Cap</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2.18(a)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(whether or not the recourse of the lender is to the whole of the assets of such Person or only to a portion thereof), including obligations evidenced by a bond, note, debenture or similar instrument, (b) all non-contingent reimbursement obligations of such Person in respect of letters of credit, bank guaranties, bankers’ acceptances, bid bonds, surety bonds, performance bonds, customs bonds, advance payment bonds and similar instruments, (c) all obligations of such Person for the balance deferred and unpaid of the purchase price for any property or services (except for trade payables or other obligations arising in the ordinary course of business that are not more than 90 days past due or which are being contested in good faith by appropriate action and for which adequate reserves have been maintained in accordance with GAAP); (d) all Capital Lease Obligations of such Person; (e) all Indebtedness (as described in the other clauses of this definition) of others secured by a consensual Lien on property owned or acquired by such Person (whether or not the Indebtedness secured thereby has been assumed); (f) all Guarantees by such Person of the Indebtedness (as described in the other clauses of this definition) of any other Person (including, for the avoidance of doubt, any Subsidiary or other Affiliate of such Person or any third party that is not affiliated with such Person); and (g) all Disqualified Capital Stock of such Person.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7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any Taxes imposed on or with respect to any payment made by or on account of any obligation of any Borrower or Guarantor under any Loan Document, other than Excluded Taxes and Other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means a request by a Borrower to convert or continue a Borrowing in accordance with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ABR Loan (other than a Swingline Loan), the last day of each March, June, September and December and, with respect to the Non-Extending Lenders, the Existing Maturity Date and, with respect to the Extending Lenders, the Extended Maturity Date,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such Interest Period and, with respect to the Non-Extending Lenders, the Existing Maturity Date and, with respect to the Extending Lenders, the Extended Maturity Date and (c) with respect to any Swingline Loan, the day that such Loan is required to be repaid.</w:t>
      </w:r>
    </w:p>
    <w:p>
      <w:pPr>
        <w:spacing w:after="0" w:line="17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with respect to a Eurodollar Borrowing, the period commencing on the date of such Borrowing and ending on the numerically corresponding day in the calendar month that is one week or one, two, three or six months (or, with the consent of each Lender, twelve months) thereafter, as a Borrower may elect;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pertaining to a Eurodollar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in the case of a Borrowing of Revolving Credit Loans, thereafter shall be the effective date of the most recent conversion or continuation of such Borrowing.</w:t>
      </w:r>
    </w:p>
    <w:p>
      <w:pPr>
        <w:spacing w:after="0" w:line="197"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Interpolated Rate</w:t>
      </w:r>
      <w:r>
        <w:rPr>
          <w:rFonts w:ascii="Arial" w:cs="Arial" w:eastAsia="Arial" w:hAnsi="Arial"/>
          <w:sz w:val="16"/>
          <w:szCs w:val="16"/>
          <w:color w:val="auto"/>
        </w:rPr>
        <w:t>” means, at any time, for any Impacted Interest Period, the rate per annum determined by the Administrative Agent (which determination shall be conclusive and binding absent manifest error) to be equal to the rate that results from interpolating on a linear basis between: (a) the</w:t>
      </w:r>
    </w:p>
    <w:p>
      <w:pPr>
        <w:sectPr>
          <w:pgSz w:w="11900" w:h="16975" w:orient="portrait"/>
          <w:cols w:equalWidth="0" w:num="1">
            <w:col w:w="11380"/>
          </w:cols>
          <w:pgMar w:left="240" w:top="125" w:right="279" w:bottom="0" w:gutter="0" w:footer="0" w:header="0"/>
        </w:sectPr>
      </w:pPr>
    </w:p>
    <w:bookmarkStart w:id="26" w:name="page27"/>
    <w:bookmarkEnd w:id="26"/>
    <w:p>
      <w:pPr>
        <w:ind w:right="80"/>
        <w:spacing w:after="0" w:line="259" w:lineRule="auto"/>
        <w:rPr>
          <w:sz w:val="20"/>
          <w:szCs w:val="20"/>
          <w:color w:val="auto"/>
        </w:rPr>
      </w:pPr>
      <w:r>
        <w:rPr>
          <w:rFonts w:ascii="Arial" w:cs="Arial" w:eastAsia="Arial" w:hAnsi="Arial"/>
          <w:sz w:val="18"/>
          <w:szCs w:val="18"/>
          <w:color w:val="auto"/>
        </w:rPr>
        <w:t>LIBO Screen Rate for the longest period (for which the LIBO Screen Rate is available for the applicable currency) that is shorter than the Impacted Interest Period and (b) the LIBO Screen Rate for the shortest period (for which the LIBO Screen Rate is available for the applicable currency) that exceeds the Impacted Interest Period, in each case, at such time; provided that if any Interpolated Rate shall be less than zero, such rate shall be deemed to be zero for the purposes of this Agreement.</w:t>
      </w:r>
    </w:p>
    <w:p>
      <w:pPr>
        <w:spacing w:after="0" w:line="187" w:lineRule="exact"/>
        <w:rPr>
          <w:sz w:val="20"/>
          <w:szCs w:val="20"/>
          <w:color w:val="auto"/>
        </w:rPr>
      </w:pPr>
    </w:p>
    <w:p>
      <w:pPr>
        <w:ind w:right="38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applied to any Person, any direct or indirect (a) purchase or other acquisition (including pursuant to any merger or consolidation with any Person) of any Capital Stock, evidences of Indebtedness or other securities of any other Person, (b) loan or advance made by such Person to any other Person, (c) Guarantee, assumption or other incurrence of liability by such Person of or for any Indebtedness of any other Person,</w:t>
      </w:r>
    </w:p>
    <w:p>
      <w:pPr>
        <w:ind w:right="800" w:firstLine="8"/>
        <w:spacing w:after="0" w:line="261"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capital contribution or other investment by such Person in any other Person or (e) purchase or other acquisition (in one transaction or a series of transactions) of any assets of any other Person constituting a business unit.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w:t>
      </w:r>
      <w:r>
        <w:rPr>
          <w:rFonts w:ascii="Arial" w:cs="Arial" w:eastAsia="Arial" w:hAnsi="Arial"/>
          <w:sz w:val="18"/>
          <w:szCs w:val="18"/>
          <w:color w:val="auto"/>
        </w:rPr>
        <w:t>” means the International Swaps and Derivatives Association, Inc.</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means each of JPMorgan, Deutsche Bank, Wells Fargo, Toronto Dominion and any other Lender that agrees to issue Letters of Credit hereunder as contemplated by </w:t>
      </w:r>
      <w:r>
        <w:rPr>
          <w:rFonts w:ascii="Arial" w:cs="Arial" w:eastAsia="Arial" w:hAnsi="Arial"/>
          <w:sz w:val="18"/>
          <w:szCs w:val="18"/>
          <w:u w:val="single" w:color="auto"/>
          <w:color w:val="auto"/>
        </w:rPr>
        <w:t>Section 3.01(k)</w:t>
      </w:r>
      <w:r>
        <w:rPr>
          <w:rFonts w:ascii="Arial" w:cs="Arial" w:eastAsia="Arial" w:hAnsi="Arial"/>
          <w:sz w:val="18"/>
          <w:szCs w:val="18"/>
          <w:color w:val="auto"/>
        </w:rPr>
        <w:t>,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3.01(k)</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JPMorgan</w:t>
      </w:r>
      <w:r>
        <w:rPr>
          <w:rFonts w:ascii="Arial" w:cs="Arial" w:eastAsia="Arial" w:hAnsi="Arial"/>
          <w:sz w:val="18"/>
          <w:szCs w:val="18"/>
          <w:color w:val="auto"/>
        </w:rPr>
        <w:t>” means JPMorgan Chase Bank, N.A. and its 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Land Rig Sale</w:t>
      </w:r>
      <w:r>
        <w:rPr>
          <w:rFonts w:ascii="Arial" w:cs="Arial" w:eastAsia="Arial" w:hAnsi="Arial"/>
          <w:sz w:val="18"/>
          <w:szCs w:val="18"/>
          <w:color w:val="auto"/>
        </w:rPr>
        <w:t>” means the Disposition of all or a portion of the land drilling business of WIL-Ireland and its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3.01(j)</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Commitment</w:t>
      </w:r>
      <w:r>
        <w:rPr>
          <w:rFonts w:ascii="Arial" w:cs="Arial" w:eastAsia="Arial" w:hAnsi="Arial"/>
          <w:sz w:val="17"/>
          <w:szCs w:val="17"/>
          <w:color w:val="auto"/>
        </w:rPr>
        <w:t xml:space="preserve">” means, as to each Issuing Bank, the commitment of such Issuing Bank to issue Letters of Credit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The amount of each Issuing Bank’s LC Commitment, at any time, shall not exceed (i) with respect to the Issuing Banks as of the Amendment No. 3 Effective Date, $75,000,000 and (ii) with respect to any other Issuing Bank, an amount agreed to by such Issuing Bank, in the case of any Issuing Bank described in the preceding clause (i) or clause (ii), as such LC Commitment may be adjusted from time to time in accordance with </w:t>
      </w:r>
      <w:r>
        <w:rPr>
          <w:rFonts w:ascii="Arial" w:cs="Arial" w:eastAsia="Arial" w:hAnsi="Arial"/>
          <w:sz w:val="17"/>
          <w:szCs w:val="17"/>
          <w:u w:val="single" w:color="auto"/>
          <w:color w:val="auto"/>
        </w:rPr>
        <w:t>Section 3.01(i)</w:t>
      </w:r>
      <w:r>
        <w:rPr>
          <w:rFonts w:ascii="Arial" w:cs="Arial" w:eastAsia="Arial" w:hAnsi="Arial"/>
          <w:sz w:val="17"/>
          <w:szCs w:val="17"/>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any Issuing Bank pursuant to a Letter of Credit.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Expiration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Exposure</w:t>
      </w:r>
      <w:r>
        <w:rPr>
          <w:rFonts w:ascii="Arial" w:cs="Arial" w:eastAsia="Arial" w:hAnsi="Arial"/>
          <w:sz w:val="17"/>
          <w:szCs w:val="17"/>
          <w:color w:val="auto"/>
        </w:rPr>
        <w:t>” means, with respect to any Lender at any time, such Lender’s Applicable Percentage of the Total LC Exposure at such time.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Sublimit</w:t>
      </w:r>
      <w:r>
        <w:rPr>
          <w:rFonts w:ascii="Arial" w:cs="Arial" w:eastAsia="Arial" w:hAnsi="Arial"/>
          <w:sz w:val="18"/>
          <w:szCs w:val="18"/>
          <w:color w:val="auto"/>
        </w:rPr>
        <w:t>” means, at any time, an amount equal to the Aggregate Commitments at such time.</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Arrangers</w:t>
      </w:r>
      <w:r>
        <w:rPr>
          <w:rFonts w:ascii="Arial" w:cs="Arial" w:eastAsia="Arial" w:hAnsi="Arial"/>
          <w:sz w:val="18"/>
          <w:szCs w:val="18"/>
          <w:color w:val="auto"/>
        </w:rPr>
        <w:t>” means JPMorgan, Wells Fargo Securities, LLC, Citibank, N.A., Deutsche Bank Securities Inc. and Morgan Stanley Senior Funding, Inc.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Parent</w:t>
      </w:r>
      <w:r>
        <w:rPr>
          <w:rFonts w:ascii="Arial" w:cs="Arial" w:eastAsia="Arial" w:hAnsi="Arial"/>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means, collectively, the Extending Lenders and Non-Extending Lenders, if applicable, and “Lender” means any Extending Lender or Non-Extending Lender, as the context may require. Unless the context otherwise requires, the term “Lenders” includes the Swingline Lender.</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Request</w:t>
      </w:r>
      <w:r>
        <w:rPr>
          <w:rFonts w:ascii="Arial" w:cs="Arial" w:eastAsia="Arial" w:hAnsi="Arial"/>
          <w:sz w:val="18"/>
          <w:szCs w:val="18"/>
          <w:color w:val="auto"/>
        </w:rPr>
        <w:t xml:space="preserve">” means a request by a Borrower for the issuance, amendment, renewal or extension, as the case may be, of a Letter of Credit in accordance with </w:t>
      </w:r>
      <w:r>
        <w:rPr>
          <w:rFonts w:ascii="Arial" w:cs="Arial" w:eastAsia="Arial" w:hAnsi="Arial"/>
          <w:sz w:val="18"/>
          <w:szCs w:val="18"/>
          <w:u w:val="single" w:color="auto"/>
          <w:color w:val="auto"/>
        </w:rPr>
        <w:t>Section 3.01(b)</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70" w:lineRule="exact"/>
        <w:rPr>
          <w:sz w:val="20"/>
          <w:szCs w:val="20"/>
          <w:color w:val="auto"/>
        </w:rPr>
      </w:pPr>
    </w:p>
    <w:p>
      <w:pPr>
        <w:ind w:right="8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Rate</w:t>
      </w:r>
      <w:r>
        <w:rPr>
          <w:rFonts w:ascii="Arial" w:cs="Arial" w:eastAsia="Arial" w:hAnsi="Arial"/>
          <w:sz w:val="16"/>
          <w:szCs w:val="16"/>
          <w:color w:val="auto"/>
        </w:rPr>
        <w:t>” means, with respect to any Eurodollar Borrowing for any applicable Interest Period, the LIBO Screen Rate at approximately 11:00 a.m., London time, two Business Days prior to the commencement of such Interest Period; provided that if a LIBO Screen Rate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780"/>
        <w:spacing w:after="0" w:line="342" w:lineRule="auto"/>
        <w:rPr>
          <w:sz w:val="20"/>
          <w:szCs w:val="20"/>
          <w:color w:val="auto"/>
        </w:rPr>
      </w:pPr>
      <w:r>
        <w:rPr>
          <w:rFonts w:ascii="Arial" w:cs="Arial" w:eastAsia="Arial" w:hAnsi="Arial"/>
          <w:sz w:val="16"/>
          <w:szCs w:val="16"/>
          <w:color w:val="auto"/>
        </w:rPr>
        <w:t>shall not be available at such time for such Interest Period (the “</w:t>
      </w:r>
      <w:r>
        <w:rPr>
          <w:rFonts w:ascii="Arial" w:cs="Arial" w:eastAsia="Arial" w:hAnsi="Arial"/>
          <w:sz w:val="16"/>
          <w:szCs w:val="16"/>
          <w:u w:val="single" w:color="auto"/>
          <w:color w:val="auto"/>
        </w:rPr>
        <w:t>Impacted Interest Period</w:t>
      </w:r>
      <w:r>
        <w:rPr>
          <w:rFonts w:ascii="Arial" w:cs="Arial" w:eastAsia="Arial" w:hAnsi="Arial"/>
          <w:sz w:val="16"/>
          <w:szCs w:val="16"/>
          <w:color w:val="auto"/>
        </w:rPr>
        <w:t xml:space="preserve">”), then the LIBO Rate for such Interest Period shall be the Interpolated Rate. It is understood and agreed that all of the terms and conditions of this definition of “LIBO Rate” shall be subject to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2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 Screen Rate</w:t>
      </w:r>
      <w:r>
        <w:rPr>
          <w:rFonts w:ascii="Arial" w:cs="Arial" w:eastAsia="Arial" w:hAnsi="Arial"/>
          <w:sz w:val="17"/>
          <w:szCs w:val="17"/>
          <w:color w:val="auto"/>
        </w:rPr>
        <w:t>” means, for any day and time, with respect to any Eurodollar Borrowing for any Interest Period, the London interbank offered rate as administered by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or any successor or substitute page on such screen that displays such rate, or on the appropriate page of such other information service that publishes such rate from time to time selected by the Administrative Agent in its reasonable discretion), provided that if the LIBO Screen Rate shall be less than zero, such rate shall be deemed to be zero for the purposes of this Agreement. When determining the rate for a period which is less than the shortest period for which the LIBO Screen Rate is available, the LIBO Screen Rate for purposes of this definition shall be deemed to be the overnight screen rate where “overnight screen rate” means the overnight rate determined by the Administrative Agent from such service as the Administrative Agent may select.</w:t>
      </w:r>
    </w:p>
    <w:p>
      <w:pPr>
        <w:sectPr>
          <w:pgSz w:w="11900" w:h="16838" w:orient="portrait"/>
          <w:cols w:equalWidth="0" w:num="1">
            <w:col w:w="11420"/>
          </w:cols>
          <w:pgMar w:left="240" w:top="125" w:right="239" w:bottom="0" w:gutter="0" w:footer="0" w:header="0"/>
        </w:sectPr>
      </w:pPr>
    </w:p>
    <w:bookmarkStart w:id="27" w:name="page28"/>
    <w:bookmarkEnd w:id="27"/>
    <w:p>
      <w:pPr>
        <w:ind w:right="8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xml:space="preserve">” means any lien, mortgage, deed of trust, pledge, security interest, charge or encumbrance of any kind, including any conditional sale or other title retention agreement or any lease (excluding, however, any lease that is not a Capital Lease) in the nature thereof (whether voluntary or involuntary and whether imposed or created by operation of law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“Lien” shall not include or cover setoff rights and other standard arrangements for netting payment obligations in the settlement of obligations arising under (i) ISDA standard documents or agreements otherwise customary in swap or hedging transactions, (ii) deposit, securities and commodity accounts and (iii) Banking Services.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a Revolving Credit Loan or a Swingline Loan, as the context may require.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this Agreement, the Amendment and Restatement Agreement, any Notes issued pursuant to this Agreement, the Guaranty Agreements, the Letters of Credit (and applications therefor), each Increasing Lender Supplement, each Additional Lender Supplement, all instruments, certificates and agreements now or hereafter executed or delivered by any Obligor to the Administrative Agent, any Issuing Bank or any Lender pursuant to or in connection with any of the foregoing, and all amendments, modifications, renewals, extensions, increases and rearrangements of, and substitutions for, any of the foregoing.</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Long-Term Debt</w:t>
      </w:r>
      <w:r>
        <w:rPr>
          <w:rFonts w:ascii="Arial" w:cs="Arial" w:eastAsia="Arial" w:hAnsi="Arial"/>
          <w:sz w:val="17"/>
          <w:szCs w:val="17"/>
          <w:color w:val="auto"/>
        </w:rPr>
        <w:t>” means any Indebtedness that, in accordance with GAAP, constitutes (or, when incurred, constituted) a long-term liability.</w:t>
      </w:r>
    </w:p>
    <w:p>
      <w:pPr>
        <w:spacing w:after="0" w:line="237"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Acquisition</w:t>
      </w:r>
      <w:r>
        <w:rPr>
          <w:rFonts w:ascii="Arial" w:cs="Arial" w:eastAsia="Arial" w:hAnsi="Arial"/>
          <w:sz w:val="16"/>
          <w:szCs w:val="16"/>
          <w:color w:val="auto"/>
        </w:rPr>
        <w:t>” means, with respect to any Reference Group, any acquisition of property permitted hereunder (other than an acquisition of property in the ordinary course of business) involving the payment of consideration by any member of such Reference Group in excess of $20,000,000.</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relative to any occurrence of whatever nature (including any adverse determination in any litigation, arbitration or governmental investigation or proceeding) and after taking into account actual insurance coverage and effective indemnification with respect to such occurrence, (a) a material adverse effect on the financial condition, business, assets or operations of WIL-Ireland and its Restricted Subsidiaries, taken as a whole, or (b) a material adverse effect on (i) the ability of the Obligors to collectively perform their payment or other material obligations hereunder or under the Notes and other Loan Documents or (ii) the ability of the Administrative Agent or the Lenders to realize the material benefits intended to be provided by the Obligors under the Loan Documents.</w:t>
      </w:r>
    </w:p>
    <w:p>
      <w:pPr>
        <w:spacing w:after="0" w:line="19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Disposition</w:t>
      </w:r>
      <w:r>
        <w:rPr>
          <w:rFonts w:ascii="Arial" w:cs="Arial" w:eastAsia="Arial" w:hAnsi="Arial"/>
          <w:sz w:val="18"/>
          <w:szCs w:val="18"/>
          <w:color w:val="auto"/>
        </w:rPr>
        <w:t>” means, with respect to any Reference Group, any Disposition of property that involves the receipt of consideration by any member of such Reference Group in excess of $20,000,000.</w:t>
      </w:r>
    </w:p>
    <w:p>
      <w:pPr>
        <w:spacing w:after="0" w:line="170"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(a) the Term Loan Facility, (b) the 364-Day Revolving Credit Facility, (c) Indebtedness (other than the Loans and Letters of Credit) of any one or more of WIL-Ireland and its Restricted Subsidiaries in an aggregate principal amount exceeding $100,000,000 and</w:t>
      </w:r>
    </w:p>
    <w:p>
      <w:pPr>
        <w:jc w:val="both"/>
        <w:ind w:right="220" w:firstLine="8"/>
        <w:spacing w:after="0" w:line="273" w:lineRule="auto"/>
        <w:tabs>
          <w:tab w:leader="none" w:pos="2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obligations in respect of one or more Swap Agreements of any one or more of WIL-Ireland and its Restricted Subsidiaries in an aggregate principal amount exceeding $100,000,000. For purposes of determining Material Indebtedness, the “principal amount” of the obligations of WIL-Ireland or any Restricted Subsidiary in respect of any Swap Agreement at any time shall be the maximum aggregate amount (giving effect to any netting agreements) that WIL-Ireland or such Restricted Subsidiary would be required to pay if such Swap Agreement were terminated at such time.</w:t>
      </w:r>
    </w:p>
    <w:p>
      <w:pPr>
        <w:spacing w:after="0" w:line="17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Specified Subsidiary</w:t>
      </w:r>
      <w:r>
        <w:rPr>
          <w:rFonts w:ascii="Arial" w:cs="Arial" w:eastAsia="Arial" w:hAnsi="Arial"/>
          <w:sz w:val="16"/>
          <w:szCs w:val="16"/>
          <w:color w:val="auto"/>
        </w:rPr>
        <w:t xml:space="preserve">” means (a) any Restricted Subsidiary that, together with its own consolidated Restricted Subsidiaries, as of the last day of any Fiscal Quarter ended for which financial statements have been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7.01(b)</w:t>
      </w:r>
      <w:r>
        <w:rPr>
          <w:rFonts w:ascii="Arial" w:cs="Arial" w:eastAsia="Arial" w:hAnsi="Arial"/>
          <w:sz w:val="16"/>
          <w:szCs w:val="16"/>
          <w:color w:val="auto"/>
        </w:rPr>
        <w:t xml:space="preserve"> of this Agreement (i) had assets representing more than 2.5% of the Total Specified Asset Value as of such date or (ii) generated more than 2.5% of Consolidated Adjusted EBITDA of the Specified Group for the four consecutive Fiscal Quarter period ending on such date and (b) any Restricted Subsidiary organized in a Specified Jurisdiction that is a primary obligor or provides a Guarantee of any overdraft facility, working capital facility, letter of credit facility or other cash management facility that, if fully utilized, would provide for extensions of credit in an aggregate amount of $20,000,000 or more.</w:t>
      </w:r>
    </w:p>
    <w:p>
      <w:pPr>
        <w:spacing w:after="0" w:line="16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 each Material Specified Subsidiary and (b) each other Restricted Subsidiary that, together with its own consolidated Restricted Subsidiaries, either (i) has total assets in excess of 5% of the total assets of WIL-Ireland and its consolidated Restricted Subsidiaries or (ii) has gross revenues in excess of 5% of the consolidated gross revenues of WIL-Ireland and its consolidated Restricted Subsidiaries based, in each case, on the most recent audited consolidated financial statements of WIL-Ireland. Notwithstanding the foregoing, WIL-Delaware and WIL-Bermuda shall be deemed to be Material Subsidiaries.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any successor to the rating agency business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any plan covered by Title IV of ERISA which is a “multiemployer plan” (as such term is defined in Section 4001(a)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 of ERISA).</w:t>
      </w:r>
    </w:p>
    <w:p>
      <w:pPr>
        <w:spacing w:after="0" w:line="21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net of (b) the sum of (i) all reasonable fees and out-of-pocket expenses paid to third parties (other than Affiliates) in connection with such event, (ii) in the case of a sale, transfer or other disposition of an asset (including pursuant to a sale and leaseback transaction or a casualty or a condemnation or similar proceeding), the amount of all payments required to be made as a result of such event to repay Indebtedness (other than Loans and loans under the 364-Day Revolving Credit Agreement) secured by such asset or otherwise subject to mandatory prepayment as a result of such event, (iii) the amount of all taxes paid (or reasonably estimated to be payable) and the amount of any reserves established to fund contingent liabilities reasonably estimated to be payable, in each case during the year that such event occurred or the next succeeding year that are directly attributable to such event (as determined reasonably and in good faith by a Principal Financial Officer of WIL-Ireland) and (iv) the proceeds of business interruption insurance to the extent compensation for lost revenue.</w:t>
      </w:r>
    </w:p>
    <w:p>
      <w:pPr>
        <w:sectPr>
          <w:pgSz w:w="11900" w:h="16838" w:orient="portrait"/>
          <w:cols w:equalWidth="0" w:num="1">
            <w:col w:w="11400"/>
          </w:cols>
          <w:pgMar w:left="240" w:top="125" w:right="259" w:bottom="0" w:gutter="0" w:footer="0" w:header="0"/>
        </w:sectPr>
      </w:pPr>
    </w:p>
    <w:bookmarkStart w:id="28" w:name="page29"/>
    <w:bookmarkEnd w:id="28"/>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w:t>
      </w:r>
      <w:r>
        <w:rPr>
          <w:rFonts w:ascii="Arial" w:cs="Arial" w:eastAsia="Arial" w:hAnsi="Arial"/>
          <w:sz w:val="18"/>
          <w:szCs w:val="18"/>
          <w:color w:val="auto"/>
        </w:rPr>
        <w:t>” means, with respect to any event, (a) the Net Cash Proceeds with respect to such event, plus (b) the fair market value (determined at the time received) of any non-cash proceeds received by WIL-Ireland and its Restricted Subsidiaries in respect to such event.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Weatherford Parent</w:t>
      </w:r>
      <w:r>
        <w:rPr>
          <w:rFonts w:ascii="Arial" w:cs="Arial" w:eastAsia="Arial" w:hAnsi="Arial"/>
          <w:sz w:val="18"/>
          <w:szCs w:val="18"/>
          <w:color w:val="auto"/>
        </w:rPr>
        <w:t xml:space="preserve">” has the meaning specified in clause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the definition of the term “Redomestication”.</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(i) requires the approval of each Lender or each affected Lender in accordance with the terms of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and (ii) has been approved by the Required Lenders.</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Non-Extended Commitment</w:t>
      </w:r>
      <w:r>
        <w:rPr>
          <w:rFonts w:ascii="Arial" w:cs="Arial" w:eastAsia="Arial" w:hAnsi="Arial"/>
          <w:sz w:val="18"/>
          <w:szCs w:val="18"/>
          <w:color w:val="auto"/>
        </w:rPr>
        <w:t xml:space="preserve">” means, with respect to each Non-Extending Lender, the commitment of such Non-Extending Lender to (a) make Loans, (b) acquire participations in Letters of Credit hereunder and (c) acquire participations in Swingline Loans, which commitment will terminate on the Existing Maturity Date (if not terminated earlier in accordance with the terms hereof), in an aggregate principal amount set forth opposite such Non-Extending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heading “Non-Extended Commitment” or in the Assignment and Assumption pursuant to which such Non-Extending Lender shall have assumed its Non-Extended Commitment, as applicable, as such amount may be (i) reduced from time to time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(ii) reduced or increased from time to time pursuant to assignments by or to such Extending Lender pursuant to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11.05</w:t>
      </w:r>
      <w:r>
        <w:rPr>
          <w:rFonts w:ascii="Arial" w:cs="Arial" w:eastAsia="Arial" w:hAnsi="Arial"/>
          <w:sz w:val="18"/>
          <w:szCs w:val="18"/>
          <w:color w:val="auto"/>
        </w:rPr>
        <w: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Non-Extending Lender</w:t>
      </w:r>
      <w:r>
        <w:rPr>
          <w:rFonts w:ascii="Arial" w:cs="Arial" w:eastAsia="Arial" w:hAnsi="Arial"/>
          <w:sz w:val="17"/>
          <w:szCs w:val="17"/>
          <w:color w:val="auto"/>
        </w:rPr>
        <w:t xml:space="preserve">” means each Person listed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to the extent such Person has a Non-Extended Commitment and any other Person that accepts an assignment from, and assumes the obligations of, a Non-Extending Lender pursuant to an Assignment and Assumption Agreement, other than any such Person that ceases to be a party hereto pursuant to an Assignment and Assumption Agreement.</w:t>
      </w:r>
    </w:p>
    <w:p>
      <w:pPr>
        <w:spacing w:after="0" w:line="166"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Non-Extending Lender Applicable Rate</w:t>
      </w:r>
      <w:r>
        <w:rPr>
          <w:rFonts w:ascii="Arial" w:cs="Arial" w:eastAsia="Arial" w:hAnsi="Arial"/>
          <w:sz w:val="17"/>
          <w:szCs w:val="17"/>
          <w:color w:val="auto"/>
        </w:rPr>
        <w:t>” means, for any day, with respect to the facility fees payable to any Non-Extending Lender hereunder or with respect to any Eurodollar Revolving Credit Loan or ABR Revolving Credit Loan of any Non-Extending Lender, as the case may be, the applicable rate per annum set forth below under the captions “Facility Fee Rate”, “LIBOR Margin” or “ABR Margin”, as the case may be, based upon the Specified Senior Leverage Ratio as of the most recently ended Fiscal Quarter for which financial statements are available:</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600" w:type="dxa"/>
            <w:vAlign w:val="bottom"/>
            <w:vMerge w:val="restart"/>
          </w:tcPr>
          <w:p>
            <w:pPr>
              <w:spacing w:after="0"/>
              <w:rPr>
                <w:sz w:val="20"/>
                <w:szCs w:val="20"/>
                <w:color w:val="auto"/>
              </w:rPr>
            </w:pPr>
            <w:r>
              <w:rPr>
                <w:rFonts w:ascii="Arial" w:cs="Arial" w:eastAsia="Arial" w:hAnsi="Arial"/>
                <w:sz w:val="14"/>
                <w:szCs w:val="14"/>
                <w:b w:val="1"/>
                <w:bCs w:val="1"/>
                <w:color w:val="auto"/>
              </w:rPr>
              <w:t>Category</w:t>
            </w:r>
          </w:p>
        </w:tc>
        <w:tc>
          <w:tcPr>
            <w:tcW w:w="300" w:type="dxa"/>
            <w:vAlign w:val="bottom"/>
            <w:vMerge w:val="restart"/>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54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89"/>
              </w:rPr>
              <w:t>Specified Senior</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Facility Fee</w:t>
            </w: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LIBOR</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ABR</w:t>
            </w:r>
          </w:p>
        </w:tc>
        <w:tc>
          <w:tcPr>
            <w:tcW w:w="0" w:type="dxa"/>
            <w:vAlign w:val="bottom"/>
          </w:tcPr>
          <w:p>
            <w:pPr>
              <w:spacing w:after="0"/>
              <w:rPr>
                <w:sz w:val="1"/>
                <w:szCs w:val="1"/>
                <w:color w:val="auto"/>
              </w:rPr>
            </w:pPr>
          </w:p>
        </w:tc>
      </w:tr>
      <w:tr>
        <w:trPr>
          <w:trHeight w:val="171"/>
        </w:trPr>
        <w:tc>
          <w:tcPr>
            <w:tcW w:w="16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2"/>
          </w:tcPr>
          <w:p>
            <w:pPr>
              <w:jc w:val="center"/>
              <w:ind w:right="1220"/>
              <w:spacing w:after="0"/>
              <w:rPr>
                <w:sz w:val="20"/>
                <w:szCs w:val="20"/>
                <w:color w:val="auto"/>
              </w:rPr>
            </w:pPr>
            <w:r>
              <w:rPr>
                <w:rFonts w:ascii="Arial" w:cs="Arial" w:eastAsia="Arial" w:hAnsi="Arial"/>
                <w:sz w:val="14"/>
                <w:szCs w:val="14"/>
                <w:b w:val="1"/>
                <w:bCs w:val="1"/>
                <w:color w:val="auto"/>
                <w:w w:val="93"/>
              </w:rPr>
              <w:t>Leverage Ratio</w:t>
            </w:r>
          </w:p>
        </w:tc>
        <w:tc>
          <w:tcPr>
            <w:tcW w:w="3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3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Margin</w:t>
            </w:r>
          </w:p>
        </w:tc>
        <w:tc>
          <w:tcPr>
            <w:tcW w:w="3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Margin</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Category 1</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1220"/>
              <w:spacing w:after="0"/>
              <w:rPr>
                <w:sz w:val="20"/>
                <w:szCs w:val="20"/>
                <w:color w:val="auto"/>
              </w:rPr>
            </w:pPr>
            <w:r>
              <w:rPr>
                <w:rFonts w:ascii="Arial" w:cs="Arial" w:eastAsia="Arial" w:hAnsi="Arial"/>
                <w:sz w:val="18"/>
                <w:szCs w:val="18"/>
                <w:color w:val="auto"/>
                <w:w w:val="92"/>
              </w:rPr>
              <w:t>&lt; 1.00 to 1.00</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0.325%</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1.925%</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0.925%</w:t>
            </w:r>
          </w:p>
        </w:tc>
        <w:tc>
          <w:tcPr>
            <w:tcW w:w="0" w:type="dxa"/>
            <w:vAlign w:val="bottom"/>
          </w:tcPr>
          <w:p>
            <w:pPr>
              <w:spacing w:after="0"/>
              <w:rPr>
                <w:sz w:val="1"/>
                <w:szCs w:val="1"/>
                <w:color w:val="auto"/>
              </w:rPr>
            </w:pPr>
          </w:p>
        </w:tc>
      </w:tr>
      <w:tr>
        <w:trPr>
          <w:trHeight w:val="176"/>
        </w:trPr>
        <w:tc>
          <w:tcPr>
            <w:tcW w:w="190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Category 2</w:t>
            </w:r>
          </w:p>
        </w:tc>
        <w:tc>
          <w:tcPr>
            <w:tcW w:w="3760" w:type="dxa"/>
            <w:vAlign w:val="bottom"/>
            <w:gridSpan w:val="6"/>
          </w:tcPr>
          <w:p>
            <w:pPr>
              <w:jc w:val="center"/>
              <w:ind w:right="300"/>
              <w:spacing w:after="0" w:line="176" w:lineRule="exact"/>
              <w:rPr>
                <w:sz w:val="20"/>
                <w:szCs w:val="20"/>
                <w:color w:val="auto"/>
              </w:rPr>
            </w:pPr>
            <w:r>
              <w:rPr>
                <w:rFonts w:ascii="Arial" w:cs="Arial" w:eastAsia="Arial" w:hAnsi="Arial"/>
                <w:sz w:val="18"/>
                <w:szCs w:val="18"/>
                <w:color w:val="auto"/>
                <w:w w:val="91"/>
              </w:rPr>
              <w:t>&gt; 1.00 to 1.00 but &lt; 2.00 to 1.00</w:t>
            </w:r>
          </w:p>
        </w:tc>
        <w:tc>
          <w:tcPr>
            <w:tcW w:w="140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0.400%</w:t>
            </w:r>
          </w:p>
        </w:tc>
        <w:tc>
          <w:tcPr>
            <w:tcW w:w="140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2.800%</w:t>
            </w:r>
          </w:p>
        </w:tc>
        <w:tc>
          <w:tcPr>
            <w:tcW w:w="134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Category 3</w:t>
            </w:r>
          </w:p>
        </w:tc>
        <w:tc>
          <w:tcPr>
            <w:tcW w:w="3760" w:type="dxa"/>
            <w:vAlign w:val="bottom"/>
            <w:gridSpan w:val="6"/>
            <w:shd w:val="clear" w:color="auto" w:fill="CCEEFF"/>
          </w:tcPr>
          <w:p>
            <w:pPr>
              <w:jc w:val="center"/>
              <w:ind w:right="300"/>
              <w:spacing w:after="0" w:line="176" w:lineRule="exact"/>
              <w:rPr>
                <w:sz w:val="20"/>
                <w:szCs w:val="20"/>
                <w:color w:val="auto"/>
              </w:rPr>
            </w:pPr>
            <w:r>
              <w:rPr>
                <w:rFonts w:ascii="Arial" w:cs="Arial" w:eastAsia="Arial" w:hAnsi="Arial"/>
                <w:sz w:val="18"/>
                <w:szCs w:val="18"/>
                <w:color w:val="auto"/>
                <w:w w:val="91"/>
              </w:rPr>
              <w:t>&gt; 2.00 to 1.00 but &lt; 2.50 to 1.00</w:t>
            </w:r>
          </w:p>
        </w:tc>
        <w:tc>
          <w:tcPr>
            <w:tcW w:w="14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0.500%</w:t>
            </w:r>
          </w:p>
        </w:tc>
        <w:tc>
          <w:tcPr>
            <w:tcW w:w="14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3.200%</w:t>
            </w:r>
          </w:p>
        </w:tc>
        <w:tc>
          <w:tcPr>
            <w:tcW w:w="134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176"/>
        </w:trPr>
        <w:tc>
          <w:tcPr>
            <w:tcW w:w="1900" w:type="dxa"/>
            <w:vAlign w:val="bottom"/>
            <w:tcBorders>
              <w:top w:val="single" w:sz="8" w:color="CCEEFF"/>
            </w:tcBorders>
            <w:gridSpan w:val="2"/>
          </w:tcPr>
          <w:p>
            <w:pPr>
              <w:ind w:left="400"/>
              <w:spacing w:after="0" w:line="176" w:lineRule="exact"/>
              <w:rPr>
                <w:sz w:val="20"/>
                <w:szCs w:val="20"/>
                <w:color w:val="auto"/>
              </w:rPr>
            </w:pPr>
            <w:r>
              <w:rPr>
                <w:rFonts w:ascii="Arial" w:cs="Arial" w:eastAsia="Arial" w:hAnsi="Arial"/>
                <w:sz w:val="18"/>
                <w:szCs w:val="18"/>
                <w:color w:val="auto"/>
              </w:rPr>
              <w:t>Category 4</w:t>
            </w:r>
          </w:p>
        </w:tc>
        <w:tc>
          <w:tcPr>
            <w:tcW w:w="5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2540" w:type="dxa"/>
            <w:vAlign w:val="bottom"/>
            <w:tcBorders>
              <w:top w:val="single" w:sz="8" w:color="CCEEFF"/>
            </w:tcBorders>
            <w:gridSpan w:val="3"/>
          </w:tcPr>
          <w:p>
            <w:pPr>
              <w:jc w:val="center"/>
              <w:ind w:right="1520"/>
              <w:spacing w:after="0" w:line="176" w:lineRule="exact"/>
              <w:rPr>
                <w:sz w:val="20"/>
                <w:szCs w:val="20"/>
                <w:color w:val="auto"/>
              </w:rPr>
            </w:pPr>
            <w:r>
              <w:rPr>
                <w:rFonts w:ascii="Arial" w:cs="Arial" w:eastAsia="Arial" w:hAnsi="Arial"/>
                <w:sz w:val="18"/>
                <w:szCs w:val="18"/>
                <w:color w:val="auto"/>
                <w:w w:val="92"/>
              </w:rPr>
              <w:t>&gt; 2.50 to 1.00</w:t>
            </w:r>
          </w:p>
        </w:tc>
        <w:tc>
          <w:tcPr>
            <w:tcW w:w="1400" w:type="dxa"/>
            <w:vAlign w:val="bottom"/>
            <w:tcBorders>
              <w:top w:val="single" w:sz="8" w:color="CCEEFF"/>
            </w:tcBorders>
            <w:gridSpan w:val="2"/>
          </w:tcPr>
          <w:p>
            <w:pPr>
              <w:jc w:val="right"/>
              <w:ind w:right="160"/>
              <w:spacing w:after="0" w:line="176" w:lineRule="exact"/>
              <w:rPr>
                <w:sz w:val="20"/>
                <w:szCs w:val="20"/>
                <w:color w:val="auto"/>
              </w:rPr>
            </w:pPr>
            <w:r>
              <w:rPr>
                <w:rFonts w:ascii="Arial" w:cs="Arial" w:eastAsia="Arial" w:hAnsi="Arial"/>
                <w:sz w:val="18"/>
                <w:szCs w:val="18"/>
                <w:color w:val="auto"/>
              </w:rPr>
              <w:t>0.500%</w:t>
            </w:r>
          </w:p>
        </w:tc>
        <w:tc>
          <w:tcPr>
            <w:tcW w:w="1400" w:type="dxa"/>
            <w:vAlign w:val="bottom"/>
            <w:tcBorders>
              <w:top w:val="single" w:sz="8" w:color="CCEEFF"/>
            </w:tcBorders>
            <w:gridSpan w:val="2"/>
          </w:tcPr>
          <w:p>
            <w:pPr>
              <w:jc w:val="right"/>
              <w:ind w:right="160"/>
              <w:spacing w:after="0" w:line="176" w:lineRule="exact"/>
              <w:rPr>
                <w:sz w:val="20"/>
                <w:szCs w:val="20"/>
                <w:color w:val="auto"/>
              </w:rPr>
            </w:pPr>
            <w:r>
              <w:rPr>
                <w:rFonts w:ascii="Arial" w:cs="Arial" w:eastAsia="Arial" w:hAnsi="Arial"/>
                <w:sz w:val="18"/>
                <w:szCs w:val="18"/>
                <w:color w:val="auto"/>
              </w:rPr>
              <w:t>3.700%</w:t>
            </w:r>
          </w:p>
        </w:tc>
        <w:tc>
          <w:tcPr>
            <w:tcW w:w="1340" w:type="dxa"/>
            <w:vAlign w:val="bottom"/>
            <w:tcBorders>
              <w:top w:val="single" w:sz="8" w:color="CCEEFF"/>
            </w:tcBorders>
            <w:gridSpan w:val="2"/>
          </w:tcPr>
          <w:p>
            <w:pPr>
              <w:jc w:val="right"/>
              <w:ind w:right="120"/>
              <w:spacing w:after="0" w:line="176" w:lineRule="exact"/>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at any time WIL-Ireland fails to deliver the quarterly or annual financial statements or related certificates required under this Agreement on or before the date such statements or certificates are due, Category 4 shall be deemed applicable for the period commencing three Business Days after such required date of delivery and ending on the date which is three Business Days after such statements or certificates are actually delivered, after which the Category shall be determined in accordance with the table above as applicable.</w:t>
      </w:r>
    </w:p>
    <w:p>
      <w:pPr>
        <w:spacing w:after="0" w:line="18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Adjustments, if any, to the Category then in effect shall be effective three Business Days after the Administrative Agent has received the applicable financial statements and related certificates and shall apply until the date immediately preceding the effective date of the next such change.</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Until any adjustment becomes effective as provided in the paragraph above upon the Administrative Agent’s receipt of the applicable financial statements for the fiscal quarter ended June 30, 2018, Category 1 will be applicable under this Agreement based on the financial statements and related certificates for the fiscal quarter ended March 31,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 Revolving Credit Loan</w:t>
      </w:r>
      <w:r>
        <w:rPr>
          <w:rFonts w:ascii="Arial" w:cs="Arial" w:eastAsia="Arial" w:hAnsi="Arial"/>
          <w:sz w:val="18"/>
          <w:szCs w:val="18"/>
          <w:color w:val="auto"/>
        </w:rPr>
        <w:t>” means a Revolving Credit Loan of a Non-Extending Lender.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Revolving Credit Note or a Swingline Note, as the context may require.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shall be less than zero, such rate shall be deemed to be zero for purposes of this Agreement.</w:t>
      </w:r>
    </w:p>
    <w:p>
      <w:pPr>
        <w:spacing w:after="0" w:line="17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collectively, all unpaid principal of and accrued and unpaid interest on the Loans, all obligations with respect to Letters of Credit (including unreimbursed LC Disbursements), all accrued and unpaid fees and all expenses, reimbursements, indemnities and other obligations and indebtedness (including interest and fees accruing during the pendency of any bankruptcy, insolvency, administration, examinership, receivership or other similar proceeding, regardless of whether allowed or allowable in such proceeding), obligations and liabilities of any of WIL-Ireland and its Subsidiaries to any of the Lenders, the Administrative Agent, the Issuing Banks or any Indemnitee, individually or collectively (whether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otherwise in respect of any of the Loans or any of the Letters of Credit.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Obligors</w:t>
      </w:r>
      <w:r>
        <w:rPr>
          <w:rFonts w:ascii="Arial" w:cs="Arial" w:eastAsia="Arial" w:hAnsi="Arial"/>
          <w:sz w:val="18"/>
          <w:szCs w:val="18"/>
          <w:color w:val="auto"/>
        </w:rPr>
        <w:t>” means the Obligor Parties and any other Guarantors, and “</w:t>
      </w:r>
      <w:r>
        <w:rPr>
          <w:rFonts w:ascii="Arial" w:cs="Arial" w:eastAsia="Arial" w:hAnsi="Arial"/>
          <w:sz w:val="18"/>
          <w:szCs w:val="18"/>
          <w:u w:val="single" w:color="auto"/>
          <w:color w:val="auto"/>
        </w:rPr>
        <w:t>Obligor</w:t>
      </w:r>
      <w:r>
        <w:rPr>
          <w:rFonts w:ascii="Arial" w:cs="Arial" w:eastAsia="Arial" w:hAnsi="Arial"/>
          <w:sz w:val="18"/>
          <w:szCs w:val="18"/>
          <w:color w:val="auto"/>
        </w:rPr>
        <w:t>” means any of them.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 Parties</w:t>
      </w:r>
      <w:r>
        <w:rPr>
          <w:rFonts w:ascii="Arial" w:cs="Arial" w:eastAsia="Arial" w:hAnsi="Arial"/>
          <w:sz w:val="18"/>
          <w:szCs w:val="18"/>
          <w:color w:val="auto"/>
        </w:rPr>
        <w:t>” means the Borrowers and WIL-Ireland, and “</w:t>
      </w:r>
      <w:r>
        <w:rPr>
          <w:rFonts w:ascii="Arial" w:cs="Arial" w:eastAsia="Arial" w:hAnsi="Arial"/>
          <w:sz w:val="18"/>
          <w:szCs w:val="18"/>
          <w:u w:val="single" w:color="auto"/>
          <w:color w:val="auto"/>
        </w:rPr>
        <w:t>Obligor Party</w:t>
      </w:r>
      <w:r>
        <w:rPr>
          <w:rFonts w:ascii="Arial" w:cs="Arial" w:eastAsia="Arial" w:hAnsi="Arial"/>
          <w:sz w:val="18"/>
          <w:szCs w:val="18"/>
          <w:color w:val="auto"/>
        </w:rPr>
        <w:t>” means any of them.</w:t>
      </w:r>
    </w:p>
    <w:p>
      <w:pPr>
        <w:sectPr>
          <w:pgSz w:w="11900" w:h="16838" w:orient="portrait"/>
          <w:cols w:equalWidth="0" w:num="1">
            <w:col w:w="11400"/>
          </w:cols>
          <w:pgMar w:left="240" w:top="125" w:right="259" w:bottom="0" w:gutter="0" w:footer="0" w:header="0"/>
        </w:sectPr>
      </w:pPr>
    </w:p>
    <w:bookmarkStart w:id="29" w:name="page30"/>
    <w:bookmarkEnd w:id="29"/>
    <w:p>
      <w:pPr>
        <w:spacing w:after="0" w:line="2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Debt Agreement</w:t>
      </w:r>
      <w:r>
        <w:rPr>
          <w:rFonts w:ascii="Arial" w:cs="Arial" w:eastAsia="Arial" w:hAnsi="Arial"/>
          <w:sz w:val="18"/>
          <w:szCs w:val="18"/>
          <w:color w:val="auto"/>
        </w:rPr>
        <w:t>” means any agreement, instrument or other document governing any Indebtedness for borrowed money of any Obligor (other than intercompany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Subsidiaries Group</w:t>
      </w:r>
      <w:r>
        <w:rPr>
          <w:rFonts w:ascii="Arial" w:cs="Arial" w:eastAsia="Arial" w:hAnsi="Arial"/>
          <w:sz w:val="18"/>
          <w:szCs w:val="18"/>
          <w:color w:val="auto"/>
        </w:rPr>
        <w:t>” means, collectively, all of the Restricted Subsidiaries of WIL-Ireland that are not Specified Group Members.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Subsidiaries Group Member</w:t>
      </w:r>
      <w:r>
        <w:rPr>
          <w:rFonts w:ascii="Arial" w:cs="Arial" w:eastAsia="Arial" w:hAnsi="Arial"/>
          <w:sz w:val="18"/>
          <w:szCs w:val="18"/>
          <w:color w:val="auto"/>
        </w:rPr>
        <w:t>” means any member of the Other Subsidiaries Group.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stamp or documentary taxes or any other excise or property taxes, charges or similar levies, other than Excluded Taxes, arising from any payment made hereunder or from the execution, delivery or enforcement of, or otherwise with respect to, this Agreement, but only to the extent that any of the foregoing is imposed by (i) Bermuda, Switzerland, the United States or any other jurisdiction in which any Borrower is organized or is resident for tax purposes or any other jurisdiction in which WIL-Bermuda is Redomesticated or is resident for tax purposes with respect to a Foreign Lender, or (ii) Bermuda, Switzerland, or any other jurisdiction in which any Borrower is organized or is resident for tax purposes or any other jurisdiction (other than the United States) in which WIL-Bermuda is Redomesticated or is resident for tax purposes with respect to a Lender which is not a Foreign Lender.</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means, for any day, the rate comprised of both overnight federal funds and overnight Eurodollar borrowings by U.S. —managed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Certificate</w:t>
      </w:r>
      <w:r>
        <w:rPr>
          <w:rFonts w:ascii="Arial" w:cs="Arial" w:eastAsia="Arial" w:hAnsi="Arial"/>
          <w:sz w:val="18"/>
          <w:szCs w:val="18"/>
          <w:color w:val="auto"/>
        </w:rPr>
        <w:t xml:space="preserve">” means a certificate executed by a Participant,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Borrower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in Full</w:t>
      </w:r>
      <w:r>
        <w:rPr>
          <w:rFonts w:ascii="Arial" w:cs="Arial" w:eastAsia="Arial" w:hAnsi="Arial"/>
          <w:sz w:val="18"/>
          <w:szCs w:val="18"/>
          <w:color w:val="auto"/>
        </w:rPr>
        <w:t>” means the Commitments have expired or been terminated and the principal of and interest on each Loan and all fees payable hereunder and all other amounts payable under the Loan Documents (other than contingent indemnification obligations as to which no claim has been received by any Obligor) shall have been paid in full in cash and all Letters of Credit (other than Letters of Credit with respect to which other arrangements satisfactory to each applicable Issuing Bank have been made) shall have expired or terminated, in each case, without any pending draw, and all LC Disbursements shall have been reimbursed in full in cash.</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entity succeeding to any or all of its functions under ERISA.</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Standby Letter of Credit</w:t>
      </w:r>
      <w:r>
        <w:rPr>
          <w:rFonts w:ascii="Arial" w:cs="Arial" w:eastAsia="Arial" w:hAnsi="Arial"/>
          <w:sz w:val="17"/>
          <w:szCs w:val="17"/>
          <w:color w:val="auto"/>
        </w:rPr>
        <w:t>” means a standby Letter of Credit under which the beneficiary is entitled to draw thereon in the event that the account party (or the Person or Persons on whose behalf such Letter of Credit was issued) fails to perform a nonfinancial contractual obligation. By way of example, a Performance Standby Letter of Credit includes (a) a standby Letter of Credit issued to secure (i) performance obligations in connection with the provision of Weatherford Customer Services (including Weatherford Customer Services about to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be commenced) or (ii) performance obligations in connection with bids for prospective projects involving Weatherford Customer Services, (b) a standby Letter of Credit issued to back a bank guarantee, surety bond, performance bond, customs bond, advance payment bond, or other similar instrument issued to secure the obligation to perform Weatherford Customer Services and (c) each Existing Letter of Credit that is identified as a “Performance Letter of Credit” in </w:t>
      </w:r>
      <w:r>
        <w:rPr>
          <w:rFonts w:ascii="Arial" w:cs="Arial" w:eastAsia="Arial" w:hAnsi="Arial"/>
          <w:sz w:val="18"/>
          <w:szCs w:val="18"/>
          <w:u w:val="single" w:color="auto"/>
          <w:color w:val="auto"/>
        </w:rPr>
        <w:t>Schedule 3.01</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Standby LC Participation Fee Rate</w:t>
      </w:r>
      <w:r>
        <w:rPr>
          <w:rFonts w:ascii="Arial" w:cs="Arial" w:eastAsia="Arial" w:hAnsi="Arial"/>
          <w:sz w:val="17"/>
          <w:szCs w:val="17"/>
          <w:color w:val="auto"/>
        </w:rPr>
        <w:t>” means, for any day, (a) with respect to any Non-Extending Lender, a per annum rate equal to 50% of the applicable “LIBOR Margin” set forth in the definition of the term “Non-Extending Lender Applicable Rate”, based upon the Specified Senior Leverage Ratio as of the most recently ended Fiscal Quarter for which financial statements are available and (b) with respect to any Extending Lender, a per annum rate equal to 50% of the applicable “LIBOR Margin” set forth in the definition of “Extending Lender Applicable Rate”, based upon the Specified Senior Leverage Ratio as of the most recently ended Fiscal Quarter for which financial statements are available.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means any Acquisition (other than a Hostile Acquisition) by WIL-Ireland or a Restricted Subsidiary if (a) at the time of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immediately after giving effect thereto, (i) no Default has occurred and is continuing or would result therefrom, (ii) WIL-Ireland and its Restricted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Subsidiaries are in compliance with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and (iii) WIL-Ireland is in compliance, on a pro forma basis, with the Financial Covenants recomputed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last day of the most recently ended Fiscal Quarter of the Borrower for which financial statements are available, as if such Acquisition (and any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incurrence or repayment of Indebtedness, with any new Indebtedness being deemed to be amortized over the applicable Testing Period in accordance with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terms) had occurred on the first day of the applicable Testing Period and, if the aggregate consideration paid in respect of such Acquisition exceeds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$50,000,000, WIL-Ireland shall have delivered to the Administrative Agent a certificate of a Principal Financial Officer to such effect, together with 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relevant financial information, statements and projections reasonably requested by the Administrative Agent, (b) all actions required to be taken with respect</w:t>
      </w:r>
    </w:p>
    <w:p>
      <w:pPr>
        <w:sectPr>
          <w:pgSz w:w="11900" w:h="16865" w:orient="portrait"/>
          <w:cols w:equalWidth="0" w:num="1">
            <w:col w:w="11400"/>
          </w:cols>
          <w:pgMar w:left="240" w:top="341" w:right="259" w:bottom="0" w:gutter="0" w:footer="0" w:header="0"/>
        </w:sectPr>
      </w:pPr>
    </w:p>
    <w:bookmarkStart w:id="30" w:name="page31"/>
    <w:bookmarkEnd w:id="30"/>
    <w:p>
      <w:pPr>
        <w:ind w:right="40"/>
        <w:spacing w:after="0" w:line="255" w:lineRule="auto"/>
        <w:rPr>
          <w:sz w:val="20"/>
          <w:szCs w:val="20"/>
          <w:color w:val="auto"/>
        </w:rPr>
      </w:pPr>
      <w:r>
        <w:rPr>
          <w:rFonts w:ascii="Arial" w:cs="Arial" w:eastAsia="Arial" w:hAnsi="Arial"/>
          <w:sz w:val="18"/>
          <w:szCs w:val="18"/>
          <w:color w:val="auto"/>
        </w:rPr>
        <w:t xml:space="preserve">to such acquired or newly formed Subsidiary under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shall have been taken or will be taken within the time periods set forth therein, (c) if such Acquisition involves a merger, consolidation or amalgamation of WIL-Ireland or a Restricted Subsidiary with any other Person, such Acquisition is permitted under </w:t>
      </w:r>
      <w:r>
        <w:rPr>
          <w:rFonts w:ascii="Arial" w:cs="Arial" w:eastAsia="Arial" w:hAnsi="Arial"/>
          <w:sz w:val="18"/>
          <w:szCs w:val="18"/>
          <w:u w:val="single" w:color="auto"/>
          <w:color w:val="auto"/>
        </w:rPr>
        <w:t>Section 8.02</w:t>
      </w:r>
      <w:r>
        <w:rPr>
          <w:rFonts w:ascii="Arial" w:cs="Arial" w:eastAsia="Arial" w:hAnsi="Arial"/>
          <w:sz w:val="18"/>
          <w:szCs w:val="18"/>
          <w:color w:val="auto"/>
        </w:rPr>
        <w:t>, and (d) the aggregate consideration paid in respect of such Acquisition, when taken together with the aggregate consideration paid in respect of all other Acquisitions consummated since the Effective Date, does not exceed (i) with respect to Acquisitions consummated by any of the Other Subsidiaries Group Members, $100,000,000, and (ii) with respect to Acquisitions consummated by WIL-Ireland and any of the Specified Group Members, the Permitted Acquisitions Basket at the time of such Acquisition.</w:t>
      </w:r>
    </w:p>
    <w:p>
      <w:pPr>
        <w:spacing w:after="0" w:line="193"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Acquisitions Basket</w:t>
      </w:r>
      <w:r>
        <w:rPr>
          <w:rFonts w:ascii="Arial" w:cs="Arial" w:eastAsia="Arial" w:hAnsi="Arial"/>
          <w:sz w:val="18"/>
          <w:szCs w:val="18"/>
          <w:color w:val="auto"/>
        </w:rPr>
        <w:t xml:space="preserve">” means, at any date of determination, an amount equal to the sum of (a) $200,000,000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if such date is on or after the first anniversary of the Effective Date, $200,000,000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if such date is on or after the second anniversary of the Effective Date, $200,000,000,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the amount of net cash proceeds from issuances of Capital Stock (other than Disqualified Capital Stock) by WIL-Ireland to the extent such net cash proceeds are used to pay consideration in respect of Acquisitions.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Bond Hedge Transaction</w:t>
      </w:r>
      <w:r>
        <w:rPr>
          <w:rFonts w:ascii="Arial" w:cs="Arial" w:eastAsia="Arial" w:hAnsi="Arial"/>
          <w:sz w:val="18"/>
          <w:szCs w:val="18"/>
          <w:color w:val="auto"/>
        </w:rPr>
        <w:t xml:space="preserve">” means any call or capped call option (or substantively equivalent derivative transaction) on the </w:t>
      </w:r>
      <w:r>
        <w:rPr>
          <w:rFonts w:ascii="Arial" w:cs="Arial" w:eastAsia="Arial" w:hAnsi="Arial"/>
          <w:sz w:val="17"/>
          <w:szCs w:val="17"/>
          <w:color w:val="auto"/>
        </w:rPr>
        <w:t>ordinary</w:t>
      </w:r>
      <w:r>
        <w:rPr>
          <w:rFonts w:ascii="Arial" w:cs="Arial" w:eastAsia="Arial" w:hAnsi="Arial"/>
          <w:sz w:val="18"/>
          <w:szCs w:val="18"/>
          <w:color w:val="auto"/>
        </w:rPr>
        <w:t xml:space="preserve"> shares of WIL-Ireland purchased by WIL-Ireland or any of its Subsidiaries in connection with any Convertible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purchase price for such Permitted Bond Hedge Transaction, less the proceeds received by WIL-Ireland or any of its Subsidiaries from the sale of any related Permitted Warrant Transaction, does not exceed the net proceeds received by WIL-Ireland or any of its Subsidiaries from the sale of the Convertible Indebtedness issued in connection with such Permitted Bond Hedge Transaction.</w:t>
      </w:r>
    </w:p>
    <w:p>
      <w:pPr>
        <w:spacing w:after="0" w:line="188"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Customer Notes Disposition</w:t>
      </w:r>
      <w:r>
        <w:rPr>
          <w:rFonts w:ascii="Arial" w:cs="Arial" w:eastAsia="Arial" w:hAnsi="Arial"/>
          <w:sz w:val="16"/>
          <w:szCs w:val="16"/>
          <w:color w:val="auto"/>
        </w:rPr>
        <w:t>” means the Disposition (including the sale of a participation) by any Restricted Subsidiary that is organized in a jurisdiction other than a Specified Jurisdiction to a third party of (or in) any Receivables that were originated by such Restricted Subsidiary in the ordinary course of business and have been converted, exchanged or novated into one or more promissory notes or similar instruments.</w:t>
      </w:r>
    </w:p>
    <w:p>
      <w:pPr>
        <w:spacing w:after="0" w:line="147"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Existing Indebtedness</w:t>
      </w:r>
      <w:r>
        <w:rPr>
          <w:rFonts w:ascii="Arial" w:cs="Arial" w:eastAsia="Arial" w:hAnsi="Arial"/>
          <w:sz w:val="17"/>
          <w:szCs w:val="17"/>
          <w:color w:val="auto"/>
        </w:rPr>
        <w:t xml:space="preserve">” means (i) the Indebtedness of WIL-Ireland and its Restricted Subsidiaries (other than Indebtedness of the type described in </w:t>
      </w:r>
      <w:r>
        <w:rPr>
          <w:rFonts w:ascii="Arial" w:cs="Arial" w:eastAsia="Arial" w:hAnsi="Arial"/>
          <w:sz w:val="17"/>
          <w:szCs w:val="17"/>
          <w:u w:val="single" w:color="auto"/>
          <w:color w:val="auto"/>
        </w:rPr>
        <w:t>Section 8.01(m)</w:t>
      </w:r>
      <w:r>
        <w:rPr>
          <w:rFonts w:ascii="Arial" w:cs="Arial" w:eastAsia="Arial" w:hAnsi="Arial"/>
          <w:sz w:val="17"/>
          <w:szCs w:val="17"/>
          <w:color w:val="auto"/>
        </w:rPr>
        <w:t xml:space="preserve">) existing as of the Effective Date and identified on </w:t>
      </w:r>
      <w:r>
        <w:rPr>
          <w:rFonts w:ascii="Arial" w:cs="Arial" w:eastAsia="Arial" w:hAnsi="Arial"/>
          <w:sz w:val="17"/>
          <w:szCs w:val="17"/>
          <w:u w:val="single" w:color="auto"/>
          <w:color w:val="auto"/>
        </w:rPr>
        <w:t>Schedule 8.01</w:t>
      </w:r>
      <w:r>
        <w:rPr>
          <w:rFonts w:ascii="Arial" w:cs="Arial" w:eastAsia="Arial" w:hAnsi="Arial"/>
          <w:sz w:val="17"/>
          <w:szCs w:val="17"/>
          <w:color w:val="auto"/>
        </w:rPr>
        <w:t xml:space="preserve"> and (ii) the Existing Senior Notes.</w:t>
      </w:r>
    </w:p>
    <w:p>
      <w:pPr>
        <w:spacing w:after="0" w:line="14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Factoring Customers</w:t>
      </w:r>
      <w:r>
        <w:rPr>
          <w:rFonts w:ascii="Arial" w:cs="Arial" w:eastAsia="Arial" w:hAnsi="Arial"/>
          <w:sz w:val="18"/>
          <w:szCs w:val="18"/>
          <w:color w:val="auto"/>
        </w:rPr>
        <w:t>” means the Persons identified to the Administrative Agent in writing on or prior to the Effective Date, as such Persons may be updated from time to time by WIL-Ireland with the approval of the Administrative Agent.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Factoring Transaction Documents</w:t>
      </w:r>
      <w:r>
        <w:rPr>
          <w:rFonts w:ascii="Arial" w:cs="Arial" w:eastAsia="Arial" w:hAnsi="Arial"/>
          <w:sz w:val="18"/>
          <w:szCs w:val="18"/>
          <w:color w:val="auto"/>
        </w:rPr>
        <w:t>” means each of the documents and agreements entered into in connection with any Permitted Factoring Transaction.</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Factoring Transactions</w:t>
      </w:r>
      <w:r>
        <w:rPr>
          <w:rFonts w:ascii="Arial" w:cs="Arial" w:eastAsia="Arial" w:hAnsi="Arial"/>
          <w:sz w:val="17"/>
          <w:szCs w:val="17"/>
          <w:color w:val="auto"/>
        </w:rPr>
        <w:t xml:space="preserve">” means receivables purchase facilities and factoring transactions entered into by WIL-Ireland or any Restricted Subsidiary with respect to Receivables originated by WIL-Ireland or such Restricted Subsidiary in the ordinary course of business and owing by one or more Permitted Factoring Customers, which receivables purchase facilities and factoring transaction give rise to Attributable Receivables Amounts that are non-recourse to WIL-Ireland and its Restricted Subsidiaries other than limited recourse customary for receivables purchase facilities and factoring transactions of the same kind,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 the aggregate face amount of all receivables sold or transferred pursuant to Permitted Factoring Transactions shall not exceed $400,000,000 in any Fiscal Year and (ii) the aggregate face amount of all receivables sold or transferred pursuant to Permitted Factoring Transactions shall not exceed $100,000,000 during any Fiscal Quarter.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without duplication:</w:t>
      </w:r>
    </w:p>
    <w:p>
      <w:pPr>
        <w:spacing w:after="0" w:line="225" w:lineRule="exact"/>
        <w:rPr>
          <w:sz w:val="20"/>
          <w:szCs w:val="20"/>
          <w:color w:val="auto"/>
        </w:rPr>
      </w:pPr>
    </w:p>
    <w:p>
      <w:pPr>
        <w:ind w:firstLine="656"/>
        <w:spacing w:after="0" w:line="259" w:lineRule="auto"/>
        <w:tabs>
          <w:tab w:leader="none" w:pos="13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for Taxes or unpaid utilities (i) not yet delinquent or which can thereafter be paid without penalty, (ii) which are being contested in good faith by appropriate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Taxes referenced in this clause (ii), adequate reserves with respect thereto are maintained on the books of WIL-Ireland or its Subsidiaries, to the extent required by GAAP) or (iii) imposed by any foreign Governmental Authority and attaching solely to assets with a fair market value not in excess of $50,000,000 in the aggregate at any one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56"/>
        <w:spacing w:after="0" w:line="264" w:lineRule="auto"/>
        <w:tabs>
          <w:tab w:leader="none" w:pos="13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arising in the ordinary course of business and not overdue for a period of more than 60 days or which are being contested in good faith by appropriate proceedings and for which adequate reserves have been made to the extent required by GAAP;</w:t>
      </w:r>
    </w:p>
    <w:p>
      <w:pPr>
        <w:spacing w:after="0" w:line="181" w:lineRule="exact"/>
        <w:rPr>
          <w:rFonts w:ascii="Arial" w:cs="Arial" w:eastAsia="Arial" w:hAnsi="Arial"/>
          <w:sz w:val="18"/>
          <w:szCs w:val="18"/>
          <w:color w:val="auto"/>
        </w:rPr>
      </w:pPr>
    </w:p>
    <w:p>
      <w:pPr>
        <w:ind w:right="680" w:firstLine="656"/>
        <w:spacing w:after="0" w:line="277" w:lineRule="auto"/>
        <w:tabs>
          <w:tab w:leader="none" w:pos="13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pledges or deposits made in compliance with, or deemed trusts arising in connection with, workers’ compensation, unemployment insurance, old age benefits, pension, employment or other social security laws or regulations;</w:t>
      </w:r>
    </w:p>
    <w:p>
      <w:pPr>
        <w:spacing w:after="0" w:line="170" w:lineRule="exact"/>
        <w:rPr>
          <w:rFonts w:ascii="Arial" w:cs="Arial" w:eastAsia="Arial" w:hAnsi="Arial"/>
          <w:sz w:val="18"/>
          <w:szCs w:val="18"/>
          <w:color w:val="auto"/>
        </w:rPr>
      </w:pPr>
    </w:p>
    <w:p>
      <w:pPr>
        <w:ind w:right="160" w:firstLine="656"/>
        <w:spacing w:after="0" w:line="279" w:lineRule="auto"/>
        <w:tabs>
          <w:tab w:leader="none" w:pos="1353" w:val="left"/>
        </w:tabs>
        <w:numPr>
          <w:ilvl w:val="0"/>
          <w:numId w:val="44"/>
        </w:numPr>
        <w:rPr>
          <w:rFonts w:ascii="Arial" w:cs="Arial" w:eastAsia="Arial" w:hAnsi="Arial"/>
          <w:sz w:val="17"/>
          <w:szCs w:val="17"/>
          <w:color w:val="auto"/>
        </w:rPr>
      </w:pPr>
      <w:r>
        <w:rPr>
          <w:rFonts w:ascii="Arial" w:cs="Arial" w:eastAsia="Arial" w:hAnsi="Arial"/>
          <w:sz w:val="17"/>
          <w:szCs w:val="17"/>
          <w:color w:val="auto"/>
        </w:rPr>
        <w:t>easements, rights-of-way, use restrictions, minor defects or irregularities in title, reservations (including reservations in any original grant from any government of any land or interests therein and statutory exceptions to title)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WIL-Ireland or any of its Restricted Subsidiaries;</w:t>
      </w:r>
    </w:p>
    <w:p>
      <w:pPr>
        <w:spacing w:after="0" w:line="171" w:lineRule="exact"/>
        <w:rPr>
          <w:rFonts w:ascii="Arial" w:cs="Arial" w:eastAsia="Arial" w:hAnsi="Arial"/>
          <w:sz w:val="17"/>
          <w:szCs w:val="17"/>
          <w:color w:val="auto"/>
        </w:rPr>
      </w:pPr>
    </w:p>
    <w:p>
      <w:pPr>
        <w:ind w:firstLine="656"/>
        <w:spacing w:after="0" w:line="264" w:lineRule="auto"/>
        <w:tabs>
          <w:tab w:leader="none" w:pos="13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judgment and attachment Liens not giving rise to an Event of Default or Liens created by or existing from any litigation or legal proceeding that are currently being contested in good faith by appropriate proceedings, promptly instituted and diligently conducted, and for which adequate reserves have been made to the extent required by GAAP;</w:t>
      </w:r>
    </w:p>
    <w:p>
      <w:pPr>
        <w:spacing w:after="0" w:line="181" w:lineRule="exact"/>
        <w:rPr>
          <w:rFonts w:ascii="Arial" w:cs="Arial" w:eastAsia="Arial" w:hAnsi="Arial"/>
          <w:sz w:val="18"/>
          <w:szCs w:val="18"/>
          <w:color w:val="auto"/>
        </w:rPr>
      </w:pPr>
    </w:p>
    <w:p>
      <w:pPr>
        <w:ind w:firstLine="656"/>
        <w:spacing w:after="0" w:line="257" w:lineRule="auto"/>
        <w:tabs>
          <w:tab w:leader="none" w:pos="1368"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Liens on the assets (and related insurance proceeds) of any entity or asset (and related insurance proceeds) existing at the time such asset or entity is acquired by WIL-Ireland or any of its Restricted Subsidiaries, whether by merger, amalgamation, consolidation, purchase of assets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are not created, incurred or assumed by such entity in contemplation of such entity’s being acquired by WIL-Ireland or any of its Restricted Subsidiaries, (ii) such Liens do not extend to any other assets of WIL-Ireland or any of its Restricted Subsidiaries and (iii) the Indebtedness secured by such Liens is permitted pursuant to this Agreement;</w:t>
      </w:r>
    </w:p>
    <w:p>
      <w:pPr>
        <w:sectPr>
          <w:pgSz w:w="11900" w:h="16838" w:orient="portrait"/>
          <w:cols w:equalWidth="0" w:num="1">
            <w:col w:w="11420"/>
          </w:cols>
          <w:pgMar w:left="240" w:top="125" w:right="239" w:bottom="0" w:gutter="0" w:footer="0" w:header="0"/>
        </w:sectPr>
      </w:pPr>
    </w:p>
    <w:bookmarkStart w:id="31" w:name="page32"/>
    <w:bookmarkEnd w:id="31"/>
    <w:p>
      <w:pPr>
        <w:spacing w:after="0" w:line="36" w:lineRule="exact"/>
        <w:rPr>
          <w:sz w:val="20"/>
          <w:szCs w:val="20"/>
          <w:color w:val="auto"/>
        </w:rPr>
      </w:pPr>
    </w:p>
    <w:p>
      <w:pPr>
        <w:ind w:right="100" w:firstLine="656"/>
        <w:spacing w:after="0" w:line="273" w:lineRule="auto"/>
        <w:tabs>
          <w:tab w:leader="none" w:pos="1353"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Liens on fixed or capital assets acquired, constructed or improved by WIL-Ireland or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Liens secure Indebtedness permitted by </w:t>
      </w:r>
      <w:r>
        <w:rPr>
          <w:rFonts w:ascii="Arial" w:cs="Arial" w:eastAsia="Arial" w:hAnsi="Arial"/>
          <w:sz w:val="17"/>
          <w:szCs w:val="17"/>
          <w:u w:val="single" w:color="auto"/>
          <w:color w:val="auto"/>
        </w:rPr>
        <w:t>Section 8.01(m)</w:t>
      </w:r>
      <w:r>
        <w:rPr>
          <w:rFonts w:ascii="Arial" w:cs="Arial" w:eastAsia="Arial" w:hAnsi="Arial"/>
          <w:sz w:val="17"/>
          <w:szCs w:val="17"/>
          <w:color w:val="auto"/>
        </w:rPr>
        <w:t>, (ii) such Liens and the Indebtedness secured thereby are incurred prior to or within ninety (90) days after such acquisition or the completion of such construction or improvement, (iii) the Indebtedness secured thereby does not exceed the cost of acquiring, constructing or improving such fixed or capital assets and (iv) such Liens shall not at any time encumber any property (other than proceeds from associated insurances and proceeds of, improvements, accessions and upgrades to, and related contracts, intangibles and other assets incidental to or arising from, the property so acquired, constructed or improved) other than the property financed by such Indebtedness;</w:t>
      </w:r>
    </w:p>
    <w:p>
      <w:pPr>
        <w:spacing w:after="0" w:line="178" w:lineRule="exact"/>
        <w:rPr>
          <w:rFonts w:ascii="Arial" w:cs="Arial" w:eastAsia="Arial" w:hAnsi="Arial"/>
          <w:sz w:val="17"/>
          <w:szCs w:val="17"/>
          <w:color w:val="auto"/>
        </w:rPr>
      </w:pPr>
    </w:p>
    <w:p>
      <w:pPr>
        <w:ind w:right="140" w:firstLine="656"/>
        <w:spacing w:after="0" w:line="259" w:lineRule="auto"/>
        <w:tabs>
          <w:tab w:leader="none" w:pos="13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(i) Liens incurred to secure the performance of tenders, bids, leases, statutory obligations, surety and appeal bonds, government contracts, performance and return-of-money bonds and other obligations of a like nature incurred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Liens incurred under this sub-clause (i) shall secure obligations for the payment of borrowed money, and (ii) Liens solely on cash and Cash Equivalents not to exceed $50,000,000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any one time securing letters of credit, letter of credit facilities, bank guaranties, bank guarantee facilities or similar instruments or facilities supporting the obligations described in the preceding sub-clause (i);</w:t>
      </w:r>
    </w:p>
    <w:p>
      <w:pPr>
        <w:spacing w:after="0" w:line="170" w:lineRule="exact"/>
        <w:rPr>
          <w:sz w:val="20"/>
          <w:szCs w:val="20"/>
          <w:color w:val="auto"/>
        </w:rPr>
      </w:pPr>
    </w:p>
    <w:p>
      <w:pPr>
        <w:ind w:left="1360" w:hanging="663"/>
        <w:spacing w:after="0"/>
        <w:tabs>
          <w:tab w:leader="none" w:pos="1360" w:val="left"/>
        </w:tabs>
        <w:numPr>
          <w:ilvl w:val="2"/>
          <w:numId w:val="46"/>
        </w:numPr>
        <w:rPr>
          <w:rFonts w:ascii="Arial" w:cs="Arial" w:eastAsia="Arial" w:hAnsi="Arial"/>
          <w:sz w:val="17"/>
          <w:szCs w:val="17"/>
          <w:color w:val="auto"/>
        </w:rPr>
      </w:pPr>
      <w:r>
        <w:rPr>
          <w:rFonts w:ascii="Arial" w:cs="Arial" w:eastAsia="Arial" w:hAnsi="Arial"/>
          <w:sz w:val="17"/>
          <w:szCs w:val="17"/>
          <w:color w:val="auto"/>
        </w:rPr>
        <w:t>leases or subleases granted to others not interfering in any material respect with the business of WIL-Ireland or any of its Restricted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left="1360" w:hanging="704"/>
        <w:spacing w:after="0"/>
        <w:tabs>
          <w:tab w:leader="none" w:pos="13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Liens to secure obligations arising from statutory or regulatory requirements;</w:t>
      </w:r>
    </w:p>
    <w:p>
      <w:pPr>
        <w:spacing w:after="0" w:line="225" w:lineRule="exact"/>
        <w:rPr>
          <w:rFonts w:ascii="Arial" w:cs="Arial" w:eastAsia="Arial" w:hAnsi="Arial"/>
          <w:sz w:val="18"/>
          <w:szCs w:val="18"/>
          <w:color w:val="auto"/>
        </w:rPr>
      </w:pPr>
    </w:p>
    <w:p>
      <w:pPr>
        <w:ind w:right="600" w:firstLine="656"/>
        <w:spacing w:after="0" w:line="264" w:lineRule="auto"/>
        <w:tabs>
          <w:tab w:leader="none" w:pos="1353"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interest or title of a lessor in property (and proceeds (including proceeds from insurance) of, and improvements, accessions and upgrades to, such property) subject to any Capital Lease Obligation or operating lease which obligation or lease, in each case, is permitted under this Agreement;</w:t>
      </w:r>
    </w:p>
    <w:p>
      <w:pPr>
        <w:spacing w:after="0" w:line="181" w:lineRule="exact"/>
        <w:rPr>
          <w:rFonts w:ascii="Arial" w:cs="Arial" w:eastAsia="Arial" w:hAnsi="Arial"/>
          <w:sz w:val="18"/>
          <w:szCs w:val="18"/>
          <w:color w:val="auto"/>
        </w:rPr>
      </w:pPr>
    </w:p>
    <w:p>
      <w:pPr>
        <w:ind w:right="100" w:firstLine="656"/>
        <w:spacing w:after="0" w:line="277" w:lineRule="auto"/>
        <w:tabs>
          <w:tab w:leader="none" w:pos="1358" w:val="left"/>
        </w:tabs>
        <w:numPr>
          <w:ilvl w:val="1"/>
          <w:numId w:val="47"/>
        </w:numPr>
        <w:rPr>
          <w:rFonts w:ascii="Arial" w:cs="Arial" w:eastAsia="Arial" w:hAnsi="Arial"/>
          <w:sz w:val="18"/>
          <w:szCs w:val="18"/>
          <w:color w:val="auto"/>
        </w:rPr>
      </w:pPr>
      <w:r>
        <w:rPr>
          <w:rFonts w:ascii="Arial" w:cs="Arial" w:eastAsia="Arial" w:hAnsi="Arial"/>
          <w:sz w:val="18"/>
          <w:szCs w:val="18"/>
          <w:color w:val="auto"/>
        </w:rPr>
        <w:t>Liens in favor of collecting or payor banks having a right of setoff, revocation, refund or chargeback with respect to money or instruments of WIL-Ireland or any of its Restricted Subsidiaries on deposit with or in possession of such bank;</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Liens on the cash deposited in an Acceptable Deposit Account pursuant to the definition of “Extended Maturity Date”;</w:t>
      </w:r>
    </w:p>
    <w:p>
      <w:pPr>
        <w:spacing w:after="0" w:line="225" w:lineRule="exact"/>
        <w:rPr>
          <w:rFonts w:ascii="Arial" w:cs="Arial" w:eastAsia="Arial" w:hAnsi="Arial"/>
          <w:sz w:val="18"/>
          <w:szCs w:val="18"/>
          <w:color w:val="auto"/>
        </w:rPr>
      </w:pPr>
    </w:p>
    <w:p>
      <w:pPr>
        <w:ind w:right="400" w:firstLine="656"/>
        <w:spacing w:after="0" w:line="277" w:lineRule="auto"/>
        <w:tabs>
          <w:tab w:leader="none" w:pos="1353" w:val="left"/>
        </w:tabs>
        <w:numPr>
          <w:ilvl w:val="1"/>
          <w:numId w:val="47"/>
        </w:numPr>
        <w:rPr>
          <w:rFonts w:ascii="Arial" w:cs="Arial" w:eastAsia="Arial" w:hAnsi="Arial"/>
          <w:sz w:val="18"/>
          <w:szCs w:val="18"/>
          <w:color w:val="auto"/>
        </w:rPr>
      </w:pPr>
      <w:r>
        <w:rPr>
          <w:rFonts w:ascii="Arial" w:cs="Arial" w:eastAsia="Arial" w:hAnsi="Arial"/>
          <w:sz w:val="18"/>
          <w:szCs w:val="18"/>
          <w:color w:val="auto"/>
        </w:rPr>
        <w:t>Liens solely on any cash earnest money deposits or escrow arrangements made by WIL-Ireland or any of its Restricted Subsidiaries in connection with any letter of intent or purchase agreement relating to any acquisition of property permitted hereunder; and</w:t>
      </w:r>
    </w:p>
    <w:p>
      <w:pPr>
        <w:spacing w:after="0" w:line="170" w:lineRule="exact"/>
        <w:rPr>
          <w:rFonts w:ascii="Arial" w:cs="Arial" w:eastAsia="Arial" w:hAnsi="Arial"/>
          <w:sz w:val="18"/>
          <w:szCs w:val="18"/>
          <w:color w:val="auto"/>
        </w:rPr>
      </w:pPr>
    </w:p>
    <w:p>
      <w:pPr>
        <w:ind w:right="300" w:firstLine="656"/>
        <w:spacing w:after="0" w:line="291" w:lineRule="auto"/>
        <w:tabs>
          <w:tab w:leader="none" w:pos="1353" w:val="left"/>
        </w:tabs>
        <w:numPr>
          <w:ilvl w:val="1"/>
          <w:numId w:val="47"/>
        </w:numPr>
        <w:rPr>
          <w:rFonts w:ascii="Arial" w:cs="Arial" w:eastAsia="Arial" w:hAnsi="Arial"/>
          <w:sz w:val="16"/>
          <w:szCs w:val="16"/>
          <w:color w:val="auto"/>
        </w:rPr>
      </w:pPr>
      <w:r>
        <w:rPr>
          <w:rFonts w:ascii="Arial" w:cs="Arial" w:eastAsia="Arial" w:hAnsi="Arial"/>
          <w:sz w:val="16"/>
          <w:szCs w:val="16"/>
          <w:color w:val="auto"/>
        </w:rPr>
        <w:t>extensions, renewals and replacements of any Lien permitted by any of the preceding clauses, so long as (i) the principal amount of any debt secured thereby is not increased (other than to the extent of any amounts incurred to pay costs of any such extension, renewal or replacement) and</w:t>
      </w:r>
    </w:p>
    <w:p>
      <w:pPr>
        <w:ind w:right="180" w:firstLine="8"/>
        <w:spacing w:after="0" w:line="261" w:lineRule="auto"/>
        <w:tabs>
          <w:tab w:leader="none" w:pos="26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Lien does not extend to any additional assets (other than improvements and accessions to, and replacements of, the assets originally subject to such Lien).</w:t>
      </w:r>
    </w:p>
    <w:p>
      <w:pPr>
        <w:spacing w:after="0" w:line="184"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means Indebtedness (for purposes of this definition, “</w:t>
      </w:r>
      <w:r>
        <w:rPr>
          <w:rFonts w:ascii="Arial" w:cs="Arial" w:eastAsia="Arial" w:hAnsi="Arial"/>
          <w:sz w:val="16"/>
          <w:szCs w:val="16"/>
          <w:u w:val="single" w:color="auto"/>
          <w:color w:val="auto"/>
        </w:rPr>
        <w:t>New Indebtedness</w:t>
      </w:r>
      <w:r>
        <w:rPr>
          <w:rFonts w:ascii="Arial" w:cs="Arial" w:eastAsia="Arial" w:hAnsi="Arial"/>
          <w:sz w:val="16"/>
          <w:szCs w:val="16"/>
          <w:color w:val="auto"/>
        </w:rPr>
        <w:t>”) incurred in exchange for, or the proceeds of which are used to extend, refinance, replace, defease, discharge, refund or otherwise retire for value any other Indebtedness (for purposes of this definition, the “</w:t>
      </w:r>
      <w:r>
        <w:rPr>
          <w:rFonts w:ascii="Arial" w:cs="Arial" w:eastAsia="Arial" w:hAnsi="Arial"/>
          <w:sz w:val="16"/>
          <w:szCs w:val="16"/>
          <w:u w:val="single" w:color="auto"/>
          <w:color w:val="auto"/>
        </w:rPr>
        <w:t>Refinanced Indebtedness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aggregate principal amount (or accreted value, in the case of Indebtedness issued with original issue discount) of the New Indebtedness (including undrawn or available committed amounts) does not exceed the sum of (i) the aggregate principal amount (or accreted value, in the case of Indebtedness issued with original issue discount) then outstanding of the Refinanced Indebtedness (including undrawn or available committed amounts)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an amount necessary to pay all accrued (including, for purposes of defeasance, future accrued) and unpaid interest on the Refinanced Indebtedness and any fees, premiums and expenses related to such exchange or refinancing; (b) the New Indebtedness has a stated maturity that is no earlier than the stated maturity date of the Refinanced Indebtedness; (c) the New Indebtedness has a Weighted Average Life to Maturity that is no shorter than the Weighted Average Life to Maturity of the Refinanced Indebtedness; (d) the New Indebtedness is not incurred or Guaranteed by any Person that was not an obligor on the Refinanced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event that the Refinanced Indebtedness is of the type described in </w:t>
      </w:r>
      <w:r>
        <w:rPr>
          <w:rFonts w:ascii="Arial" w:cs="Arial" w:eastAsia="Arial" w:hAnsi="Arial"/>
          <w:sz w:val="16"/>
          <w:szCs w:val="16"/>
          <w:u w:val="single" w:color="auto"/>
          <w:color w:val="auto"/>
        </w:rPr>
        <w:t>Section 8.01(b)</w:t>
      </w:r>
      <w:r>
        <w:rPr>
          <w:rFonts w:ascii="Arial" w:cs="Arial" w:eastAsia="Arial" w:hAnsi="Arial"/>
          <w:sz w:val="16"/>
          <w:szCs w:val="16"/>
          <w:color w:val="auto"/>
        </w:rPr>
        <w:t>, the New Indebtedness may be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Guaranteed by any Obligor and (ii) in the event that the Refinanced Indebtedness is of the type described in clause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the definition of “Permitted Existing Indebtedness”, the New Indebtedness may be incurred or Guaranteed by WIL-Ireland, WIL-Bermuda, WIL-Delaware or any Other Subsidiaries Group Member; and (e) if the Refinanced Indebtedness is subordinated in right of payment to the Obligations, the New Indebtedness is subordinated in right of payment to the Obligations to at least the same extent as the Refinanced Indebtedness.</w:t>
      </w:r>
    </w:p>
    <w:p>
      <w:pPr>
        <w:spacing w:after="0" w:line="187"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Warrant Transaction</w:t>
      </w:r>
      <w:r>
        <w:rPr>
          <w:rFonts w:ascii="Arial" w:cs="Arial" w:eastAsia="Arial" w:hAnsi="Arial"/>
          <w:sz w:val="18"/>
          <w:szCs w:val="18"/>
          <w:color w:val="auto"/>
        </w:rPr>
        <w:t>” means any call option, warrant or right to purchase (or substantively equivalent derivative transaction) on WIL-Ireland’s ordinary shares sold by WIL-Ireland substantially concurrently with any purchase by WIL-Ireland or any of its Subsidiaries of a related Permitted Bond Hedge Transaction.</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company, limited or general partnership, limited liability company, joint venture, association, joint stock company, trust, unincorporated organization or other entity, or any Governmental Authority.</w:t>
      </w:r>
    </w:p>
    <w:p>
      <w:pPr>
        <w:spacing w:after="0" w:line="170"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 employee pension benefit plan, as defined in Section 3(2) of ERISA, which is covered by Title IV of ERISA or subject to the minimum funding standards under Section 412 of the Code or Section 302 of ERISA and at any time within the preceding six years has been (a) sponsored, maintained or contributed to by WIL-Ireland, any Borrower or any ERISA Affiliate for employees of WIL-Ireland, any Borrower or any ERISA Affiliate or</w:t>
      </w:r>
    </w:p>
    <w:p>
      <w:pPr>
        <w:ind w:right="440" w:firstLine="8"/>
        <w:spacing w:after="0" w:line="290" w:lineRule="auto"/>
        <w:tabs>
          <w:tab w:leader="none" w:pos="2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maintained pursuant to a collective bargaining agreement or any other arrangement under which more than one employer makes contributions and to which WIL-Ireland, any Borrower or any ERISA Affiliate is or was then making or accruing an obligation to make contributions.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Asset Regulations</w:t>
      </w:r>
      <w:r>
        <w:rPr>
          <w:rFonts w:ascii="Arial" w:cs="Arial" w:eastAsia="Arial" w:hAnsi="Arial"/>
          <w:sz w:val="18"/>
          <w:szCs w:val="18"/>
          <w:color w:val="auto"/>
        </w:rPr>
        <w:t xml:space="preserve">” means 29 CFR § 2510.3-101 </w:t>
      </w:r>
      <w:r>
        <w:rPr>
          <w:rFonts w:ascii="Arial" w:cs="Arial" w:eastAsia="Arial" w:hAnsi="Arial"/>
          <w:sz w:val="18"/>
          <w:szCs w:val="18"/>
          <w:i w:val="1"/>
          <w:iCs w:val="1"/>
          <w:color w:val="auto"/>
        </w:rPr>
        <w:t>et seq.</w:t>
      </w:r>
      <w:r>
        <w:rPr>
          <w:rFonts w:ascii="Arial" w:cs="Arial" w:eastAsia="Arial" w:hAnsi="Arial"/>
          <w:sz w:val="18"/>
          <w:szCs w:val="18"/>
          <w:color w:val="auto"/>
        </w:rPr>
        <w:t>, as modified by Section 3(42) of ERISA, as amended from time to time.</w:t>
      </w:r>
    </w:p>
    <w:p>
      <w:pPr>
        <w:sectPr>
          <w:pgSz w:w="11900" w:h="16874" w:orient="portrait"/>
          <w:cols w:equalWidth="0" w:num="1">
            <w:col w:w="11420"/>
          </w:cols>
          <w:pgMar w:left="240" w:top="125" w:right="239" w:bottom="0" w:gutter="0" w:footer="0" w:header="0"/>
        </w:sectPr>
      </w:pPr>
    </w:p>
    <w:bookmarkStart w:id="32" w:name="page33"/>
    <w:bookmarkEnd w:id="32"/>
    <w:p>
      <w:pPr>
        <w:jc w:val="both"/>
        <w:ind w:right="20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xml:space="preserve">” means the rate of interest per annum publicly announced from time to time by the JPMorgan (for so long as it is the Administrative Agent) or any successor administrative agent pursuant to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hereto as its prime rate in effect at its principal office in New York City; each change in the Prime Rate shall be effective from and including the date such change is publicly announced by the such Person as being effective.</w:t>
      </w:r>
    </w:p>
    <w:p>
      <w:pPr>
        <w:spacing w:after="0" w:line="14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Financial Officer</w:t>
      </w:r>
      <w:r>
        <w:rPr>
          <w:rFonts w:ascii="Arial" w:cs="Arial" w:eastAsia="Arial" w:hAnsi="Arial"/>
          <w:sz w:val="18"/>
          <w:szCs w:val="18"/>
          <w:color w:val="auto"/>
        </w:rPr>
        <w:t>” means, with respect to any Obligor Party, any director, any manager, the chief financial officer, the treasurer or the principal accounting officer of such Obligor Party.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any right to payment of WIL-Ireland or any Restricted Subsidiary created by or arising from sales of goods, leases of goods or the rendition of services rendered no matter how evidenced whether or not earned by performance (whether constituting accounts, general intangibles, chattel paper or otherwise).</w:t>
      </w:r>
    </w:p>
    <w:p>
      <w:pPr>
        <w:spacing w:after="0" w:line="18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Related Security</w:t>
      </w:r>
      <w:r>
        <w:rPr>
          <w:rFonts w:ascii="Arial" w:cs="Arial" w:eastAsia="Arial" w:hAnsi="Arial"/>
          <w:sz w:val="18"/>
          <w:szCs w:val="18"/>
          <w:color w:val="auto"/>
        </w:rPr>
        <w:t>” means all contracts, contract rights, guarantees and other obligations related to Receivables, all proceeds and collections of Receivables and all other</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assets and security of a type that are customarily sold or transferred in connection with receivables purchase facilities and factoring transactions of a type that could constitute Permitted Factoring Transactions.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(b) any Lender and (c) any Issuing Bank, as applicable.</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w:t>
      </w:r>
      <w:r>
        <w:rPr>
          <w:rFonts w:ascii="Arial" w:cs="Arial" w:eastAsia="Arial" w:hAnsi="Arial"/>
          <w:sz w:val="18"/>
          <w:szCs w:val="18"/>
          <w:color w:val="auto"/>
        </w:rPr>
        <w:t>” means, with respect to any Indebtedness, the redemption, purchase, defeasance, prepayment or other acquisition or retirement for value of such Indebtedness. The term “</w:t>
      </w:r>
      <w:r>
        <w:rPr>
          <w:rFonts w:ascii="Arial" w:cs="Arial" w:eastAsia="Arial" w:hAnsi="Arial"/>
          <w:sz w:val="18"/>
          <w:szCs w:val="18"/>
          <w:u w:val="single" w:color="auto"/>
          <w:color w:val="auto"/>
        </w:rPr>
        <w:t>Redeem</w:t>
      </w:r>
      <w:r>
        <w:rPr>
          <w:rFonts w:ascii="Arial" w:cs="Arial" w:eastAsia="Arial" w:hAnsi="Arial"/>
          <w:sz w:val="18"/>
          <w:szCs w:val="18"/>
          <w:color w:val="auto"/>
        </w:rPr>
        <w:t>” has a meaning correlative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Redomestication</w:t>
      </w:r>
      <w:r>
        <w:rPr>
          <w:rFonts w:ascii="Arial" w:cs="Arial" w:eastAsia="Arial" w:hAnsi="Arial"/>
          <w:sz w:val="18"/>
          <w:szCs w:val="18"/>
          <w:color w:val="auto"/>
        </w:rPr>
        <w:t>” means:</w:t>
      </w:r>
    </w:p>
    <w:p>
      <w:pPr>
        <w:spacing w:after="0" w:line="225" w:lineRule="exact"/>
        <w:rPr>
          <w:sz w:val="20"/>
          <w:szCs w:val="20"/>
          <w:color w:val="auto"/>
        </w:rPr>
      </w:pPr>
    </w:p>
    <w:p>
      <w:pPr>
        <w:ind w:firstLine="656"/>
        <w:spacing w:after="0" w:line="276" w:lineRule="auto"/>
        <w:tabs>
          <w:tab w:leader="none" w:pos="1343"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172" w:lineRule="exact"/>
        <w:rPr>
          <w:rFonts w:ascii="Arial" w:cs="Arial" w:eastAsia="Arial" w:hAnsi="Arial"/>
          <w:sz w:val="17"/>
          <w:szCs w:val="17"/>
          <w:color w:val="auto"/>
        </w:rPr>
      </w:pPr>
    </w:p>
    <w:p>
      <w:pPr>
        <w:ind w:right="40" w:firstLine="656"/>
        <w:spacing w:after="0" w:line="264" w:lineRule="auto"/>
        <w:tabs>
          <w:tab w:leader="none" w:pos="13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continuation, discontinuation, domestication, redomestication, amalgamation, merger, plan or scheme of arrangement, exchange offer, business combination, reincorporation, reorganization consolidation or similar action of the Weatherford Parent Company, pursuant to the law of the jurisdiction of its organization and of any other jurisdiction; or</w:t>
      </w:r>
    </w:p>
    <w:p>
      <w:pPr>
        <w:spacing w:after="0" w:line="181" w:lineRule="exact"/>
        <w:rPr>
          <w:rFonts w:ascii="Arial" w:cs="Arial" w:eastAsia="Arial" w:hAnsi="Arial"/>
          <w:sz w:val="18"/>
          <w:szCs w:val="18"/>
          <w:color w:val="auto"/>
        </w:rPr>
      </w:pPr>
    </w:p>
    <w:p>
      <w:pPr>
        <w:ind w:right="140" w:firstLine="656"/>
        <w:spacing w:after="0" w:line="277" w:lineRule="auto"/>
        <w:tabs>
          <w:tab w:leader="none" w:pos="134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formation of a Person that becomes, as part of the transaction or series of related transactions, the direct or indirect owner of 100% of the voting shares of the Weatherford Parent Company (the “</w:t>
      </w:r>
      <w:r>
        <w:rPr>
          <w:rFonts w:ascii="Arial" w:cs="Arial" w:eastAsia="Arial" w:hAnsi="Arial"/>
          <w:sz w:val="18"/>
          <w:szCs w:val="18"/>
          <w:u w:val="single" w:color="auto"/>
          <w:color w:val="auto"/>
        </w:rPr>
        <w:t>New Weatherford Parent</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as a result thereof:</w:t>
      </w:r>
    </w:p>
    <w:p>
      <w:pPr>
        <w:spacing w:after="0" w:line="225" w:lineRule="exact"/>
        <w:rPr>
          <w:sz w:val="20"/>
          <w:szCs w:val="20"/>
          <w:color w:val="auto"/>
        </w:rPr>
      </w:pPr>
    </w:p>
    <w:p>
      <w:pPr>
        <w:ind w:right="460" w:firstLine="656"/>
        <w:spacing w:after="0" w:line="264" w:lineRule="auto"/>
        <w:tabs>
          <w:tab w:leader="none" w:pos="13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in the case of any action specified in clause </w:t>
      </w:r>
      <w:r>
        <w:rPr>
          <w:rFonts w:ascii="Arial" w:cs="Arial" w:eastAsia="Arial" w:hAnsi="Arial"/>
          <w:sz w:val="18"/>
          <w:szCs w:val="18"/>
          <w:u w:val="single" w:color="auto"/>
          <w:color w:val="auto"/>
        </w:rPr>
        <w:t>(a)</w:t>
      </w:r>
      <w:r>
        <w:rPr>
          <w:rFonts w:ascii="Arial" w:cs="Arial" w:eastAsia="Arial" w:hAnsi="Arial"/>
          <w:sz w:val="18"/>
          <w:szCs w:val="18"/>
          <w:color w:val="auto"/>
        </w:rPr>
        <w:t>,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181" w:lineRule="exact"/>
        <w:rPr>
          <w:rFonts w:ascii="Arial" w:cs="Arial" w:eastAsia="Arial" w:hAnsi="Arial"/>
          <w:sz w:val="18"/>
          <w:szCs w:val="18"/>
          <w:color w:val="auto"/>
        </w:rPr>
      </w:pPr>
    </w:p>
    <w:p>
      <w:pPr>
        <w:ind w:right="40" w:firstLine="656"/>
        <w:spacing w:after="0" w:line="277" w:lineRule="auto"/>
        <w:tabs>
          <w:tab w:leader="none" w:pos="13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in the case of any action specified in clause </w:t>
      </w:r>
      <w:r>
        <w:rPr>
          <w:rFonts w:ascii="Arial" w:cs="Arial" w:eastAsia="Arial" w:hAnsi="Arial"/>
          <w:sz w:val="18"/>
          <w:szCs w:val="18"/>
          <w:u w:val="single" w:color="auto"/>
          <w:color w:val="auto"/>
        </w:rPr>
        <w:t>(b)</w:t>
      </w:r>
      <w:r>
        <w:rPr>
          <w:rFonts w:ascii="Arial" w:cs="Arial" w:eastAsia="Arial" w:hAnsi="Arial"/>
          <w:sz w:val="18"/>
          <w:szCs w:val="18"/>
          <w:color w:val="auto"/>
        </w:rPr>
        <w:t>, the entity that constituted the Weatherford Parent Company immediately prior thereto (but disregarding for this purpose any change in its jurisdiction of organization); or</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in the case of any action specified in clause </w:t>
      </w:r>
      <w:r>
        <w:rPr>
          <w:rFonts w:ascii="Arial" w:cs="Arial" w:eastAsia="Arial" w:hAnsi="Arial"/>
          <w:sz w:val="18"/>
          <w:szCs w:val="18"/>
          <w:u w:val="single" w:color="auto"/>
          <w:color w:val="auto"/>
        </w:rPr>
        <w:t>(c)</w:t>
      </w:r>
      <w:r>
        <w:rPr>
          <w:rFonts w:ascii="Arial" w:cs="Arial" w:eastAsia="Arial" w:hAnsi="Arial"/>
          <w:sz w:val="18"/>
          <w:szCs w:val="18"/>
          <w:color w:val="auto"/>
        </w:rPr>
        <w:t>, the New Weatherford Parent,</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any such case the “</w:t>
      </w:r>
      <w:r>
        <w:rPr>
          <w:rFonts w:ascii="Arial" w:cs="Arial" w:eastAsia="Arial" w:hAnsi="Arial"/>
          <w:sz w:val="18"/>
          <w:szCs w:val="18"/>
          <w:u w:val="single" w:color="auto"/>
          <w:color w:val="auto"/>
        </w:rPr>
        <w:t>Surviving Person</w:t>
      </w:r>
      <w:r>
        <w:rPr>
          <w:rFonts w:ascii="Arial" w:cs="Arial" w:eastAsia="Arial" w:hAnsi="Arial"/>
          <w:sz w:val="18"/>
          <w:szCs w:val="18"/>
          <w:color w:val="auto"/>
        </w:rPr>
        <w:t>”) is a corporation or other entity, validly incorporated or formed and existing in good standing (to the extent the concept of good standing is applicable) (1) under the laws of the State of Delaware or another State of the United States, the United Kingdom, Switzerland or The Kingdom of the Netherlands, (2) under the laws of any other</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member country of the European Union (but only to the extent that (x) each Lender can legally do business with, and receive Guarantees (and payments in respect thereof) from, an entity organized in such member country and (y) doing business with and receiving Guarantees (and payments in respect thereof) from such entity would not result in any material adverse tax, regulatory or legal consequences to any Lender) or (3) with the consent of all of the Lenders (such consent not to be unreasonably withheld), under the laws of any other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each class of Capital Stock of the Surviving Person issued and outstanding immediately following such action, and giving effect thereto, shall be beneficially owned by substantially the same Persons, in substantially the same percentages, as was the Capital Stock of the entity constituting the Weatherford Parent Company immediately prior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 Change of Control (disregarding the phrase “except as a result of a Redomestication” contained in clause </w:t>
      </w:r>
      <w:r>
        <w:rPr>
          <w:rFonts w:ascii="Arial" w:cs="Arial" w:eastAsia="Arial" w:hAnsi="Arial"/>
          <w:sz w:val="17"/>
          <w:szCs w:val="17"/>
          <w:u w:val="single" w:color="auto"/>
          <w:color w:val="auto"/>
        </w:rPr>
        <w:t>(a)(i)</w:t>
      </w:r>
      <w:r>
        <w:rPr>
          <w:rFonts w:ascii="Arial" w:cs="Arial" w:eastAsia="Arial" w:hAnsi="Arial"/>
          <w:sz w:val="17"/>
          <w:szCs w:val="17"/>
          <w:color w:val="auto"/>
        </w:rPr>
        <w:t xml:space="preserve"> of the definition of “Change of Control” for these purposes) result from any of the actions specified in clauses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above) and (II) the Surviving Person shall have delivered to the Administrative Agent:</w:t>
      </w:r>
    </w:p>
    <w:p>
      <w:pPr>
        <w:spacing w:after="0" w:line="182" w:lineRule="exact"/>
        <w:rPr>
          <w:sz w:val="20"/>
          <w:szCs w:val="20"/>
          <w:color w:val="auto"/>
        </w:rPr>
      </w:pPr>
    </w:p>
    <w:p>
      <w:pPr>
        <w:ind w:left="1360" w:hanging="704"/>
        <w:spacing w:after="0"/>
        <w:tabs>
          <w:tab w:leader="none" w:pos="1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certificate to the effect that, both before and after giving effect to such transaction, no Default or Event of Default exists;</w:t>
      </w:r>
    </w:p>
    <w:p>
      <w:pPr>
        <w:sectPr>
          <w:pgSz w:w="11900" w:h="16838" w:orient="portrait"/>
          <w:cols w:equalWidth="0" w:num="1">
            <w:col w:w="11360"/>
          </w:cols>
          <w:pgMar w:left="240" w:top="341" w:right="299" w:bottom="0" w:gutter="0" w:footer="0" w:header="0"/>
        </w:sectPr>
      </w:pPr>
    </w:p>
    <w:bookmarkStart w:id="33" w:name="page34"/>
    <w:bookmarkEnd w:id="33"/>
    <w:p>
      <w:pPr>
        <w:ind w:right="220" w:firstLine="656"/>
        <w:spacing w:after="0" w:line="342" w:lineRule="auto"/>
        <w:tabs>
          <w:tab w:leader="none" w:pos="1363"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 opinion, reasonably satisfactory in form, scope and substance to the Administrative Agent, of counsel reasonably satisfactory to the Administrative Agent, addressing such matters in connection with the Redomestication as the Administrative Agent or any Lender may reasonably request;</w:t>
      </w:r>
    </w:p>
    <w:p>
      <w:pPr>
        <w:spacing w:after="0" w:line="123" w:lineRule="exact"/>
        <w:rPr>
          <w:rFonts w:ascii="Arial" w:cs="Arial" w:eastAsia="Arial" w:hAnsi="Arial"/>
          <w:sz w:val="16"/>
          <w:szCs w:val="16"/>
          <w:color w:val="auto"/>
        </w:rPr>
      </w:pPr>
    </w:p>
    <w:p>
      <w:pPr>
        <w:ind w:left="1380" w:hanging="724"/>
        <w:spacing w:after="0"/>
        <w:tabs>
          <w:tab w:leader="none" w:pos="1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if applicable, the documents required by </w:t>
      </w:r>
      <w:r>
        <w:rPr>
          <w:rFonts w:ascii="Arial" w:cs="Arial" w:eastAsia="Arial" w:hAnsi="Arial"/>
          <w:sz w:val="18"/>
          <w:szCs w:val="18"/>
          <w:u w:val="single" w:color="auto"/>
          <w:color w:val="auto"/>
        </w:rPr>
        <w:t>Section 8.02(b)</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right="40" w:firstLine="656"/>
        <w:spacing w:after="0" w:line="259" w:lineRule="auto"/>
        <w:tabs>
          <w:tab w:leader="none" w:pos="1358"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Surviving Person is the New Weatherford Parent, (A) an instrument whereby such Person unconditionally guarantees the Obligations for the benefit of the Credit Parties and (B) an instrument whereby such Person becomes a party to this Agreement and assumes all rights and obligations hereunder of the entity constituting the Weatherford Parent Company immediately prior to the transactions described above, in each case in form and substance reasonably satisfactory to the Administrative Agent.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Group</w:t>
      </w:r>
      <w:r>
        <w:rPr>
          <w:rFonts w:ascii="Arial" w:cs="Arial" w:eastAsia="Arial" w:hAnsi="Arial"/>
          <w:sz w:val="18"/>
          <w:szCs w:val="18"/>
          <w:color w:val="auto"/>
        </w:rPr>
        <w:t>” means the Specified Group, the WIL-Ireland Group or the Other Subsidiaries Group,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11.05(b)(iv)</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(respecting reserve requirements), as the same is from time to time in effect, and all official rulings and interpretations thereunder or thereof.</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(respecting eligible securities and margin requirements), as the same is from time to time in effect, and all official rulings and interpretations thereunder or thereof.</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(respecting margin credit extended by banks), as the same is from time to time in effect, and all official rulings and interpretations thereunder or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(respecting borrowers who obtain margin credit), as the same is from time to time in effect, and all official rulings and interpretations thereunder or thereof.</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and advisors of such Person and such Person’s Affiliates.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means, at any time, Lenders having Revolving Credit Exposures and unused Commitments representing more than fifty percent (50%) of the sum of the Total Revolving Credit Exposure and unused Commitments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Revolving Credit Exposure of, and unused Commitment of, any Defaulting Lender shall be excluded for purposes of making a determination of Required Lenders.</w:t>
      </w:r>
    </w:p>
    <w:p>
      <w:pPr>
        <w:spacing w:after="0" w:line="166"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Requirement of Law</w:t>
      </w:r>
      <w:r>
        <w:rPr>
          <w:rFonts w:ascii="Arial" w:cs="Arial" w:eastAsia="Arial" w:hAnsi="Arial"/>
          <w:sz w:val="16"/>
          <w:szCs w:val="16"/>
          <w:color w:val="auto"/>
        </w:rPr>
        <w:t>” means, as to any Person,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24"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with respect to any Obligor, any director, any manager, the president, the chief financial officer, the treasurer, the principal accounting officer or any vice president with responsibility for financial or accounting matters of such Obligor, or an individual specifically authorized by the Board of Directors of such Obligor to sign on behalf of such Obligor.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Obligations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4.04(a)</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 any dividend or other distribution (whether in cash, securities or other property) on account of any Capital Stock of WIL-Ireland or any Restricted Subsidiary, (b) any payment (whether in cash, securities or other property), including any sinking fund or similar deposit, on account of the purchase, redemption, retirement, acquisition, cancellation or termination of any Capital Stock of WIL-Ireland or any Restricted Subsidiary,</w:t>
      </w:r>
    </w:p>
    <w:p>
      <w:pPr>
        <w:ind w:right="480" w:firstLine="8"/>
        <w:spacing w:after="0" w:line="261" w:lineRule="auto"/>
        <w:tabs>
          <w:tab w:leader="none" w:pos="2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voluntary Redemption of any Indebtedness prior to the stated maturity thereof or (d) any payment in violation of any subordination terms of any Indebtedness.</w:t>
      </w:r>
    </w:p>
    <w:p>
      <w:pPr>
        <w:spacing w:after="0" w:line="184" w:lineRule="exact"/>
        <w:rPr>
          <w:sz w:val="20"/>
          <w:szCs w:val="20"/>
          <w:color w:val="auto"/>
        </w:rPr>
      </w:pPr>
    </w:p>
    <w:p>
      <w:pPr>
        <w:jc w:val="both"/>
        <w:ind w:right="28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 Basket</w:t>
      </w:r>
      <w:r>
        <w:rPr>
          <w:rFonts w:ascii="Arial" w:cs="Arial" w:eastAsia="Arial" w:hAnsi="Arial"/>
          <w:sz w:val="18"/>
          <w:szCs w:val="18"/>
          <w:color w:val="auto"/>
        </w:rPr>
        <w:t>” means, at any time, an amount equal to 50% of the cumulative amount of Excess Cash Flow of WIL-Ireland and its Restricted Subsidiaries for each Fiscal Quarter ending on or after the Effective Date and prior to such time (taken as one accounting period), commencing with the Fiscal Quarter ending June 30, 2016.</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WIL-Ireland that is not an Unrestricted Subsidiary. For the avoidance of doubt, each Borrower and each Guarantor (other than WIL-Ireland) shall be a Restricted Subsidiary.</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Restrictive Agreement</w:t>
      </w:r>
      <w:r>
        <w:rPr>
          <w:rFonts w:ascii="Arial" w:cs="Arial" w:eastAsia="Arial" w:hAnsi="Arial"/>
          <w:sz w:val="18"/>
          <w:szCs w:val="18"/>
          <w:color w:val="auto"/>
        </w:rPr>
        <w:t>” means any agreement or other arrangement that prohibits, limits, restricts or imposes any condition upon (a) the ability of any Obligor or any Specified Group Member to create, incur or permit to exist any Lien upon any of its property or assets (i) in favor of the Administrative Agent and the Lenders to secure any of the Guaranteed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spacing w:after="0" w:line="291" w:lineRule="auto"/>
        <w:rPr>
          <w:sz w:val="20"/>
          <w:szCs w:val="20"/>
          <w:color w:val="auto"/>
        </w:rPr>
      </w:pPr>
      <w:r>
        <w:rPr>
          <w:rFonts w:ascii="Arial" w:cs="Arial" w:eastAsia="Arial" w:hAnsi="Arial"/>
          <w:sz w:val="16"/>
          <w:szCs w:val="16"/>
          <w:color w:val="auto"/>
        </w:rPr>
        <w:t>Obligations, (ii) in favor of the Term Loan Agent and the Term Loan Secured Parties to secure any of the Term Loan Obligations or (iii) in favor of the 364-Day Revolving Credit Collateral Agent and the 364-Day Revolving Credit Secured Parties to secure any of the 364-Day Revolving Credit Obligations or</w:t>
      </w:r>
    </w:p>
    <w:p>
      <w:pPr>
        <w:ind w:firstLine="8"/>
        <w:spacing w:after="0" w:line="255"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ability of any Specified Group Member to pay any dividends or other distributions with respect to its Capital Stock to, or to make or repay any loans or advances to, or to Dispose of any assets to, any Obligor or any other Specified Group Member that is located in a Specified Jurisdiction, or, in each case, which requires the consent of any other Person in connection therewith.</w:t>
      </w:r>
    </w:p>
    <w:p>
      <w:pPr>
        <w:spacing w:after="0" w:line="190"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Revaluation Date</w:t>
      </w:r>
      <w:r>
        <w:rPr>
          <w:rFonts w:ascii="Arial" w:cs="Arial" w:eastAsia="Arial" w:hAnsi="Arial"/>
          <w:sz w:val="16"/>
          <w:szCs w:val="16"/>
          <w:color w:val="auto"/>
        </w:rPr>
        <w:t>” means each of the following: (a) each date of a renewal or extension of a Letter of Credit denominated in an Alternative Currency, (b) on the first Business Day of each calendar month, and (c) such additional dates as the Administrative Agent shall reasonably determine or the</w:t>
      </w:r>
    </w:p>
    <w:p>
      <w:pPr>
        <w:sectPr>
          <w:pgSz w:w="11900" w:h="16838" w:orient="portrait"/>
          <w:cols w:equalWidth="0" w:num="1">
            <w:col w:w="11420"/>
          </w:cols>
          <w:pgMar w:left="240" w:top="125" w:right="239" w:bottom="0" w:gutter="0" w:footer="0" w:header="0"/>
        </w:sectPr>
      </w:pPr>
    </w:p>
    <w:bookmarkStart w:id="34" w:name="page35"/>
    <w:bookmarkEnd w:id="34"/>
    <w:p>
      <w:pPr>
        <w:ind w:right="40"/>
        <w:spacing w:after="0" w:line="277" w:lineRule="auto"/>
        <w:rPr>
          <w:sz w:val="20"/>
          <w:szCs w:val="20"/>
          <w:color w:val="auto"/>
        </w:rPr>
      </w:pPr>
      <w:r>
        <w:rPr>
          <w:rFonts w:ascii="Arial" w:cs="Arial" w:eastAsia="Arial" w:hAnsi="Arial"/>
          <w:sz w:val="18"/>
          <w:szCs w:val="18"/>
          <w:color w:val="auto"/>
        </w:rPr>
        <w:t>Required Lenders shall reasonably require as a result of fluctuations in the relevant currency exchange rates or the occurrence and continuation of an Event of Default.</w:t>
      </w:r>
    </w:p>
    <w:p>
      <w:pPr>
        <w:spacing w:after="0" w:line="170"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Exposure</w:t>
      </w:r>
      <w:r>
        <w:rPr>
          <w:rFonts w:ascii="Arial" w:cs="Arial" w:eastAsia="Arial" w:hAnsi="Arial"/>
          <w:sz w:val="16"/>
          <w:szCs w:val="16"/>
          <w:color w:val="auto"/>
        </w:rPr>
        <w:t xml:space="preserve">” means, with respect to any Lender at any time, the sum of (a) the outstanding principal amount of such Lender’s Revolving Credit Loans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such Lender’s LC Exposure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such Lender’s Swingline Exposure at such time.</w:t>
      </w:r>
    </w:p>
    <w:p>
      <w:pPr>
        <w:spacing w:after="0" w:line="124"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and shall include each portion thereof comprised of Extending Lender Revolving Credit Loans and Non-Extending Lender Revolving Credit Loans.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Note</w:t>
      </w:r>
      <w:r>
        <w:rPr>
          <w:rFonts w:ascii="Arial" w:cs="Arial" w:eastAsia="Arial" w:hAnsi="Arial"/>
          <w:sz w:val="18"/>
          <w:szCs w:val="18"/>
          <w:color w:val="auto"/>
        </w:rPr>
        <w:t xml:space="preserve">” means a promissory note made by the Borrowers in favor of a Lender evidencing the Revolving Credit Loans made by such Lender, substantially in the form of </w:t>
      </w:r>
      <w:r>
        <w:rPr>
          <w:rFonts w:ascii="Arial" w:cs="Arial" w:eastAsia="Arial" w:hAnsi="Arial"/>
          <w:sz w:val="18"/>
          <w:szCs w:val="18"/>
          <w:u w:val="single" w:color="auto"/>
          <w:color w:val="auto"/>
        </w:rPr>
        <w:t>Exhibit D-1</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 Ratings Group, a division of McGraw-Hill, Inc., or any successor to the ratings agency business thereof.</w:t>
      </w:r>
    </w:p>
    <w:p>
      <w:pPr>
        <w:spacing w:after="0" w:line="23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Related Commitment Reduction Date</w:t>
      </w:r>
      <w:r>
        <w:rPr>
          <w:rFonts w:ascii="Arial" w:cs="Arial" w:eastAsia="Arial" w:hAnsi="Arial"/>
          <w:sz w:val="18"/>
          <w:szCs w:val="18"/>
          <w:color w:val="auto"/>
        </w:rPr>
        <w:t>” means (a) with respect to a Specified Asset Sale that is the Land Rig Sale, immediately upon the receipt of Net Cash Proceeds by WIL-Ireland or any of its Restricted Subsidiaries or (b) with respect to any other Specified Asset Sale, the tenth Business Day after the last day of the month during which such Specified Asset Sale was consummated.</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the subject or target of any Sanctions (at the time of this Agreement, Crimea, Cuba, Iran, North Korea, Sudan and Syria).</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the Hong Kong Monetary Authority, Her Majesty’s Treasury of the United Kingdom, the Australian Department of Foreign Affairs and Trade or any other relevant sanctions authority, (b) any Person operating, organized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or resident in a Sanctioned Country or (c) any Person owned or controlled by any such Person or Persons described in the foregoing clauses (a) or (b).</w:t>
      </w:r>
    </w:p>
    <w:p>
      <w:pPr>
        <w:spacing w:after="0" w:line="23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w:t>
      </w:r>
    </w:p>
    <w:p>
      <w:pPr>
        <w:spacing w:after="0" w:line="23" w:lineRule="exact"/>
        <w:rPr>
          <w:sz w:val="20"/>
          <w:szCs w:val="20"/>
          <w:color w:val="auto"/>
        </w:rPr>
      </w:pPr>
    </w:p>
    <w:p>
      <w:pPr>
        <w:jc w:val="both"/>
        <w:ind w:right="260"/>
        <w:spacing w:after="0" w:line="277" w:lineRule="auto"/>
        <w:rPr>
          <w:sz w:val="20"/>
          <w:szCs w:val="20"/>
          <w:color w:val="auto"/>
        </w:rPr>
      </w:pPr>
      <w:r>
        <w:rPr>
          <w:rFonts w:ascii="Arial" w:cs="Arial" w:eastAsia="Arial" w:hAnsi="Arial"/>
          <w:sz w:val="17"/>
          <w:szCs w:val="17"/>
          <w:color w:val="auto"/>
        </w:rPr>
        <w:t>U.S. government, including those administered by the Office of Foreign Assets Control of the U.S. Department of the Treasury or the U.S. Department of State or (b) the United Nations Security Council, the European Union, Her Majesty’s Treasury of the United Kingdom, any European Union member state, the Hong Kong Monetary Authority, the Australian Commonwealth Government or any other relevant sanctions authority.</w:t>
      </w:r>
    </w:p>
    <w:p>
      <w:pPr>
        <w:spacing w:after="0" w:line="173"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or any governmental authority succeeding to the functions of said Commission.</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means, in reference to any Person as of any date, (i) the fair value of the assets of such Person, at a fair valuation, will, as of such date, exceed its debts and liabilities (subordinated, contingent or otherwise); (ii) the present fair saleable value of the property of such Person will, as of such date, be greater than the amount that will be required to pay the probable liability of its debts and other liabilities (subordinated, contingent or otherwise), as such debts and other liabilities become absolute and matured; (iii) such Person will, as of such date, be able to pay its debts and liabilities (subordinated, contingent or otherwise), as such debts and liabilities become absolute and matured; and (iv) such Person will not, as of such date, have unreasonably small capital with which to conduct the business in which it is engaged as such business is now conducted and is proposed to be conducted after the Effective Date.</w:t>
      </w:r>
    </w:p>
    <w:p>
      <w:pPr>
        <w:spacing w:after="0" w:line="16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Asset Coverage Ratio</w:t>
      </w:r>
      <w:r>
        <w:rPr>
          <w:rFonts w:ascii="Arial" w:cs="Arial" w:eastAsia="Arial" w:hAnsi="Arial"/>
          <w:sz w:val="18"/>
          <w:szCs w:val="18"/>
          <w:color w:val="auto"/>
        </w:rPr>
        <w:t>” means, as of any date of determination, the ratio of (a) Total Specified Asset Value as of such date to (b) Specified Senior Indebtedness as of such date.</w:t>
      </w:r>
    </w:p>
    <w:p>
      <w:pPr>
        <w:spacing w:after="0" w:line="170"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Asset Sale</w:t>
      </w:r>
      <w:r>
        <w:rPr>
          <w:rFonts w:ascii="Arial" w:cs="Arial" w:eastAsia="Arial" w:hAnsi="Arial"/>
          <w:sz w:val="18"/>
          <w:szCs w:val="18"/>
          <w:color w:val="auto"/>
        </w:rPr>
        <w:t xml:space="preserve">” means any Disposition of assets by WIL-Ireland or any Restricted Subsidiary (including any Designated Joint Venture Investment) other than (a) involuntary dispositions as a result of casualty or condemnation events (so long as, in the case of casualty or condemnation of property that is Term Loan Collateral and has a net book value in excess of $20,000,000, the Net Cash Proceeds received by WIL-Ireland and its Restricted Subsidiaries in connection therewith are reinvested, (i) with respect to the first $100,000,000 of such Net Cash Proceeds received by WIL-Ireland and its Restricted Subsidiaries over the term of this Agreement, in assets useful to the business of WIL-Ireland and the Restricted Subsidiaries and (ii) thereafter, in additional Term Loan Collateral, in each case, within 180 days following the receipt of such Net Cash Proceeds) and (b) Dispositions to the extent permitted by </w:t>
      </w:r>
      <w:r>
        <w:rPr>
          <w:rFonts w:ascii="Arial" w:cs="Arial" w:eastAsia="Arial" w:hAnsi="Arial"/>
          <w:sz w:val="18"/>
          <w:szCs w:val="18"/>
          <w:u w:val="single" w:color="auto"/>
          <w:color w:val="auto"/>
        </w:rPr>
        <w:t>Sections 8.05(a)</w:t>
      </w:r>
      <w:r>
        <w:rPr>
          <w:rFonts w:ascii="Arial" w:cs="Arial" w:eastAsia="Arial" w:hAnsi="Arial"/>
          <w:sz w:val="18"/>
          <w:szCs w:val="18"/>
          <w:color w:val="auto"/>
        </w:rPr>
        <w:t xml:space="preserve">, </w:t>
      </w:r>
      <w:r>
        <w:rPr>
          <w:rFonts w:ascii="Arial" w:cs="Arial" w:eastAsia="Arial" w:hAnsi="Arial"/>
          <w:sz w:val="18"/>
          <w:szCs w:val="18"/>
          <w:u w:val="single" w:color="auto"/>
          <w:color w:val="auto"/>
        </w:rPr>
        <w:t>8.05(b)</w:t>
      </w:r>
      <w:r>
        <w:rPr>
          <w:rFonts w:ascii="Arial" w:cs="Arial" w:eastAsia="Arial" w:hAnsi="Arial"/>
          <w:sz w:val="18"/>
          <w:szCs w:val="18"/>
          <w:color w:val="auto"/>
        </w:rPr>
        <w:t xml:space="preserve">, </w:t>
      </w:r>
      <w:r>
        <w:rPr>
          <w:rFonts w:ascii="Arial" w:cs="Arial" w:eastAsia="Arial" w:hAnsi="Arial"/>
          <w:sz w:val="18"/>
          <w:szCs w:val="18"/>
          <w:u w:val="single" w:color="auto"/>
          <w:color w:val="auto"/>
        </w:rPr>
        <w:t>8.05(c)</w:t>
      </w:r>
      <w:r>
        <w:rPr>
          <w:rFonts w:ascii="Arial" w:cs="Arial" w:eastAsia="Arial" w:hAnsi="Arial"/>
          <w:sz w:val="18"/>
          <w:szCs w:val="18"/>
          <w:color w:val="auto"/>
        </w:rPr>
        <w:t xml:space="preserve">, </w:t>
      </w:r>
      <w:r>
        <w:rPr>
          <w:rFonts w:ascii="Arial" w:cs="Arial" w:eastAsia="Arial" w:hAnsi="Arial"/>
          <w:sz w:val="18"/>
          <w:szCs w:val="18"/>
          <w:u w:val="single" w:color="auto"/>
          <w:color w:val="auto"/>
        </w:rPr>
        <w:t>8.05(e)</w:t>
      </w:r>
      <w:r>
        <w:rPr>
          <w:rFonts w:ascii="Arial" w:cs="Arial" w:eastAsia="Arial" w:hAnsi="Arial"/>
          <w:sz w:val="18"/>
          <w:szCs w:val="18"/>
          <w:color w:val="auto"/>
        </w:rPr>
        <w:t xml:space="preserve">, </w:t>
      </w:r>
      <w:r>
        <w:rPr>
          <w:rFonts w:ascii="Arial" w:cs="Arial" w:eastAsia="Arial" w:hAnsi="Arial"/>
          <w:sz w:val="18"/>
          <w:szCs w:val="18"/>
          <w:u w:val="single" w:color="auto"/>
          <w:color w:val="auto"/>
        </w:rPr>
        <w:t>8.05(f)</w:t>
      </w:r>
      <w:r>
        <w:rPr>
          <w:rFonts w:ascii="Arial" w:cs="Arial" w:eastAsia="Arial" w:hAnsi="Arial"/>
          <w:sz w:val="18"/>
          <w:szCs w:val="18"/>
          <w:color w:val="auto"/>
        </w:rPr>
        <w:t xml:space="preserve"> (other than Designated Joint Venture Investments), </w:t>
      </w:r>
      <w:r>
        <w:rPr>
          <w:rFonts w:ascii="Arial" w:cs="Arial" w:eastAsia="Arial" w:hAnsi="Arial"/>
          <w:sz w:val="18"/>
          <w:szCs w:val="18"/>
          <w:u w:val="single" w:color="auto"/>
          <w:color w:val="auto"/>
        </w:rPr>
        <w:t>8.05(g)</w:t>
      </w:r>
      <w:r>
        <w:rPr>
          <w:rFonts w:ascii="Arial" w:cs="Arial" w:eastAsia="Arial" w:hAnsi="Arial"/>
          <w:sz w:val="18"/>
          <w:szCs w:val="18"/>
          <w:color w:val="auto"/>
        </w:rPr>
        <w:t xml:space="preserve">, </w:t>
      </w:r>
      <w:r>
        <w:rPr>
          <w:rFonts w:ascii="Arial" w:cs="Arial" w:eastAsia="Arial" w:hAnsi="Arial"/>
          <w:sz w:val="18"/>
          <w:szCs w:val="18"/>
          <w:u w:val="single" w:color="auto"/>
          <w:color w:val="auto"/>
        </w:rPr>
        <w:t>8.05(i)</w:t>
      </w:r>
      <w:r>
        <w:rPr>
          <w:rFonts w:ascii="Arial" w:cs="Arial" w:eastAsia="Arial" w:hAnsi="Arial"/>
          <w:sz w:val="18"/>
          <w:szCs w:val="18"/>
          <w:color w:val="auto"/>
        </w:rPr>
        <w:t xml:space="preserve">, </w:t>
      </w:r>
      <w:r>
        <w:rPr>
          <w:rFonts w:ascii="Arial" w:cs="Arial" w:eastAsia="Arial" w:hAnsi="Arial"/>
          <w:sz w:val="18"/>
          <w:szCs w:val="18"/>
          <w:u w:val="single" w:color="auto"/>
          <w:color w:val="auto"/>
        </w:rPr>
        <w:t>8.05(k)</w:t>
      </w:r>
      <w:r>
        <w:rPr>
          <w:rFonts w:ascii="Arial" w:cs="Arial" w:eastAsia="Arial" w:hAnsi="Arial"/>
          <w:sz w:val="18"/>
          <w:szCs w:val="18"/>
          <w:color w:val="auto"/>
        </w:rPr>
        <w:t xml:space="preserve">, </w:t>
      </w:r>
      <w:r>
        <w:rPr>
          <w:rFonts w:ascii="Arial" w:cs="Arial" w:eastAsia="Arial" w:hAnsi="Arial"/>
          <w:sz w:val="18"/>
          <w:szCs w:val="18"/>
          <w:u w:val="single" w:color="auto"/>
          <w:color w:val="auto"/>
        </w:rPr>
        <w:t>8.05(l)</w:t>
      </w:r>
      <w:r>
        <w:rPr>
          <w:rFonts w:ascii="Arial" w:cs="Arial" w:eastAsia="Arial" w:hAnsi="Arial"/>
          <w:sz w:val="18"/>
          <w:szCs w:val="18"/>
          <w:color w:val="auto"/>
        </w:rPr>
        <w:t xml:space="preserve">, </w:t>
      </w:r>
      <w:r>
        <w:rPr>
          <w:rFonts w:ascii="Arial" w:cs="Arial" w:eastAsia="Arial" w:hAnsi="Arial"/>
          <w:sz w:val="18"/>
          <w:szCs w:val="18"/>
          <w:u w:val="single" w:color="auto"/>
          <w:color w:val="auto"/>
        </w:rPr>
        <w:t>8.05(m)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8.05(n)</w:t>
      </w:r>
      <w:r>
        <w:rPr>
          <w:rFonts w:ascii="Arial" w:cs="Arial" w:eastAsia="Arial" w:hAnsi="Arial"/>
          <w:sz w:val="18"/>
          <w:szCs w:val="18"/>
          <w:color w:val="auto"/>
        </w:rPr>
        <w:t>.</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Consolidated Adjusted EBITDA</w:t>
      </w:r>
      <w:r>
        <w:rPr>
          <w:rFonts w:ascii="Arial" w:cs="Arial" w:eastAsia="Arial" w:hAnsi="Arial"/>
          <w:sz w:val="18"/>
          <w:szCs w:val="18"/>
          <w:color w:val="auto"/>
        </w:rPr>
        <w:t>” means, with respect to any period, the Consolidated Adjusted EBITDA of the Specified Group for such period, adjusted as necessary to exclude amounts attributable to WIL-Bermuda and WIL-Delaware.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Event of Default</w:t>
      </w:r>
      <w:r>
        <w:rPr>
          <w:rFonts w:ascii="Arial" w:cs="Arial" w:eastAsia="Arial" w:hAnsi="Arial"/>
          <w:sz w:val="18"/>
          <w:szCs w:val="18"/>
          <w:color w:val="auto"/>
        </w:rPr>
        <w:t xml:space="preserve">” means an Event of Default pursuant to clauses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(but only as a result of a breach of a Financial Covenant), </w:t>
      </w:r>
      <w:r>
        <w:rPr>
          <w:rFonts w:ascii="Arial" w:cs="Arial" w:eastAsia="Arial" w:hAnsi="Arial"/>
          <w:sz w:val="18"/>
          <w:szCs w:val="18"/>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(l)</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Group</w:t>
      </w:r>
      <w:r>
        <w:rPr>
          <w:rFonts w:ascii="Arial" w:cs="Arial" w:eastAsia="Arial" w:hAnsi="Arial"/>
          <w:sz w:val="18"/>
          <w:szCs w:val="18"/>
          <w:color w:val="auto"/>
        </w:rPr>
        <w:t>” mean, collectively, the Specified Obligors and their Restricted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Group Member</w:t>
      </w:r>
      <w:r>
        <w:rPr>
          <w:rFonts w:ascii="Arial" w:cs="Arial" w:eastAsia="Arial" w:hAnsi="Arial"/>
          <w:sz w:val="18"/>
          <w:szCs w:val="18"/>
          <w:color w:val="auto"/>
        </w:rPr>
        <w:t>” means any member of the Specified Group.</w:t>
      </w:r>
    </w:p>
    <w:p>
      <w:pPr>
        <w:spacing w:after="0" w:line="22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Jurisdiction</w:t>
      </w:r>
      <w:r>
        <w:rPr>
          <w:rFonts w:ascii="Arial" w:cs="Arial" w:eastAsia="Arial" w:hAnsi="Arial"/>
          <w:sz w:val="16"/>
          <w:szCs w:val="16"/>
          <w:color w:val="auto"/>
        </w:rPr>
        <w:t>” means the United States of America (or any state thereof), Canada (or any province or territory thereof), the United Kingdom, Ireland, Switzerland, Luxembourg, Bermuda, the British Virgin Islands, the Netherlands, Argentina, Australia, Norway, Hungary, Panama and</w:t>
      </w:r>
    </w:p>
    <w:p>
      <w:pPr>
        <w:sectPr>
          <w:pgSz w:w="11900" w:h="16838" w:orient="portrait"/>
          <w:cols w:equalWidth="0" w:num="1">
            <w:col w:w="11420"/>
          </w:cols>
          <w:pgMar w:left="240" w:top="125" w:right="239" w:bottom="0" w:gutter="0" w:footer="0" w:header="0"/>
        </w:sectPr>
      </w:pPr>
    </w:p>
    <w:bookmarkStart w:id="35" w:name="page36"/>
    <w:bookmarkEnd w:id="35"/>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certain other jurisdictions to be identified from time to time by the Administrative Agent in accordance with </w:t>
      </w:r>
      <w:r>
        <w:rPr>
          <w:rFonts w:ascii="Arial" w:cs="Arial" w:eastAsia="Arial" w:hAnsi="Arial"/>
          <w:sz w:val="18"/>
          <w:szCs w:val="18"/>
          <w:u w:val="single" w:color="auto"/>
          <w:color w:val="auto"/>
        </w:rPr>
        <w:t>Section 7.08(b)</w:t>
      </w:r>
      <w:r>
        <w:rPr>
          <w:rFonts w:ascii="Arial" w:cs="Arial" w:eastAsia="Arial" w:hAnsi="Arial"/>
          <w:sz w:val="18"/>
          <w:szCs w:val="18"/>
          <w:color w:val="auto"/>
        </w:rPr>
        <w:t>. In no event shall any Excluded Jurisdiction be or become a Specified Jurisdiction.</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Letter of Credit</w:t>
      </w:r>
      <w:r>
        <w:rPr>
          <w:rFonts w:ascii="Arial" w:cs="Arial" w:eastAsia="Arial" w:hAnsi="Arial"/>
          <w:sz w:val="18"/>
          <w:szCs w:val="18"/>
          <w:color w:val="auto"/>
        </w:rPr>
        <w:t>” means any standby letter of credit, bank guaranty or similar instrument that (a) has been issued for the account of any Specified Group Member or (b) with respect to which any Specified Group Member is otherwise required to reimburse the issuing institution for any amounts drawn on such letter or credit or otherwise provide any guarantee with respect to such letter of credit.</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Leverage and LC Ratio</w:t>
      </w:r>
      <w:r>
        <w:rPr>
          <w:rFonts w:ascii="Arial" w:cs="Arial" w:eastAsia="Arial" w:hAnsi="Arial"/>
          <w:sz w:val="18"/>
          <w:szCs w:val="18"/>
          <w:color w:val="auto"/>
        </w:rPr>
        <w:t xml:space="preserve">” means, as of the last day of any Fiscal Quarter, the ratio of (a) the sum of (i) Specified Senior Indebtedness as of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undrawn amount of all Specified Letters of Credit as of such date,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(iii) the aggregate amount of all Cash Collateralized LC Exposure in respect of all Specified Letters of Credit as of such date to (b) Specified Consolidated Adjusted EBITDA for the Testing Period ending on such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Obligor</w:t>
      </w:r>
      <w:r>
        <w:rPr>
          <w:rFonts w:ascii="Arial" w:cs="Arial" w:eastAsia="Arial" w:hAnsi="Arial"/>
          <w:sz w:val="18"/>
          <w:szCs w:val="18"/>
          <w:color w:val="auto"/>
        </w:rPr>
        <w:t>” means any Obligor other than WIL-Ireland, WIL-Bermuda and WIL-Delaware.</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Senior Indebtedness</w:t>
      </w:r>
      <w:r>
        <w:rPr>
          <w:rFonts w:ascii="Arial" w:cs="Arial" w:eastAsia="Arial" w:hAnsi="Arial"/>
          <w:sz w:val="18"/>
          <w:szCs w:val="18"/>
          <w:color w:val="auto"/>
        </w:rPr>
        <w:t xml:space="preserve">” means, as of any date of determination, the aggregate principal amount of all Funded Indebtedness (which for purposes of </w:t>
      </w:r>
      <w:r>
        <w:rPr>
          <w:rFonts w:ascii="Arial" w:cs="Arial" w:eastAsia="Arial" w:hAnsi="Arial"/>
          <w:sz w:val="18"/>
          <w:szCs w:val="18"/>
          <w:u w:val="single" w:color="auto"/>
          <w:color w:val="auto"/>
        </w:rPr>
        <w:t>Section 8.01(j)</w:t>
      </w:r>
      <w:r>
        <w:rPr>
          <w:rFonts w:ascii="Arial" w:cs="Arial" w:eastAsia="Arial" w:hAnsi="Arial"/>
          <w:sz w:val="18"/>
          <w:szCs w:val="18"/>
          <w:color w:val="auto"/>
        </w:rPr>
        <w:t xml:space="preserve"> only, shall also include Indebtedness of the type described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of Indebtedness) of the Specified Group as of such date, other than Funded Indebtedness of WIL-Bermuda and WIL-Delaware (but, for the avoidance of doubt, including any Funded Indebtedness consisting of Guarantees by Specified Group Members (other than WIL-Bermuda and WIL-Delaware) of Funded Indebtedness of WIL-Bermuda and WIL-Delaware).</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Senior Leverage Ratio</w:t>
      </w:r>
      <w:r>
        <w:rPr>
          <w:rFonts w:ascii="Arial" w:cs="Arial" w:eastAsia="Arial" w:hAnsi="Arial"/>
          <w:sz w:val="18"/>
          <w:szCs w:val="18"/>
          <w:color w:val="auto"/>
        </w:rPr>
        <w:t>” means, as of the last day of any Fiscal Quarter, the ratio of (a) Specified Senior Indebtedness as of such date to (b) Specified Consolidated Adjusted EBITDA for the Testing Period ending on such date.</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Swap Obligation</w:t>
      </w:r>
      <w:r>
        <w:rPr>
          <w:rFonts w:ascii="Arial" w:cs="Arial" w:eastAsia="Arial" w:hAnsi="Arial"/>
          <w:sz w:val="16"/>
          <w:szCs w:val="16"/>
          <w:color w:val="auto"/>
        </w:rPr>
        <w:t>” means, with respect to any Obligor, any obligation to pay or perform under any agreement, contract or transaction that constitutes a “swap” within the meaning of Section 1a(47) of the Commodity Exchange Act or any rules or regulations promulgated thereunder.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Cash Collateralization Date</w:t>
      </w:r>
      <w:r>
        <w:rPr>
          <w:rFonts w:ascii="Arial" w:cs="Arial" w:eastAsia="Arial" w:hAnsi="Arial"/>
          <w:sz w:val="18"/>
          <w:szCs w:val="18"/>
          <w:color w:val="auto"/>
        </w:rPr>
        <w:t>” means October 17, 2019.</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of the Board). Such reserve percentages shall include those imposed pursuant to such Regulation D of the Board. Eurodollar Loans shall be deemed to constitute eurocurrency funding and to be subject to such reserve requirements without benefit of or credit for proration, exemptions or offsets that may be available from time to time to any Lender under such Regulation D of the Board or any comparable regulation. The Statutory Reserve Rate shall be adjusted automatically on and as of the effective date of any change in any reserve percentage.</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w:t>
      </w:r>
      <w:r>
        <w:rPr>
          <w:rFonts w:ascii="Arial" w:cs="Arial" w:eastAsia="Arial" w:hAnsi="Arial"/>
          <w:sz w:val="18"/>
          <w:szCs w:val="18"/>
          <w:color w:val="auto"/>
        </w:rPr>
        <w:t>” means with respect to any Indebtedness or Guarantee of Indebtedness, that such Indebtedness or Guarantee is contractually subordinated to the Obligations on terms acceptable to the Administrative Agent after taking into consideration such factors as the Administrative Agent may deem relevant to such determination.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Indebtedness that is Subordinated.</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 Person means (a) a company or corporation a majority of whose Voting Stock is at the time, directly or indirectly, owned by such Person, by one or more subsidiaries of such Person or by such Person and one or more subsidiaries of such Person, (b) a partnership in which such Person or one or more subsidiaries of such Person is, at the date of determination, a general partner or (c) any other Person (other than a corporation or partnership) in which such Person, directly or indirectly, at the date of determination thereof, has (i) at least a majority ownership interest or (ii) the power to elect or direct the election of a majority of the directors or other governing body of such Person. Unless the context otherwise clearly requires, references in this Agreement to a “Subsidiary” or the “Subsidiaries” refer to a Subsidiary or the Subsidiaries of WIL-Ireland.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Person</w:t>
      </w:r>
      <w:r>
        <w:rPr>
          <w:rFonts w:ascii="Arial" w:cs="Arial" w:eastAsia="Arial" w:hAnsi="Arial"/>
          <w:sz w:val="18"/>
          <w:szCs w:val="18"/>
          <w:color w:val="auto"/>
        </w:rPr>
        <w:t>” has the meaning specified in the definition of “</w:t>
      </w:r>
      <w:r>
        <w:rPr>
          <w:rFonts w:ascii="Arial" w:cs="Arial" w:eastAsia="Arial" w:hAnsi="Arial"/>
          <w:sz w:val="18"/>
          <w:szCs w:val="18"/>
          <w:u w:val="single" w:color="auto"/>
          <w:color w:val="auto"/>
        </w:rPr>
        <w:t>Redomestication</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WIL-Ireland or its Subsidiaries shall be a Swap Agreement. Notwithstanding anything to the contrary set forth herein, Angolan Bond Investments shall be deemed to be Swap Agreements.</w:t>
      </w:r>
    </w:p>
    <w:p>
      <w:pPr>
        <w:spacing w:after="0" w:line="19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any and all obligations of WIL-Ireland or any Restricted Subsidiary, whether absolute or contingent and howsoever and whensoever created, arising, evidenced or acquired (including all renewals, extensions and modifications thereof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substitutions therefor), under (a) any and all Swap Agreements permitted hereunder with a Lender or an Affiliate of a Lender, and (b) any and all cancellations, buy backs, reversals, terminations or assignments of any such Swap Agreement transaction.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Borrowing</w:t>
      </w:r>
      <w:r>
        <w:rPr>
          <w:rFonts w:ascii="Arial" w:cs="Arial" w:eastAsia="Arial" w:hAnsi="Arial"/>
          <w:sz w:val="18"/>
          <w:szCs w:val="18"/>
          <w:color w:val="auto"/>
        </w:rPr>
        <w:t xml:space="preserve">” means a borrowing of a Swingline Loan pursuant to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Borrowing Request</w:t>
      </w:r>
      <w:r>
        <w:rPr>
          <w:rFonts w:ascii="Arial" w:cs="Arial" w:eastAsia="Arial" w:hAnsi="Arial"/>
          <w:sz w:val="18"/>
          <w:szCs w:val="18"/>
          <w:color w:val="auto"/>
        </w:rPr>
        <w:t xml:space="preserve">” means a request by a Borrower for a Swingline Loan in accordance with </w:t>
      </w:r>
      <w:r>
        <w:rPr>
          <w:rFonts w:ascii="Arial" w:cs="Arial" w:eastAsia="Arial" w:hAnsi="Arial"/>
          <w:sz w:val="18"/>
          <w:szCs w:val="18"/>
          <w:u w:val="single" w:color="auto"/>
          <w:color w:val="auto"/>
        </w:rPr>
        <w:t>Section 2.03(b)</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ectPr>
          <w:pgSz w:w="11900" w:h="16929" w:orient="portrait"/>
          <w:cols w:equalWidth="0" w:num="1">
            <w:col w:w="11400"/>
          </w:cols>
          <w:pgMar w:left="240" w:top="125" w:right="259" w:bottom="0" w:gutter="0" w:footer="0" w:header="0"/>
        </w:sectPr>
      </w:pPr>
    </w:p>
    <w:bookmarkStart w:id="36" w:name="page37"/>
    <w:bookmarkEnd w:id="36"/>
    <w:p>
      <w:pPr>
        <w:spacing w:after="0" w:line="9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with respect to any Lender at any time, such Lender’s Applicable Percentage of the aggregate principal amount of all Swingline Loans outstanding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Lender</w:t>
      </w:r>
      <w:r>
        <w:rPr>
          <w:rFonts w:ascii="Arial" w:cs="Arial" w:eastAsia="Arial" w:hAnsi="Arial"/>
          <w:sz w:val="16"/>
          <w:szCs w:val="16"/>
          <w:color w:val="auto"/>
        </w:rPr>
        <w:t>” means JPMorgan, in its capacity as a provider of Swingline Loans, or any additional or successor Swingline Lender hereunder.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2.03(a)</w:t>
      </w:r>
      <w:r>
        <w:rPr>
          <w:rFonts w:ascii="Arial" w:cs="Arial" w:eastAsia="Arial" w:hAnsi="Arial"/>
          <w:sz w:val="18"/>
          <w:szCs w:val="18"/>
          <w:color w:val="auto"/>
        </w:rPr>
        <w: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Note</w:t>
      </w:r>
      <w:r>
        <w:rPr>
          <w:rFonts w:ascii="Arial" w:cs="Arial" w:eastAsia="Arial" w:hAnsi="Arial"/>
          <w:sz w:val="18"/>
          <w:szCs w:val="18"/>
          <w:color w:val="auto"/>
        </w:rPr>
        <w:t xml:space="preserve">” means a promissory note made by the Borrowers in favor of a Swingline Lender evidencing the Swingline Loans made by such Swingline Lender, substantially in the form of </w:t>
      </w:r>
      <w:r>
        <w:rPr>
          <w:rFonts w:ascii="Arial" w:cs="Arial" w:eastAsia="Arial" w:hAnsi="Arial"/>
          <w:sz w:val="18"/>
          <w:szCs w:val="18"/>
          <w:u w:val="single" w:color="auto"/>
          <w:color w:val="auto"/>
        </w:rPr>
        <w:t>Exhibit D-2</w:t>
      </w:r>
      <w:r>
        <w:rPr>
          <w:rFonts w:ascii="Arial" w:cs="Arial" w:eastAsia="Arial" w:hAnsi="Arial"/>
          <w:sz w:val="18"/>
          <w:szCs w:val="18"/>
          <w:color w:val="auto"/>
        </w:rPr>
        <w:t>.</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Sublimit</w:t>
      </w:r>
      <w:r>
        <w:rPr>
          <w:rFonts w:ascii="Arial" w:cs="Arial" w:eastAsia="Arial" w:hAnsi="Arial"/>
          <w:sz w:val="18"/>
          <w:szCs w:val="18"/>
          <w:color w:val="auto"/>
        </w:rPr>
        <w:t>” means, with respect to each Swingline Lender at any time, an amount equal to the lesser of (i) $50,000,000 and (ii) the Aggregate Commitments at such time. The Swingline Sublimit of each Swingline Lender is part of, and not in addition to, the Aggregate Commitments at any time.</w:t>
      </w:r>
    </w:p>
    <w:p>
      <w:pPr>
        <w:spacing w:after="0" w:line="181"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Borrower</w:t>
      </w:r>
      <w:r>
        <w:rPr>
          <w:rFonts w:ascii="Arial" w:cs="Arial" w:eastAsia="Arial" w:hAnsi="Arial"/>
          <w:sz w:val="18"/>
          <w:szCs w:val="18"/>
          <w:color w:val="auto"/>
        </w:rPr>
        <w:t>” means any Borrower organized under the laws of Switzerland or, if different, deemed resident in Switzerland for Swiss Withholding Tax purposes.</w:t>
      </w:r>
    </w:p>
    <w:p>
      <w:pPr>
        <w:spacing w:after="0" w:line="17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Guarantor</w:t>
      </w:r>
      <w:r>
        <w:rPr>
          <w:rFonts w:ascii="Arial" w:cs="Arial" w:eastAsia="Arial" w:hAnsi="Arial"/>
          <w:sz w:val="18"/>
          <w:szCs w:val="18"/>
          <w:color w:val="auto"/>
        </w:rPr>
        <w:t>” means any Guarantor organized under the laws of Switzerland or, if different, deemed resident in Switzerland for Swiss Withholding Tax purposes.</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Guidelines</w:t>
      </w:r>
      <w:r>
        <w:rPr>
          <w:rFonts w:ascii="Arial" w:cs="Arial" w:eastAsia="Arial" w:hAnsi="Arial"/>
          <w:sz w:val="18"/>
          <w:szCs w:val="18"/>
          <w:color w:val="auto"/>
        </w:rPr>
        <w:t>” means, together, the guidelines S-02.122.1 in relation to bonds of April 1999 as issued by the Swiss Federal Tax Administration (</w:t>
      </w:r>
      <w:r>
        <w:rPr>
          <w:rFonts w:ascii="Arial" w:cs="Arial" w:eastAsia="Arial" w:hAnsi="Arial"/>
          <w:sz w:val="18"/>
          <w:szCs w:val="18"/>
          <w:i w:val="1"/>
          <w:iCs w:val="1"/>
          <w:color w:val="auto"/>
        </w:rPr>
        <w:t>Merkblatt S-02.122.1 vom April 1999 betreffend “Obligationen”</w:t>
      </w:r>
      <w:r>
        <w:rPr>
          <w:rFonts w:ascii="Arial" w:cs="Arial" w:eastAsia="Arial" w:hAnsi="Arial"/>
          <w:sz w:val="18"/>
          <w:szCs w:val="18"/>
          <w:color w:val="auto"/>
        </w:rPr>
        <w:t>), S-02.123 in relation to interbank transactions of 22 September 1986 as issued by the Swiss Federal Tax Administration (</w:t>
      </w:r>
      <w:r>
        <w:rPr>
          <w:rFonts w:ascii="Arial" w:cs="Arial" w:eastAsia="Arial" w:hAnsi="Arial"/>
          <w:sz w:val="18"/>
          <w:szCs w:val="18"/>
          <w:i w:val="1"/>
          <w:iCs w:val="1"/>
          <w:color w:val="auto"/>
        </w:rPr>
        <w:t>Merkblatt S-02.123 vom 22 September 1986 betreffend Zinsen von Bankguthaben, deren Gläubiger Banken sind</w:t>
      </w:r>
      <w:r>
        <w:rPr>
          <w:rFonts w:ascii="Arial" w:cs="Arial" w:eastAsia="Arial" w:hAnsi="Arial"/>
          <w:sz w:val="18"/>
          <w:szCs w:val="18"/>
          <w:color w:val="auto"/>
        </w:rPr>
        <w:t xml:space="preserve"> </w:t>
      </w:r>
      <w:r>
        <w:rPr>
          <w:rFonts w:ascii="Arial" w:cs="Arial" w:eastAsia="Arial" w:hAnsi="Arial"/>
          <w:sz w:val="18"/>
          <w:szCs w:val="18"/>
          <w:i w:val="1"/>
          <w:iCs w:val="1"/>
          <w:color w:val="auto"/>
        </w:rPr>
        <w:t>(Interbankguthaben)</w:t>
      </w:r>
      <w:r>
        <w:rPr>
          <w:rFonts w:ascii="Arial" w:cs="Arial" w:eastAsia="Arial" w:hAnsi="Arial"/>
          <w:sz w:val="18"/>
          <w:szCs w:val="18"/>
          <w:color w:val="auto"/>
        </w:rPr>
        <w:t>), S-02.128 in relation to syndicated credit facilities of January 2000 (</w:t>
      </w:r>
      <w:r>
        <w:rPr>
          <w:rFonts w:ascii="Arial" w:cs="Arial" w:eastAsia="Arial" w:hAnsi="Arial"/>
          <w:sz w:val="18"/>
          <w:szCs w:val="18"/>
          <w:i w:val="1"/>
          <w:iCs w:val="1"/>
          <w:color w:val="auto"/>
        </w:rPr>
        <w:t>Merkblatt S-02.128 vom Januar 2000 “Steuerliche Behandlung von Konsortialdarlehen, Schuldscheindarlehen, Wechseln und Unterbeteiligungen”</w:t>
      </w:r>
      <w:r>
        <w:rPr>
          <w:rFonts w:ascii="Arial" w:cs="Arial" w:eastAsia="Arial" w:hAnsi="Arial"/>
          <w:sz w:val="18"/>
          <w:szCs w:val="18"/>
          <w:color w:val="auto"/>
        </w:rPr>
        <w:t>), S-02.130.1 in relation to money market instruments and book claims of</w:t>
      </w:r>
      <w:r>
        <w:rPr>
          <w:rFonts w:ascii="Arial" w:cs="Arial" w:eastAsia="Arial" w:hAnsi="Arial"/>
          <w:sz w:val="18"/>
          <w:szCs w:val="18"/>
          <w:i w:val="1"/>
          <w:iCs w:val="1"/>
          <w:color w:val="auto"/>
        </w:rPr>
        <w:t xml:space="preserve"> </w:t>
      </w:r>
      <w:r>
        <w:rPr>
          <w:rFonts w:ascii="Arial" w:cs="Arial" w:eastAsia="Arial" w:hAnsi="Arial"/>
          <w:sz w:val="18"/>
          <w:szCs w:val="18"/>
          <w:color w:val="auto"/>
        </w:rPr>
        <w:t>April 1999 (</w:t>
      </w:r>
      <w:r>
        <w:rPr>
          <w:rFonts w:ascii="Arial" w:cs="Arial" w:eastAsia="Arial" w:hAnsi="Arial"/>
          <w:sz w:val="18"/>
          <w:szCs w:val="18"/>
          <w:i w:val="1"/>
          <w:iCs w:val="1"/>
          <w:color w:val="auto"/>
        </w:rPr>
        <w:t>Merkblatt S-02.130.1 vom April 1999 “Geldmarktpapiere und Buchforderungen inländischer Schuldner”</w:t>
      </w:r>
      <w:r>
        <w:rPr>
          <w:rFonts w:ascii="Arial" w:cs="Arial" w:eastAsia="Arial" w:hAnsi="Arial"/>
          <w:sz w:val="18"/>
          <w:szCs w:val="18"/>
          <w:color w:val="auto"/>
        </w:rPr>
        <w:t>), the circular letter No. 15 (</w:t>
      </w:r>
      <w:r>
        <w:rPr>
          <w:rFonts w:ascii="Arial" w:cs="Arial" w:eastAsia="Arial" w:hAnsi="Arial"/>
          <w:sz w:val="18"/>
          <w:szCs w:val="18"/>
          <w:i w:val="1"/>
          <w:iCs w:val="1"/>
          <w:color w:val="auto"/>
        </w:rPr>
        <w:t>1-015-DVS-2007</w:t>
      </w:r>
      <w:r>
        <w:rPr>
          <w:rFonts w:ascii="Arial" w:cs="Arial" w:eastAsia="Arial" w:hAnsi="Arial"/>
          <w:sz w:val="18"/>
          <w:szCs w:val="18"/>
          <w:color w:val="auto"/>
        </w:rPr>
        <w:t>) of 7 February 2007 in relation to bonds and derivative financial instruments as subject matter of taxation of Swiss federal income tax, Swiss</w:t>
      </w:r>
      <w:r>
        <w:rPr>
          <w:rFonts w:ascii="Arial" w:cs="Arial" w:eastAsia="Arial" w:hAnsi="Arial"/>
          <w:sz w:val="18"/>
          <w:szCs w:val="18"/>
          <w:i w:val="1"/>
          <w:iCs w:val="1"/>
          <w:color w:val="auto"/>
        </w:rPr>
        <w:t xml:space="preserve"> </w:t>
      </w:r>
      <w:r>
        <w:rPr>
          <w:rFonts w:ascii="Arial" w:cs="Arial" w:eastAsia="Arial" w:hAnsi="Arial"/>
          <w:sz w:val="18"/>
          <w:szCs w:val="18"/>
          <w:color w:val="auto"/>
        </w:rPr>
        <w:t>withholding tax and Swiss stamp taxes (</w:t>
      </w:r>
      <w:r>
        <w:rPr>
          <w:rFonts w:ascii="Arial" w:cs="Arial" w:eastAsia="Arial" w:hAnsi="Arial"/>
          <w:sz w:val="18"/>
          <w:szCs w:val="18"/>
          <w:i w:val="1"/>
          <w:iCs w:val="1"/>
          <w:color w:val="auto"/>
        </w:rPr>
        <w:t>Kreisschreiben Nr. 15 “Obligationen und derivative Finanzinstrumente als Gegenstand der direkten Bundessteuer,</w:t>
      </w:r>
      <w:r>
        <w:rPr>
          <w:rFonts w:ascii="Arial" w:cs="Arial" w:eastAsia="Arial" w:hAnsi="Arial"/>
          <w:sz w:val="18"/>
          <w:szCs w:val="18"/>
          <w:color w:val="auto"/>
        </w:rPr>
        <w:t xml:space="preserve"> </w:t>
      </w:r>
      <w:r>
        <w:rPr>
          <w:rFonts w:ascii="Arial" w:cs="Arial" w:eastAsia="Arial" w:hAnsi="Arial"/>
          <w:sz w:val="18"/>
          <w:szCs w:val="18"/>
          <w:i w:val="1"/>
          <w:iCs w:val="1"/>
          <w:color w:val="auto"/>
        </w:rPr>
        <w:t>der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Verrechnungssteuer und der Stempelabgaben” vom 7. Februar 2007</w:t>
      </w:r>
      <w:r>
        <w:rPr>
          <w:rFonts w:ascii="Arial" w:cs="Arial" w:eastAsia="Arial" w:hAnsi="Arial"/>
          <w:sz w:val="17"/>
          <w:szCs w:val="17"/>
          <w:color w:val="auto"/>
        </w:rPr>
        <w:t>) and the circular letter No. 34 of 26 July 2011 (</w:t>
      </w:r>
      <w:r>
        <w:rPr>
          <w:rFonts w:ascii="Arial" w:cs="Arial" w:eastAsia="Arial" w:hAnsi="Arial"/>
          <w:sz w:val="17"/>
          <w:szCs w:val="17"/>
          <w:i w:val="1"/>
          <w:iCs w:val="1"/>
          <w:color w:val="auto"/>
        </w:rPr>
        <w:t>1-034-V-2011</w:t>
      </w:r>
      <w:r>
        <w:rPr>
          <w:rFonts w:ascii="Arial" w:cs="Arial" w:eastAsia="Arial" w:hAnsi="Arial"/>
          <w:sz w:val="17"/>
          <w:szCs w:val="17"/>
          <w:color w:val="auto"/>
        </w:rPr>
        <w:t>) in relation to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credit balances (</w:t>
      </w:r>
      <w:r>
        <w:rPr>
          <w:rFonts w:ascii="Arial" w:cs="Arial" w:eastAsia="Arial" w:hAnsi="Arial"/>
          <w:sz w:val="17"/>
          <w:szCs w:val="17"/>
          <w:i w:val="1"/>
          <w:iCs w:val="1"/>
          <w:color w:val="auto"/>
        </w:rPr>
        <w:t>Kreisschreiben Nr. 34 “Kundenguthaben” vom 26. Juli 2011</w:t>
      </w:r>
      <w:r>
        <w:rPr>
          <w:rFonts w:ascii="Arial" w:cs="Arial" w:eastAsia="Arial" w:hAnsi="Arial"/>
          <w:sz w:val="17"/>
          <w:szCs w:val="17"/>
          <w:color w:val="auto"/>
        </w:rPr>
        <w:t>) as issued, and as amended or replaced from time to time by the Swiss Federal Tax Administration, or as applied in accordance with a tax ruling (if any) issued by the Swiss Federal Tax Administration, or as substituted or superseded and overruled by any law, statute, ordinance, regulation, court decision or the like as in force from time to time.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Obligor</w:t>
      </w:r>
      <w:r>
        <w:rPr>
          <w:rFonts w:ascii="Arial" w:cs="Arial" w:eastAsia="Arial" w:hAnsi="Arial"/>
          <w:sz w:val="18"/>
          <w:szCs w:val="18"/>
          <w:color w:val="auto"/>
        </w:rPr>
        <w:t>” means a Swiss Borrower or a Swiss Guarantor.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Swiss Qualifying Lender</w:t>
      </w:r>
      <w:r>
        <w:rPr>
          <w:rFonts w:ascii="Arial" w:cs="Arial" w:eastAsia="Arial" w:hAnsi="Arial"/>
          <w:sz w:val="17"/>
          <w:szCs w:val="17"/>
          <w:color w:val="auto"/>
        </w:rPr>
        <w:t>” means (i) a bank as defined in the Swiss Federal Code for Banks and Savings Banks dated 8 November 1934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Bundesgesetz über die Banken und Sparkassen</w:t>
      </w:r>
      <w:r>
        <w:rPr>
          <w:rFonts w:ascii="Arial" w:cs="Arial" w:eastAsia="Arial" w:hAnsi="Arial"/>
          <w:sz w:val="16"/>
          <w:szCs w:val="16"/>
          <w:color w:val="auto"/>
        </w:rPr>
        <w:t>) as amended from time to time or (ii) a person or entity which effectively conducts banking activities with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 infrastructure and staff as its principal business purpose and which has a banking license in full force and effect issued in accordance with the banking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laws in force in its jurisdiction of incorporation, or if acting through a branch, issued in accordance with the banking laws in the jurisdiction of such branch,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 and in each case in accordance with the Swiss Guidelines.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Non-Bank Rules</w:t>
      </w:r>
      <w:r>
        <w:rPr>
          <w:rFonts w:ascii="Arial" w:cs="Arial" w:eastAsia="Arial" w:hAnsi="Arial"/>
          <w:sz w:val="18"/>
          <w:szCs w:val="18"/>
          <w:color w:val="auto"/>
        </w:rPr>
        <w:t>” means together the Swiss Twenty Non-Bank Rule and the Swiss Ten Non-Bank Rule.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Non-Qualifying Lender</w:t>
      </w:r>
      <w:r>
        <w:rPr>
          <w:rFonts w:ascii="Arial" w:cs="Arial" w:eastAsia="Arial" w:hAnsi="Arial"/>
          <w:sz w:val="18"/>
          <w:szCs w:val="18"/>
          <w:color w:val="auto"/>
        </w:rPr>
        <w:t>” means a person which does not qualify as a Swiss Qualifying Lender.</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Ten Non-Bank Rule</w:t>
      </w:r>
      <w:r>
        <w:rPr>
          <w:rFonts w:ascii="Arial" w:cs="Arial" w:eastAsia="Arial" w:hAnsi="Arial"/>
          <w:sz w:val="18"/>
          <w:szCs w:val="18"/>
          <w:color w:val="auto"/>
        </w:rPr>
        <w:t>” means the rule that the aggregate number of Lenders other than Swiss Qualifying Lenders of a Swiss Borrower under this Agreement must not at any time exceed ten (10); in each case in accordance with the meaning of the Swiss Guidelines or the applicable legislation or explanatory notes addressing the same issues that are in force at such time.</w:t>
      </w:r>
    </w:p>
    <w:p>
      <w:pPr>
        <w:spacing w:after="0" w:line="181"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Swiss Twenty Non-Bank Rule</w:t>
      </w:r>
      <w:r>
        <w:rPr>
          <w:rFonts w:ascii="Arial" w:cs="Arial" w:eastAsia="Arial" w:hAnsi="Arial"/>
          <w:sz w:val="16"/>
          <w:szCs w:val="16"/>
          <w:color w:val="auto"/>
        </w:rPr>
        <w:t>” means the rule that the aggregate number of creditors other than Swiss Qualifying Lenders of a Swiss Borrower under all its outstanding debts relevant for the classification as debentures (Kassenobligation) (within the meaning of the Swiss Guidelines), including any Loans under this Agreement to a Swiss Borrower, must not at any time exceed twenty (20), in each case in accordance with the meaning of the Swiss Guidelines or the applicable legislation or explanatory notes addressing the same issues that are in force at such time.</w:t>
      </w:r>
    </w:p>
    <w:p>
      <w:pPr>
        <w:spacing w:after="0" w:line="15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Withholding Tax</w:t>
      </w:r>
      <w:r>
        <w:rPr>
          <w:rFonts w:ascii="Arial" w:cs="Arial" w:eastAsia="Arial" w:hAnsi="Arial"/>
          <w:sz w:val="18"/>
          <w:szCs w:val="18"/>
          <w:color w:val="auto"/>
        </w:rPr>
        <w:t>” means any Taxes levied pursuant to the Swiss Federal Act on Withholding Tax (Bundesgesetz über die Verrechnungssteuer vom 13. Oktober 1965, SR 642.21), as amended from time to time.</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levies, imposts, duties, deductions, withholdings (including backup withholding) imposed by any Governmental Authority.</w:t>
      </w:r>
    </w:p>
    <w:p>
      <w:pPr>
        <w:spacing w:after="0" w:line="1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Agent</w:t>
      </w:r>
      <w:r>
        <w:rPr>
          <w:rFonts w:ascii="Arial" w:cs="Arial" w:eastAsia="Arial" w:hAnsi="Arial"/>
          <w:sz w:val="18"/>
          <w:szCs w:val="18"/>
          <w:color w:val="auto"/>
        </w:rPr>
        <w:t>” means JPMorgan, in its capacity as administrative agent under the Term Loan Agreement or any successor or substitute administrative agent thereunder.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Agreement</w:t>
      </w:r>
      <w:r>
        <w:rPr>
          <w:rFonts w:ascii="Arial" w:cs="Arial" w:eastAsia="Arial" w:hAnsi="Arial"/>
          <w:sz w:val="18"/>
          <w:szCs w:val="18"/>
          <w:color w:val="auto"/>
        </w:rPr>
        <w:t>” means that certain Term Loan Agreement, dated as of the date hereof, by and among WIL-Bermuda, the lenders from time to time party thereto and JPMorgan, as administrative agent.</w:t>
      </w:r>
    </w:p>
    <w:p>
      <w:pPr>
        <w:sectPr>
          <w:pgSz w:w="11900" w:h="16929" w:orient="portrait"/>
          <w:cols w:equalWidth="0" w:num="1">
            <w:col w:w="11420"/>
          </w:cols>
          <w:pgMar w:left="240" w:top="341" w:right="239" w:bottom="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means the Loans (as defined in the Term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Collateral</w:t>
      </w:r>
      <w:r>
        <w:rPr>
          <w:rFonts w:ascii="Arial" w:cs="Arial" w:eastAsia="Arial" w:hAnsi="Arial"/>
          <w:sz w:val="18"/>
          <w:szCs w:val="18"/>
          <w:color w:val="auto"/>
        </w:rPr>
        <w:t>” means the Collateral (as defined in the Term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Documents</w:t>
      </w:r>
      <w:r>
        <w:rPr>
          <w:rFonts w:ascii="Arial" w:cs="Arial" w:eastAsia="Arial" w:hAnsi="Arial"/>
          <w:sz w:val="18"/>
          <w:szCs w:val="18"/>
          <w:color w:val="auto"/>
        </w:rPr>
        <w:t>” means the Loan Documents (as defined in the Term Loan Agreement).</w:t>
      </w:r>
    </w:p>
    <w:p>
      <w:pPr>
        <w:spacing w:after="0" w:line="225"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Facility</w:t>
      </w:r>
      <w:r>
        <w:rPr>
          <w:rFonts w:ascii="Arial" w:cs="Arial" w:eastAsia="Arial" w:hAnsi="Arial"/>
          <w:sz w:val="18"/>
          <w:szCs w:val="18"/>
          <w:color w:val="auto"/>
        </w:rPr>
        <w:t>” means the senior secured term loan facility provided pursuant to the Term Loan Agreement and the other Term Loan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Maturity Date</w:t>
      </w:r>
      <w:r>
        <w:rPr>
          <w:rFonts w:ascii="Arial" w:cs="Arial" w:eastAsia="Arial" w:hAnsi="Arial"/>
          <w:sz w:val="18"/>
          <w:szCs w:val="18"/>
          <w:color w:val="auto"/>
        </w:rPr>
        <w:t>” means the Maturity Date (as defined in the Term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Obligations</w:t>
      </w:r>
      <w:r>
        <w:rPr>
          <w:rFonts w:ascii="Arial" w:cs="Arial" w:eastAsia="Arial" w:hAnsi="Arial"/>
          <w:sz w:val="18"/>
          <w:szCs w:val="18"/>
          <w:color w:val="auto"/>
        </w:rPr>
        <w:t>” means the Secured Obligations (as defined in the Term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Secured Parties</w:t>
      </w:r>
      <w:r>
        <w:rPr>
          <w:rFonts w:ascii="Arial" w:cs="Arial" w:eastAsia="Arial" w:hAnsi="Arial"/>
          <w:sz w:val="18"/>
          <w:szCs w:val="18"/>
          <w:color w:val="auto"/>
        </w:rPr>
        <w:t>” means the Secured Parties (as defined in the Term Loan Agreement).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Testing Period</w:t>
      </w:r>
      <w:r>
        <w:rPr>
          <w:rFonts w:ascii="Arial" w:cs="Arial" w:eastAsia="Arial" w:hAnsi="Arial"/>
          <w:sz w:val="17"/>
          <w:szCs w:val="17"/>
          <w:color w:val="auto"/>
        </w:rPr>
        <w:t>” means any period of four consecutive Fiscal Quarters (whether or not such quarters are all within the same Fiscal Year).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Toronto Dominion</w:t>
      </w:r>
      <w:r>
        <w:rPr>
          <w:rFonts w:ascii="Arial" w:cs="Arial" w:eastAsia="Arial" w:hAnsi="Arial"/>
          <w:sz w:val="18"/>
          <w:szCs w:val="18"/>
          <w:color w:val="auto"/>
        </w:rPr>
        <w:t>” means The Toronto Dominion Bank, New York Branch.</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LC Exposure</w:t>
      </w:r>
      <w:r>
        <w:rPr>
          <w:rFonts w:ascii="Arial" w:cs="Arial" w:eastAsia="Arial" w:hAnsi="Arial"/>
          <w:sz w:val="18"/>
          <w:szCs w:val="18"/>
          <w:color w:val="auto"/>
        </w:rPr>
        <w:t>” means, at any time, the sum of (a) the Dollar Equivalent of the aggregate undrawn amount of all outstanding Letters of Credit at such time plus (b) the Dollar Equivalent of the aggregate amount of all LC Disbursements that have not yet been reimbursed by or on behalf of the Borrowers at such time.</w:t>
      </w:r>
    </w:p>
    <w:p>
      <w:pPr>
        <w:spacing w:after="0" w:line="18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Leverage Ratio</w:t>
      </w:r>
      <w:r>
        <w:rPr>
          <w:rFonts w:ascii="Arial" w:cs="Arial" w:eastAsia="Arial" w:hAnsi="Arial"/>
          <w:sz w:val="16"/>
          <w:szCs w:val="16"/>
          <w:color w:val="auto"/>
        </w:rPr>
        <w:t>” means, as of the last day of any Fiscal Quarter, the ratio of (a) the aggregate principal amount of Funded Indebtedness of the WIL-Ireland Group as of such date to (b) the Consolidated Adjusted EBITDA of the WIL-Ireland Group for the Testing Period ending on such date.</w:t>
      </w:r>
    </w:p>
    <w:p>
      <w:pPr>
        <w:spacing w:after="0" w:line="124"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Revolving Credit Exposure</w:t>
      </w:r>
      <w:r>
        <w:rPr>
          <w:rFonts w:ascii="Arial" w:cs="Arial" w:eastAsia="Arial" w:hAnsi="Arial"/>
          <w:sz w:val="16"/>
          <w:szCs w:val="16"/>
          <w:color w:val="auto"/>
        </w:rPr>
        <w:t xml:space="preserve">” means at any time, the sum of (a) the aggregate outstanding principal amount of all Revolving Credit Loans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Total LC Exposure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aggregate outstanding principal amount of all Swingline Loans at such time.</w:t>
      </w:r>
    </w:p>
    <w:p>
      <w:pPr>
        <w:spacing w:after="0" w:line="12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Specified Asset Value</w:t>
      </w:r>
      <w:r>
        <w:rPr>
          <w:rFonts w:ascii="Arial" w:cs="Arial" w:eastAsia="Arial" w:hAnsi="Arial"/>
          <w:sz w:val="18"/>
          <w:szCs w:val="18"/>
          <w:color w:val="auto"/>
        </w:rPr>
        <w:t>” means, as of any date of determination, the book value of all assets of the Specified Group on a consolidated basis as of such date, adjusted as necessary to exclude amounts attributable to WIL-Bermuda and WIL-Delaware.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transactions contemplated by the Amendment and Restatement Agreement, the Loan Documents, the Term Loan Documents and the 364-Day Revolving Credit Documents.</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(a) any Subsidiary which WIL-Ireland has designated in writing to the Administrative Agent to be an Unrestricted Subsidiary pursuant to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and (b) any direct or indirect Subsidiary of any Subsidiary described in clause (a), in each case that meets the following requirements:</w:t>
      </w:r>
    </w:p>
    <w:p>
      <w:pPr>
        <w:spacing w:after="0" w:line="181" w:lineRule="exact"/>
        <w:rPr>
          <w:sz w:val="20"/>
          <w:szCs w:val="20"/>
          <w:color w:val="auto"/>
        </w:rPr>
      </w:pPr>
    </w:p>
    <w:p>
      <w:pPr>
        <w:ind w:left="2020" w:hanging="715"/>
        <w:spacing w:after="0"/>
        <w:tabs>
          <w:tab w:leader="none" w:pos="2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such Subsidiary shall have no Indebtedness with recourse to WIL-Ireland or any Restricted Subsidiary;</w:t>
      </w:r>
    </w:p>
    <w:p>
      <w:pPr>
        <w:spacing w:after="0" w:line="225" w:lineRule="exact"/>
        <w:rPr>
          <w:rFonts w:ascii="Arial" w:cs="Arial" w:eastAsia="Arial" w:hAnsi="Arial"/>
          <w:sz w:val="18"/>
          <w:szCs w:val="18"/>
          <w:color w:val="auto"/>
        </w:rPr>
      </w:pPr>
    </w:p>
    <w:p>
      <w:pPr>
        <w:ind w:left="660" w:right="600" w:firstLine="645"/>
        <w:spacing w:after="0" w:line="277" w:lineRule="auto"/>
        <w:tabs>
          <w:tab w:leader="none" w:pos="2023"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such Subsidiary is not party to any agreement, contract, arrangement or understanding with WIL-Ireland or any Restricted Subsidiary that violates </w:t>
      </w:r>
      <w:r>
        <w:rPr>
          <w:rFonts w:ascii="Arial" w:cs="Arial" w:eastAsia="Arial" w:hAnsi="Arial"/>
          <w:sz w:val="18"/>
          <w:szCs w:val="18"/>
          <w:u w:val="single" w:color="auto"/>
          <w:color w:val="auto"/>
        </w:rPr>
        <w:t>Section 8.10</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firstLine="645"/>
        <w:spacing w:after="0" w:line="276" w:lineRule="auto"/>
        <w:tabs>
          <w:tab w:leader="none" w:pos="2028"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such Subsidiary is a Person with respect to which neither WIL-Ireland nor any of its Restricted Subsidiaries has any direct or indirect obligation (A) to subscribe for additional Capital Stock of </w:t>
      </w:r>
      <w:r>
        <w:rPr>
          <w:rFonts w:ascii="Arial" w:cs="Arial" w:eastAsia="Arial" w:hAnsi="Arial"/>
          <w:sz w:val="16"/>
          <w:szCs w:val="16"/>
          <w:color w:val="auto"/>
        </w:rPr>
        <w:t>such</w:t>
      </w:r>
      <w:r>
        <w:rPr>
          <w:rFonts w:ascii="Arial" w:cs="Arial" w:eastAsia="Arial" w:hAnsi="Arial"/>
          <w:sz w:val="17"/>
          <w:szCs w:val="17"/>
          <w:color w:val="auto"/>
        </w:rPr>
        <w:t xml:space="preserve"> Person or (B) to maintain or preserve such Person’s financial condition or to cause such Person to achieve any specified levels of operating results (it being understood that any contractual arrangements between WIL-Ireland or any of its Restricted Subsidiaries and such Subsidiary pursuant to which such Subsidiary sells products or provides services to WIL-Ireland or such Restricted Subsidiary in the ordinary course of business are not included in this clause (B));</w:t>
      </w:r>
    </w:p>
    <w:p>
      <w:pPr>
        <w:spacing w:after="0" w:line="172" w:lineRule="exact"/>
        <w:rPr>
          <w:rFonts w:ascii="Arial" w:cs="Arial" w:eastAsia="Arial" w:hAnsi="Arial"/>
          <w:sz w:val="17"/>
          <w:szCs w:val="17"/>
          <w:color w:val="auto"/>
        </w:rPr>
      </w:pPr>
    </w:p>
    <w:p>
      <w:pPr>
        <w:ind w:left="660" w:right="160" w:firstLine="645"/>
        <w:spacing w:after="0" w:line="277" w:lineRule="auto"/>
        <w:tabs>
          <w:tab w:leader="none" w:pos="2018"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such Subsidiary does not, either individually or together with other Subsidiaries that are designated as Unrestricted Subsidiaries, own or operate, directly or indirectly, all or substantially all of the assets of WIL-Ireland and its Subsidiaries; and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such Subsidiary does not hold any Capital Stock in, or any Indebtedness of, WIL-Ireland or </w:t>
      </w:r>
      <w:r>
        <w:rPr>
          <w:rFonts w:ascii="Arial" w:cs="Arial" w:eastAsia="Arial" w:hAnsi="Arial"/>
          <w:sz w:val="17"/>
          <w:szCs w:val="17"/>
          <w:color w:val="auto"/>
        </w:rPr>
        <w:t>any</w:t>
      </w:r>
      <w:r>
        <w:rPr>
          <w:rFonts w:ascii="Arial" w:cs="Arial" w:eastAsia="Arial" w:hAnsi="Arial"/>
          <w:sz w:val="18"/>
          <w:szCs w:val="18"/>
          <w:color w:val="auto"/>
        </w:rPr>
        <w:t xml:space="preserve"> Restricted Subsidiary.</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at any time any Unrestricted Subsidiary fails to meet the preceding requirements to be an Unrestricted Subsidiary, it shall thereafter be a Restricted Subsidiary for purposes of this Agreement and any Indebtedness, Liens and Investments of such Subsidiary shall be deemed to be incurred by a Restricted Subsidiary as of such date and, if such Indebtedness, Liens or Investments are not permitted to be incurred as of such date hereunder (including under the Financial Covenants), WIL-Ireland shall be in default of the applicable covenant.</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shares of any class or classes of Capital Stock in such Person entitling holders thereof (whether at all times or only so long as no senior class of stock has voting power by reason of any contingency) to vote in the election of members of the Board of Directors or other governing body of such Person.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16" w:gutter="0" w:footer="0" w:header="0"/>
        </w:sectPr>
      </w:pPr>
    </w:p>
    <w:bookmarkStart w:id="38" w:name="page39"/>
    <w:bookmarkEnd w:id="38"/>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Weatherford Customer Services</w:t>
      </w:r>
      <w:r>
        <w:rPr>
          <w:rFonts w:ascii="Arial" w:cs="Arial" w:eastAsia="Arial" w:hAnsi="Arial"/>
          <w:sz w:val="18"/>
          <w:szCs w:val="18"/>
          <w:color w:val="auto"/>
        </w:rPr>
        <w:t>” means the provision of equipment (including the manufacturing, shipment, installation, servicing or removal thereof) and services in the oil and natural gas industry, and pipeline and specialty services.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Weatherford Parent Company</w:t>
      </w:r>
      <w:r>
        <w:rPr>
          <w:rFonts w:ascii="Arial" w:cs="Arial" w:eastAsia="Arial" w:hAnsi="Arial"/>
          <w:sz w:val="18"/>
          <w:szCs w:val="18"/>
          <w:color w:val="auto"/>
        </w:rPr>
        <w:t>” means WIL-Ireland or, if a Redomestication has occurred subsequent to the Effective Date and prior to the event in question on the date of determination, the Surviving Person resulting from such Redomestication.</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Fargo</w:t>
      </w:r>
      <w:r>
        <w:rPr>
          <w:rFonts w:ascii="Arial" w:cs="Arial" w:eastAsia="Arial" w:hAnsi="Arial"/>
          <w:sz w:val="18"/>
          <w:szCs w:val="18"/>
          <w:color w:val="auto"/>
        </w:rPr>
        <w:t>” means Wells Fargo Bank, National Association and its successors.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of a Person means any Restricted Subsidiary of which all issued and outstanding Capital Stock (excluding directors’ qualifying shares or similar jurisdictional requirements) is directly or indirectly owned by such Person. Unless the context otherwise clearly requires, references in this Agreement to a “Wholly-Owned Subsidiary” or the “</w:t>
      </w:r>
      <w:r>
        <w:rPr>
          <w:rFonts w:ascii="Arial" w:cs="Arial" w:eastAsia="Arial" w:hAnsi="Arial"/>
          <w:sz w:val="18"/>
          <w:szCs w:val="18"/>
          <w:u w:val="single" w:color="auto"/>
          <w:color w:val="auto"/>
        </w:rPr>
        <w:t>Wholly-Owned Subsidiaries</w:t>
      </w:r>
      <w:r>
        <w:rPr>
          <w:rFonts w:ascii="Arial" w:cs="Arial" w:eastAsia="Arial" w:hAnsi="Arial"/>
          <w:sz w:val="18"/>
          <w:szCs w:val="18"/>
          <w:color w:val="auto"/>
        </w:rPr>
        <w:t>” refer to a Wholly-Owned Subsidiary or Wholly-Owned Subsidiaries of WIL-Ireland.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WII</w:t>
      </w:r>
      <w:r>
        <w:rPr>
          <w:rFonts w:ascii="Arial" w:cs="Arial" w:eastAsia="Arial" w:hAnsi="Arial"/>
          <w:sz w:val="18"/>
          <w:szCs w:val="18"/>
          <w:color w:val="auto"/>
        </w:rPr>
        <w:t xml:space="preserve">” means WIL-Delaware for purposes of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w:t>
      </w:r>
      <w:r>
        <w:rPr>
          <w:rFonts w:ascii="Arial" w:cs="Arial" w:eastAsia="Arial" w:hAnsi="Arial"/>
          <w:sz w:val="18"/>
          <w:szCs w:val="18"/>
          <w:color w:val="auto"/>
        </w:rPr>
        <w:t xml:space="preserve">” means WIL-Bermuda for purposes of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WIL-Bermuda</w:t>
      </w:r>
      <w:r>
        <w:rPr>
          <w:rFonts w:ascii="Arial" w:cs="Arial" w:eastAsia="Arial" w:hAnsi="Arial"/>
          <w:sz w:val="18"/>
          <w:szCs w:val="18"/>
          <w:color w:val="auto"/>
        </w:rPr>
        <w:t>” has the meaning specified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WIL-Delaware</w:t>
      </w:r>
      <w:r>
        <w:rPr>
          <w:rFonts w:ascii="Arial" w:cs="Arial" w:eastAsia="Arial" w:hAnsi="Arial"/>
          <w:sz w:val="18"/>
          <w:szCs w:val="18"/>
          <w:color w:val="auto"/>
        </w:rPr>
        <w:t>” means Weatherford International, LLC, a Delaware limited liability company.</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WIL-Ireland</w:t>
      </w:r>
      <w:r>
        <w:rPr>
          <w:rFonts w:ascii="Arial" w:cs="Arial" w:eastAsia="Arial" w:hAnsi="Arial"/>
          <w:sz w:val="18"/>
          <w:szCs w:val="18"/>
          <w:color w:val="auto"/>
        </w:rPr>
        <w:t xml:space="preserve">” has the meaning specified in the introductory paragraph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Redomestication occurs subsequent to the Effective Date and WIL-Ireland is not the Surviving Person resulting from such Redomestication, the term “WIL-Ireland” shall refer to the Surviving Person resulting from such Redomestication.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WIL-Ireland Group</w:t>
      </w:r>
      <w:r>
        <w:rPr>
          <w:rFonts w:ascii="Arial" w:cs="Arial" w:eastAsia="Arial" w:hAnsi="Arial"/>
          <w:sz w:val="18"/>
          <w:szCs w:val="18"/>
          <w:color w:val="auto"/>
        </w:rPr>
        <w:t>” means, collectively, WIL-Ireland and its Restricted Subsidiaries.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WOFS</w:t>
      </w:r>
      <w:r>
        <w:rPr>
          <w:rFonts w:ascii="Arial" w:cs="Arial" w:eastAsia="Arial" w:hAnsi="Arial"/>
          <w:sz w:val="18"/>
          <w:szCs w:val="18"/>
          <w:color w:val="auto"/>
        </w:rPr>
        <w:t>” means WOFS Assurance Limited, a Bermuda exempted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w:t>
      </w:r>
      <w:r>
        <w:rPr>
          <w:rFonts w:ascii="Arial" w:cs="Arial" w:eastAsia="Arial" w:hAnsi="Arial"/>
          <w:sz w:val="18"/>
          <w:szCs w:val="18"/>
          <w:color w:val="auto"/>
        </w:rPr>
        <w:t>” means, at any date, the excess of current assets of WIL-Ireland and its Restricted Subsidiaries on such date over current liabilities of WIL-Ireland and its Restricted Subsidiaries on such date, all determined on a consolidated basis in accordance with GAAP.</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Types of Borrowings</w:t>
      </w:r>
      <w:r>
        <w:rPr>
          <w:rFonts w:ascii="Arial" w:cs="Arial" w:eastAsia="Arial" w:hAnsi="Arial"/>
          <w:sz w:val="18"/>
          <w:szCs w:val="18"/>
          <w:color w:val="auto"/>
        </w:rPr>
        <w:t>. Borrowings hereunder are distinguished by “Type”. The “Type” of a Loan refers to the determination whether such Loan is a part of a Loan bearing interest at the Adjusted LIBO Rate or at the Alternate Base Rate.</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Accounting Terms; Changes in GAAP</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4" w:lineRule="auto"/>
        <w:tabs>
          <w:tab w:leader="none" w:pos="1991"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herein, all accounting and financial terms used herein and not otherwise defined herein and the compliance with each covenant contained herein which relates to financial matters shall be determined in accordance with GAAP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WIL-Ireland notifies the Administrative Agent that WIL-Ireland requests an amendment to any provision hereof to eliminate the effect of any change occurring after the Effective Date in GAAP or in the application thereof on the operation of such provision (or if the Administrative Agent notifies WIL-Ireland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92" w:lineRule="exact"/>
        <w:rPr>
          <w:rFonts w:ascii="Arial" w:cs="Arial" w:eastAsia="Arial" w:hAnsi="Arial"/>
          <w:sz w:val="18"/>
          <w:szCs w:val="18"/>
          <w:color w:val="auto"/>
        </w:rPr>
      </w:pPr>
    </w:p>
    <w:p>
      <w:pPr>
        <w:ind w:right="120" w:firstLine="1305"/>
        <w:spacing w:after="0" w:line="276" w:lineRule="auto"/>
        <w:tabs>
          <w:tab w:leader="none" w:pos="2001" w:val="left"/>
        </w:tabs>
        <w:numPr>
          <w:ilvl w:val="0"/>
          <w:numId w:val="57"/>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or any other Loan Document, for purposes of calculations made pursuant to the terms of this Agreement or any other Loan Document, GAAP will be deemed to treat leases that would have been classified as operating leases in accordance with generally accepted accounting principles in the United States as in effect on December 31, 2015 in a manner consistent with the treatment of such leases under generally accepted accounting principles in the United States of America as in effect on December 31, 2015, notwithstanding any modifications or interpretive changes thereto that may occur thereafter.</w:t>
      </w:r>
    </w:p>
    <w:p>
      <w:pPr>
        <w:spacing w:after="0" w:line="172" w:lineRule="exact"/>
        <w:rPr>
          <w:rFonts w:ascii="Arial" w:cs="Arial" w:eastAsia="Arial" w:hAnsi="Arial"/>
          <w:sz w:val="17"/>
          <w:szCs w:val="17"/>
          <w:color w:val="auto"/>
        </w:rPr>
      </w:pPr>
    </w:p>
    <w:p>
      <w:pPr>
        <w:ind w:right="60" w:firstLine="1305"/>
        <w:spacing w:after="0" w:line="255" w:lineRule="auto"/>
        <w:tabs>
          <w:tab w:leader="none" w:pos="1991"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WIL-Ireland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w:t>
      </w:r>
    </w:p>
    <w:p>
      <w:pPr>
        <w:sectPr>
          <w:pgSz w:w="11900" w:h="16838" w:orient="portrait"/>
          <w:cols w:equalWidth="0" w:num="1">
            <w:col w:w="11380"/>
          </w:cols>
          <w:pgMar w:left="240" w:top="125" w:right="279" w:bottom="0" w:gutter="0" w:footer="0" w:header="0"/>
        </w:sectPr>
      </w:pP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380"/>
          </w:cols>
          <w:pgMar w:left="240" w:top="125" w:right="279" w:bottom="0" w:gutter="0" w:footer="0" w:header="0"/>
          <w:type w:val="continuous"/>
        </w:sectPr>
      </w:pPr>
    </w:p>
    <w:bookmarkStart w:id="39" w:name="page40"/>
    <w:bookmarkEnd w:id="39"/>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value any such Indebtedness in a reduced or bifurcated manner as described therein, and such Indebtedness shall at all times be valued at the full stated principal amount thereof.</w:t>
      </w:r>
    </w:p>
    <w:p>
      <w:pPr>
        <w:spacing w:after="0" w:line="170" w:lineRule="exact"/>
        <w:rPr>
          <w:sz w:val="20"/>
          <w:szCs w:val="20"/>
          <w:color w:val="auto"/>
        </w:rPr>
      </w:pPr>
    </w:p>
    <w:p>
      <w:pPr>
        <w:ind w:right="40" w:firstLine="1305"/>
        <w:spacing w:after="0" w:line="287" w:lineRule="auto"/>
        <w:tabs>
          <w:tab w:leader="none" w:pos="2001"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All pro forma computations required to be made hereunder giving effect to any acquisition or Disposition, 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unless otherwise expressly provided hereunder, on the first day of the period of four consecutive Fiscal Quarters ending with the most recent Fiscal Quarter for which financial statements shall have been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7.01(b)</w:t>
      </w:r>
      <w:r>
        <w:rPr>
          <w:rFonts w:ascii="Arial" w:cs="Arial" w:eastAsia="Arial" w:hAnsi="Arial"/>
          <w:sz w:val="16"/>
          <w:szCs w:val="16"/>
          <w:color w:val="auto"/>
        </w:rPr>
        <w:t xml:space="preserve"> (including under the Existing Credit Agreement), 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Pro Forma Calculations of Current Asset Coverage Ratio</w:t>
      </w:r>
      <w:r>
        <w:rPr>
          <w:rFonts w:ascii="Arial" w:cs="Arial" w:eastAsia="Arial" w:hAnsi="Arial"/>
          <w:sz w:val="16"/>
          <w:szCs w:val="16"/>
          <w:color w:val="auto"/>
        </w:rPr>
        <w:t>. Notwithstanding anything to the contrary in this Agreement, for purposes of determining pro forma compliance with the Current Asset Coverage Ratio Covenant (i) at any time during the Initial Collateral Perfection Period (as defined in the 364-Day Revolving Credit Agreement), the applicable minimum permitted covenant level for determining such pro forma compliance shall be 1.00 to 1.00, (ii) at any time during the period commencing on the 21st day after the Amendment No. 3 Effective Date and ending on the last day of the Collateral Perfection Period (as defined in the 364-Day Revolving Credit Agreement), the applicable minimum permitted covenant level for determining such pro forma compliance shall be 1.20 to 1.00, (iii) at any time thereafter, the applicable minimum permitted covenant level for determining such pro forma compliance shall be 2.10 to 1.00, (iv) the determination of the Current Asset Coverage Ratio shall use the book value of the Priority Perfected Collateral (as used throughout this Section 1.04, as defined in the 364-Day Revolving Credit Agreement) as of the last date of the Fiscal Quarter most recently ended for which financial statements are available, (v) if any Secured Obligor (as used throughout this Section 1.04, as defined in the 364-Day Revolving Credit Agreement) shall have acquired any assets that have become Priority Perfected Collateral pursuant to a Material Acquisition since the last day of the Fiscal Quarter most recently ended for which financial statements have been delivered or shall have acquired any Priority Perfected Collateral pursuant to the transaction that is being tested for pro forma compliance (or assets that will constitute Priority Perfection Collateral substantially contemporaneously with such transaction, subject to the completion of necessary filings or other actions necessary for the perfection of the associated Liens so long as such filings are expected to be made or actions are expected to be taken within five (5) Business Days), the Current Asset Coverage Ratio shall be calculated giving pro forma effect to such acquisition, (vi) if any Secured Obligor shall have sold, transferred or otherwise disposed of assets that previously constituted Priority Perfected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Collateral pursuant to a Material Disposition since the last day of the Fiscal Quarter most recently ended for which financial statements are available or shall have sold, transferred or otherwise disposed of assets that previously constituted Priority Perfected Collateral pursuant to the transaction that is being tested for pro forma compliance, the Current Asset Coverage Ratio shall be calculated giving pro forma effect to such sale, transfer or disposition, and (vii) Total Measured Secured Indebtedness (as defined in the 364-Day Revolving Credit Agreement) shall be determined as of the date of the applicable pro forma calculation, after giving pro forma effect to any incurrence or repayment of Indebtedness or increase or reduction of commitments occurring on such calculation date.</w:t>
      </w:r>
    </w:p>
    <w:p>
      <w:pPr>
        <w:spacing w:after="0" w:line="193"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ind w:left="2000" w:hanging="695"/>
        <w:spacing w:after="0"/>
        <w:tabs>
          <w:tab w:leader="none" w:pos="2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this Agreement unless the context indicates otherwise:</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pronoun shall include the corresponding masculine, feminine and neuter forms;</w:t>
      </w:r>
    </w:p>
    <w:p>
      <w:pPr>
        <w:spacing w:after="0" w:line="225" w:lineRule="exact"/>
        <w:rPr>
          <w:rFonts w:ascii="Arial" w:cs="Arial" w:eastAsia="Arial" w:hAnsi="Arial"/>
          <w:sz w:val="18"/>
          <w:szCs w:val="18"/>
          <w:color w:val="auto"/>
        </w:rPr>
      </w:pPr>
    </w:p>
    <w:p>
      <w:pPr>
        <w:ind w:left="660" w:right="260" w:firstLine="1293"/>
        <w:spacing w:after="0" w:line="277" w:lineRule="auto"/>
        <w:tabs>
          <w:tab w:leader="none" w:pos="2677"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Agreement in its entirety and not to any particular Article, Section or other subdivision hereof;</w:t>
      </w:r>
    </w:p>
    <w:p>
      <w:pPr>
        <w:spacing w:after="0" w:line="170" w:lineRule="exact"/>
        <w:rPr>
          <w:rFonts w:ascii="Arial" w:cs="Arial" w:eastAsia="Arial" w:hAnsi="Arial"/>
          <w:sz w:val="18"/>
          <w:szCs w:val="18"/>
          <w:color w:val="auto"/>
        </w:rPr>
      </w:pPr>
    </w:p>
    <w:p>
      <w:pPr>
        <w:ind w:left="660" w:right="60" w:firstLine="1293"/>
        <w:spacing w:after="0" w:line="312" w:lineRule="auto"/>
        <w:tabs>
          <w:tab w:leader="none" w:pos="2666"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any reference to any Person includes such Person’s successors and assigns, including any Person that becomes a successor to WIL-Ireland as a result of a Redomestication, and reference to a Person in a particular capacity excludes such Person in any other capacity or individually,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clause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is intended to authorize any assignment not otherwise permitted by this Agreement;</w:t>
      </w:r>
    </w:p>
    <w:p>
      <w:pPr>
        <w:spacing w:after="0" w:line="146" w:lineRule="exact"/>
        <w:rPr>
          <w:rFonts w:ascii="Arial" w:cs="Arial" w:eastAsia="Arial" w:hAnsi="Arial"/>
          <w:sz w:val="16"/>
          <w:szCs w:val="16"/>
          <w:color w:val="auto"/>
        </w:rPr>
      </w:pPr>
    </w:p>
    <w:p>
      <w:pPr>
        <w:ind w:left="660" w:right="40" w:firstLine="1293"/>
        <w:spacing w:after="0" w:line="257" w:lineRule="auto"/>
        <w:tabs>
          <w:tab w:leader="none" w:pos="2661"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reference to any agreement, document or instrument (including this Agreement) means such agreement, document or instrument as amended, restated, amended and restated, supplemented or otherwise modified and in effect from time to time (subject to any restrictions on such amendments, restatements, amendments and restatements, supplements or other modifications set forth herein or in any other Loan Document), and any reference to any Note or other note includes any note issued pursuant hereto in extension or renewal thereof and in substitution or replacement therefor;</w:t>
      </w:r>
    </w:p>
    <w:p>
      <w:pPr>
        <w:spacing w:after="0" w:line="188" w:lineRule="exact"/>
        <w:rPr>
          <w:rFonts w:ascii="Arial" w:cs="Arial" w:eastAsia="Arial" w:hAnsi="Arial"/>
          <w:sz w:val="18"/>
          <w:szCs w:val="18"/>
          <w:color w:val="auto"/>
        </w:rPr>
      </w:pPr>
    </w:p>
    <w:p>
      <w:pPr>
        <w:ind w:left="2660" w:hanging="707"/>
        <w:spacing w:after="0"/>
        <w:tabs>
          <w:tab w:leader="none" w:pos="26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any reference to any Article, Section, page, Schedule or Exhibit means such Article, Section or page hereof or such</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Schedule or Exhibit hereto;</w:t>
      </w:r>
    </w:p>
    <w:p>
      <w:pPr>
        <w:spacing w:after="0" w:line="210" w:lineRule="exact"/>
        <w:rPr>
          <w:rFonts w:ascii="Arial" w:cs="Arial" w:eastAsia="Arial" w:hAnsi="Arial"/>
          <w:sz w:val="17"/>
          <w:szCs w:val="17"/>
          <w:color w:val="auto"/>
        </w:rPr>
      </w:pPr>
    </w:p>
    <w:p>
      <w:pPr>
        <w:ind w:left="660" w:right="180" w:firstLine="1293"/>
        <w:spacing w:after="0" w:line="277" w:lineRule="auto"/>
        <w:tabs>
          <w:tab w:leader="none" w:pos="2671"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words “including”, “include” and “includes” shall be deemed to be followed by the phrase “without limitation” and the term “or” is not exclusive;</w:t>
      </w:r>
    </w:p>
    <w:p>
      <w:pPr>
        <w:spacing w:after="0" w:line="170" w:lineRule="exact"/>
        <w:rPr>
          <w:rFonts w:ascii="Arial" w:cs="Arial" w:eastAsia="Arial" w:hAnsi="Arial"/>
          <w:sz w:val="18"/>
          <w:szCs w:val="18"/>
          <w:color w:val="auto"/>
        </w:rPr>
      </w:pPr>
    </w:p>
    <w:p>
      <w:pPr>
        <w:ind w:left="660" w:right="280" w:firstLine="1293"/>
        <w:spacing w:after="0" w:line="277" w:lineRule="auto"/>
        <w:tabs>
          <w:tab w:leader="none" w:pos="2677" w:val="left"/>
        </w:tabs>
        <w:numPr>
          <w:ilvl w:val="1"/>
          <w:numId w:val="59"/>
        </w:numPr>
        <w:rPr>
          <w:rFonts w:ascii="Arial" w:cs="Arial" w:eastAsia="Arial" w:hAnsi="Arial"/>
          <w:sz w:val="18"/>
          <w:szCs w:val="18"/>
          <w:color w:val="auto"/>
        </w:rPr>
      </w:pPr>
      <w:r>
        <w:rPr>
          <w:rFonts w:ascii="Arial" w:cs="Arial" w:eastAsia="Arial" w:hAnsi="Arial"/>
          <w:sz w:val="18"/>
          <w:szCs w:val="18"/>
          <w:color w:val="auto"/>
        </w:rPr>
        <w:t>with respect to the determination of any period of time, except as expressly provided to the contrary, the word “from” means “from and including” and the word “to” means “to but excluding”;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63765" cy="4763"/>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20"/>
          </w:cols>
          <w:pgMar w:left="240" w:top="733" w:right="239" w:bottom="0" w:gutter="0" w:footer="0" w:header="0"/>
        </w:sectPr>
      </w:pPr>
    </w:p>
    <w:bookmarkStart w:id="40" w:name="page41"/>
    <w:bookmarkEnd w:id="40"/>
    <w:p>
      <w:pPr>
        <w:ind w:left="2660" w:hanging="707"/>
        <w:spacing w:after="0"/>
        <w:tabs>
          <w:tab w:leader="none" w:pos="2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19050"/>
                    </a:xfrm>
                    <a:prstGeom prst="rect">
                      <a:avLst/>
                    </a:prstGeom>
                    <a:noFill/>
                  </pic:spPr>
                </pic:pic>
              </a:graphicData>
            </a:graphic>
          </wp:anchor>
        </w:drawing>
        <w:t>the word “will” shall be construed to have the same meaning and effect as the word “shall”;</w:t>
      </w:r>
    </w:p>
    <w:p>
      <w:pPr>
        <w:spacing w:after="0" w:line="225" w:lineRule="exact"/>
        <w:rPr>
          <w:rFonts w:ascii="Arial" w:cs="Arial" w:eastAsia="Arial" w:hAnsi="Arial"/>
          <w:sz w:val="18"/>
          <w:szCs w:val="18"/>
          <w:color w:val="auto"/>
        </w:rPr>
      </w:pPr>
    </w:p>
    <w:p>
      <w:pPr>
        <w:ind w:left="660" w:right="80" w:firstLine="1293"/>
        <w:spacing w:after="0" w:line="277" w:lineRule="auto"/>
        <w:tabs>
          <w:tab w:leader="none" w:pos="2661"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reference to any law, rule or regulation means such as amended, modified, codified or reenacted, in whole or in part, and in effect from time to time; and</w:t>
      </w:r>
    </w:p>
    <w:p>
      <w:pPr>
        <w:spacing w:after="0" w:line="170" w:lineRule="exact"/>
        <w:rPr>
          <w:rFonts w:ascii="Arial" w:cs="Arial" w:eastAsia="Arial" w:hAnsi="Arial"/>
          <w:sz w:val="18"/>
          <w:szCs w:val="18"/>
          <w:color w:val="auto"/>
        </w:rPr>
      </w:pPr>
    </w:p>
    <w:p>
      <w:pPr>
        <w:ind w:left="660" w:right="460" w:firstLine="1293"/>
        <w:spacing w:after="0" w:line="277" w:lineRule="auto"/>
        <w:tabs>
          <w:tab w:leader="none" w:pos="2666"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words “asset” and “property” shall be construed to have the same meaning and effect and to refer to any and all tangible and intangible assets and properties, including cash, securities, accounts and contract rights.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Article and Section headings herein and in the Table of Contents are for convenience only and shall not affect the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construction hereof.</w:t>
      </w:r>
    </w:p>
    <w:p>
      <w:pPr>
        <w:spacing w:after="0" w:line="210" w:lineRule="exact"/>
        <w:rPr>
          <w:rFonts w:ascii="Arial" w:cs="Arial" w:eastAsia="Arial" w:hAnsi="Arial"/>
          <w:sz w:val="18"/>
          <w:szCs w:val="18"/>
          <w:color w:val="auto"/>
        </w:rPr>
      </w:pPr>
    </w:p>
    <w:p>
      <w:pPr>
        <w:ind w:right="620" w:firstLine="1305"/>
        <w:spacing w:after="0" w:line="277" w:lineRule="auto"/>
        <w:tabs>
          <w:tab w:leader="none" w:pos="1991"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provision of this Agreement shall be interpreted or construed against any Person solely because that Person or its legal representative drafted such provision.</w:t>
      </w:r>
    </w:p>
    <w:p>
      <w:pPr>
        <w:spacing w:after="0" w:line="170" w:lineRule="exact"/>
        <w:rPr>
          <w:rFonts w:ascii="Arial" w:cs="Arial" w:eastAsia="Arial" w:hAnsi="Arial"/>
          <w:sz w:val="18"/>
          <w:szCs w:val="18"/>
          <w:color w:val="auto"/>
        </w:rPr>
      </w:pPr>
    </w:p>
    <w:p>
      <w:pPr>
        <w:ind w:right="60" w:firstLine="1305"/>
        <w:spacing w:after="0" w:line="264" w:lineRule="auto"/>
        <w:tabs>
          <w:tab w:leader="none" w:pos="2001"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Unless otherwise specified herein, (i) all dollar amounts expressed herein shall refer to Dollars and (ii) for purposes of calculating compliance with the terms of this Agreement and the other Loan Documents (including for purposes of calculating compliance with the covenants), each obligation or calculation shall be converted to its Dollar Equivalent.</w:t>
      </w:r>
    </w:p>
    <w:p>
      <w:pPr>
        <w:spacing w:after="0" w:line="18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Amendment and Restatement of Existing Credit Agreement</w:t>
      </w:r>
      <w:r>
        <w:rPr>
          <w:rFonts w:ascii="Arial" w:cs="Arial" w:eastAsia="Arial" w:hAnsi="Arial"/>
          <w:sz w:val="17"/>
          <w:szCs w:val="17"/>
          <w:color w:val="auto"/>
        </w:rPr>
        <w:t>. This Agreement amends and restates the Existing Credit Agreement as more specifically set forth in the Amendment and Restatement Agreement. The execution and delivery of the Amendment and Restatement Agreement by the parties thereto operates to bind each of the parties to this Agreement. Accordingly, each reference herein to the execution and delivery of this Agreement shall mean by operation of the execution and delivery of the Amendment and Restatement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COMMITMENTS; LOANS</w:t>
      </w:r>
    </w:p>
    <w:p>
      <w:pPr>
        <w:spacing w:after="0" w:line="21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Revolving Credit Loans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7" w:lineRule="auto"/>
        <w:tabs>
          <w:tab w:leader="none" w:pos="1991"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each Lender agrees to make loans to the Borrowers (each such loan, a “</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denominated in Dollars, from time to time during the Availability Period applicable to such Lender in an aggregate principal amount that shall not result in (i) such Lender’s Revolving Credit Exposure exceeding such Lender’s Commitment or (ii) the Total Revolving Credit Exposure exceeding the Aggregate Commitments. Within the foregoing limits and subject to the terms and conditions set forth herein, the Borrowers may borrow, prepay and reborrow Revolving Credit Loans.</w:t>
      </w:r>
    </w:p>
    <w:p>
      <w:pPr>
        <w:spacing w:after="0" w:line="188" w:lineRule="exact"/>
        <w:rPr>
          <w:rFonts w:ascii="Arial" w:cs="Arial" w:eastAsia="Arial" w:hAnsi="Arial"/>
          <w:sz w:val="18"/>
          <w:szCs w:val="18"/>
          <w:color w:val="auto"/>
        </w:rPr>
      </w:pPr>
    </w:p>
    <w:p>
      <w:pPr>
        <w:ind w:right="180" w:firstLine="1305"/>
        <w:spacing w:after="0" w:line="312" w:lineRule="auto"/>
        <w:tabs>
          <w:tab w:leader="none" w:pos="2001"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Each Revolving Credit Loan shall be made as part of a Borrowing consisting of Revolving Credit Loans made by the Lenders ratably in accordance with their respective Commitments. The failure of any Lender to make any Revolving Credit Loan required to be made by it shall not relieve any other Lender of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Commitments of the Lenders are several and no Lender shall be responsible for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any other Lender’s failure to make Revolving Credit Loans as required. Prior to the Existing Maturity Date, Revolving Credit Loans shall be made by both Extending Lenders and Non-Extending Lenders in accordance with their respective Applicable Percentages. Revolving Credit Loans made on or after the Existing Maturity Date shall be made by Extending Lenders in accordance with their respective Applicable Percentages (after giving effect to the termination of the Non-Extended Commitments (and, if applicable, Extended Commitments), and to the repayment of any Revolving Credit Loans and the reallocation of participation interests in Letter of Credit Exposure and Swingline Loans in the manner contemplated by </w:t>
      </w:r>
      <w:r>
        <w:rPr>
          <w:rFonts w:ascii="Arial" w:cs="Arial" w:eastAsia="Arial" w:hAnsi="Arial"/>
          <w:sz w:val="16"/>
          <w:szCs w:val="16"/>
          <w:u w:val="single" w:color="auto"/>
          <w:color w:val="auto"/>
        </w:rPr>
        <w:t>Section 2.06(a)</w:t>
      </w:r>
      <w:r>
        <w:rPr>
          <w:rFonts w:ascii="Arial" w:cs="Arial" w:eastAsia="Arial" w:hAnsi="Arial"/>
          <w:sz w:val="16"/>
          <w:szCs w:val="16"/>
          <w:color w:val="auto"/>
        </w:rPr>
        <w:t xml:space="preserve"> on such date).</w:t>
      </w:r>
    </w:p>
    <w:p>
      <w:pPr>
        <w:spacing w:after="0" w:line="158" w:lineRule="exact"/>
        <w:rPr>
          <w:sz w:val="20"/>
          <w:szCs w:val="20"/>
          <w:color w:val="auto"/>
        </w:rPr>
      </w:pPr>
    </w:p>
    <w:p>
      <w:pPr>
        <w:ind w:right="60" w:firstLine="1305"/>
        <w:spacing w:after="0" w:line="276" w:lineRule="auto"/>
        <w:tabs>
          <w:tab w:leader="none" w:pos="1991"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each Borrowing (other than any Swingline Borrowing) shall be comprised entirely of ABR Loans or Eurodollar Loans as a Borrower may request in accordance herewith. Each Lender at its option may make any Eurodollar Loan by causing any domestic or foreign branch or Affiliate of such Lender to make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exercise of such option shall not affect the joint and several obligation of the Borrowers to repay such Loan in accordance with the terms of this Agreement. Revolving Loans made by both Extending Lenders and Non-Extending Lenders shall be deemed to constitute a single Borrowing having the same Interest Period.</w:t>
      </w:r>
    </w:p>
    <w:p>
      <w:pPr>
        <w:spacing w:after="0" w:line="172" w:lineRule="exact"/>
        <w:rPr>
          <w:rFonts w:ascii="Arial" w:cs="Arial" w:eastAsia="Arial" w:hAnsi="Arial"/>
          <w:sz w:val="17"/>
          <w:szCs w:val="17"/>
          <w:color w:val="auto"/>
        </w:rPr>
      </w:pPr>
    </w:p>
    <w:p>
      <w:pPr>
        <w:ind w:right="20" w:firstLine="1305"/>
        <w:spacing w:after="0" w:line="255" w:lineRule="auto"/>
        <w:tabs>
          <w:tab w:leader="none" w:pos="2001"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Eurodollar Borrowing, such Borrowing shall be in an aggregate amount that is an integral multiple of $1,000,000 and not less than $2,000,000. At the time that each ABR Borrowing is made, such ABR Borrowing shall be in an aggregate amount that is an integral multiple of $500,000 and not less than $1,000,000;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ABR Borrowing may be in an aggregate amount that is equal to the entire unused balance of the Aggregate Commitments or that is required to finance the reimbursement of an LC Disbursement as contemplated by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Borrowings of more than one Type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ten Eurodollar Borrowings outstanding.</w:t>
      </w:r>
    </w:p>
    <w:p>
      <w:pPr>
        <w:spacing w:after="0" w:line="193" w:lineRule="exact"/>
        <w:rPr>
          <w:rFonts w:ascii="Arial" w:cs="Arial" w:eastAsia="Arial" w:hAnsi="Arial"/>
          <w:sz w:val="18"/>
          <w:szCs w:val="18"/>
          <w:color w:val="auto"/>
        </w:rPr>
      </w:pPr>
    </w:p>
    <w:p>
      <w:pPr>
        <w:ind w:firstLine="1305"/>
        <w:spacing w:after="0" w:line="277" w:lineRule="auto"/>
        <w:tabs>
          <w:tab w:leader="none" w:pos="1991"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no Borrower shall be entitled to request, or to elect to convert or continue, any Borrowing if the Interest Period requested with respect thereto would end after the Extended Maturity Date.</w:t>
      </w:r>
    </w:p>
    <w:p>
      <w:pPr>
        <w:spacing w:after="0" w:line="170"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Requests for Borrowings of Revolving Credit Loans</w:t>
      </w:r>
      <w:r>
        <w:rPr>
          <w:rFonts w:ascii="Arial" w:cs="Arial" w:eastAsia="Arial" w:hAnsi="Arial"/>
          <w:sz w:val="16"/>
          <w:szCs w:val="16"/>
          <w:color w:val="auto"/>
        </w:rPr>
        <w:t xml:space="preserve">. To request a Borrowing of Revolving Credit Loans, a Borrower shall notify the Administrative Agent (and the Administrative Agent shall promptly thereafter notify the Lenders) of such request by telephone (a) in the case of a Eurodollar Borrowing, not later than 11:00 a.m., New York City time, three Business Days before the date of the proposed Borrowing or (b) in the case of an ABR Borrowing, not later than 11:30 a.m., New York City time, on the date of the proposed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of an ABR Borrowing to finance the reimbursement of an LC Disbursement as contemplated by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may be given not later than 10:00 a.m., New York City time, on the date of the proposed Borrowing. Each such telephonic Borrowing Request shall be irrevocable and shall be confirmed promptly by hand delivery or by facsimile transmission or electronic transmission (in .pdf format) to the Administrative Agent of a written Borrowing Request signed by the Borrower requesting the Borrowing. Each such telephonic and written Borrowing Request shall specify the following information in compliance with </w:t>
      </w:r>
      <w:r>
        <w:rPr>
          <w:rFonts w:ascii="Arial" w:cs="Arial" w:eastAsia="Arial" w:hAnsi="Arial"/>
          <w:sz w:val="16"/>
          <w:szCs w:val="16"/>
          <w:u w:val="single" w:color="auto"/>
          <w:color w:val="auto"/>
        </w:rPr>
        <w:t>Section 2.01</w:t>
      </w:r>
      <w:r>
        <w:rPr>
          <w:rFonts w:ascii="Arial" w:cs="Arial" w:eastAsia="Arial" w:hAnsi="Arial"/>
          <w:sz w:val="16"/>
          <w:szCs w:val="16"/>
          <w:color w:val="auto"/>
        </w:rPr>
        <w:t>:</w:t>
      </w:r>
    </w:p>
    <w:p>
      <w:pPr>
        <w:sectPr>
          <w:pgSz w:w="11900" w:h="16838" w:orient="portrait"/>
          <w:cols w:equalWidth="0" w:num="1">
            <w:col w:w="11420"/>
          </w:cols>
          <w:pgMar w:left="240" w:top="719" w:right="239" w:bottom="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60" w:hanging="707"/>
        <w:spacing w:after="0"/>
        <w:tabs>
          <w:tab w:leader="none" w:pos="2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aggregate principal amount of the requested Borrowing;</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such Borrowing is to be an ABR Borrowing or a Eurodollar Borrowing;</w:t>
      </w:r>
    </w:p>
    <w:p>
      <w:pPr>
        <w:spacing w:after="0" w:line="225" w:lineRule="exact"/>
        <w:rPr>
          <w:rFonts w:ascii="Arial" w:cs="Arial" w:eastAsia="Arial" w:hAnsi="Arial"/>
          <w:sz w:val="18"/>
          <w:szCs w:val="18"/>
          <w:color w:val="auto"/>
        </w:rPr>
      </w:pPr>
    </w:p>
    <w:p>
      <w:pPr>
        <w:ind w:left="660" w:right="660" w:firstLine="1293"/>
        <w:spacing w:after="0" w:line="277" w:lineRule="auto"/>
        <w:tabs>
          <w:tab w:leader="none" w:pos="2666"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case of a Eurodollar Borrowing, the initial Interest Period to be applicable thereto, which shall be a period contemplated by the definition of the term “Interest Period”; and</w:t>
      </w:r>
    </w:p>
    <w:p>
      <w:pPr>
        <w:spacing w:after="0" w:line="170" w:lineRule="exact"/>
        <w:rPr>
          <w:rFonts w:ascii="Arial" w:cs="Arial" w:eastAsia="Arial" w:hAnsi="Arial"/>
          <w:sz w:val="18"/>
          <w:szCs w:val="18"/>
          <w:color w:val="auto"/>
        </w:rPr>
      </w:pPr>
    </w:p>
    <w:p>
      <w:pPr>
        <w:ind w:left="660" w:right="520" w:firstLine="1293"/>
        <w:spacing w:after="0" w:line="277" w:lineRule="auto"/>
        <w:tabs>
          <w:tab w:leader="none" w:pos="2661"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location and number of the account of the requesting Borrower to which funds are to be disbursed, which shall comply with the requirements of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If no election as to the Type of Borrowing is specified, then the requested Borrowing shall be an ABR Borrowing. If no Interest Period is specified with respect to any requested Eurodollar Borrowing, then the requesting Borrower shall be deemed to have selected an Interest Period of one month’s duration. Promptly following receipt of a Borrowing Request in accordance with this Section, the Administrative Agent shall advise each Lender of the details thereof and of the amount of such Lender’s Revolving Credit Loan to be made as part of the requested Borrowing.</w:t>
      </w:r>
    </w:p>
    <w:p>
      <w:pPr>
        <w:spacing w:after="0" w:line="17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Swingline Loans</w:t>
      </w:r>
      <w:r>
        <w:rPr>
          <w:rFonts w:ascii="Arial" w:cs="Arial" w:eastAsia="Arial" w:hAnsi="Arial"/>
          <w:sz w:val="16"/>
          <w:szCs w:val="16"/>
          <w:color w:val="auto"/>
        </w:rPr>
        <w:t>.</w:t>
      </w:r>
    </w:p>
    <w:p>
      <w:pPr>
        <w:spacing w:after="0" w:line="225" w:lineRule="exact"/>
        <w:rPr>
          <w:sz w:val="20"/>
          <w:szCs w:val="20"/>
          <w:color w:val="auto"/>
        </w:rPr>
      </w:pPr>
    </w:p>
    <w:p>
      <w:pPr>
        <w:ind w:right="300" w:firstLine="1305"/>
        <w:spacing w:after="0" w:line="288" w:lineRule="auto"/>
        <w:tabs>
          <w:tab w:leader="none" w:pos="1991"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any Swingline Lender may in its sole discretion, in reliance upon the agreements of the Lenders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make loans (each such loan, a “</w:t>
      </w:r>
      <w:r>
        <w:rPr>
          <w:rFonts w:ascii="Arial" w:cs="Arial" w:eastAsia="Arial" w:hAnsi="Arial"/>
          <w:sz w:val="16"/>
          <w:szCs w:val="16"/>
          <w:u w:val="single" w:color="auto"/>
          <w:color w:val="auto"/>
        </w:rPr>
        <w:t>Swingline Loan</w:t>
      </w:r>
      <w:r>
        <w:rPr>
          <w:rFonts w:ascii="Arial" w:cs="Arial" w:eastAsia="Arial" w:hAnsi="Arial"/>
          <w:sz w:val="16"/>
          <w:szCs w:val="16"/>
          <w:color w:val="auto"/>
        </w:rPr>
        <w:t xml:space="preserve">”), denominated in Dollars, to the Borrowers from time to time on any Business Day during the Availability Period applicable to Extending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Swingline Loan,</w:t>
      </w:r>
    </w:p>
    <w:p>
      <w:pPr>
        <w:ind w:firstLine="8"/>
        <w:spacing w:after="0" w:line="287" w:lineRule="auto"/>
        <w:tabs>
          <w:tab w:leader="none" w:pos="215"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such Swingline Loan, when aggregated with the Revolving Credit Exposure of the Lender acting as such Swingline Lender, shall not exceed such Lender’s Commitment, (ii) the aggregate principal amount of all outstanding Swingline Loans and all outstanding 364-Day Swingline Loans shall not exceed $50,000,000 and (iii) the Total Revolving Credit Exposure shall not exceed the Aggregate Commitments;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Borrower shall not use the proceeds of any Swingline Loan to refinance any outstanding Swingline Loan. Within the foregoing limits and subject to the terms and conditions set forth herein, the Borrowers may borrow, prepay and reborrow Swingline Loans. Subject to </w:t>
      </w:r>
      <w:r>
        <w:rPr>
          <w:rFonts w:ascii="Arial" w:cs="Arial" w:eastAsia="Arial" w:hAnsi="Arial"/>
          <w:sz w:val="16"/>
          <w:szCs w:val="16"/>
          <w:u w:val="single" w:color="auto"/>
          <w:color w:val="auto"/>
        </w:rPr>
        <w:t>Section 2.03(c)(ii)</w:t>
      </w:r>
      <w:r>
        <w:rPr>
          <w:rFonts w:ascii="Arial" w:cs="Arial" w:eastAsia="Arial" w:hAnsi="Arial"/>
          <w:sz w:val="16"/>
          <w:szCs w:val="16"/>
          <w:color w:val="auto"/>
        </w:rPr>
        <w:t>, each Swingline Loan shall bear interest at a rate that is mutually agreeable to the applicable Swingline Lender and the applicable Borrower at the time such Borrower delivers a Swingline Borrowing Request for a Swingline Loan to such Swingline Lender (the “</w:t>
      </w:r>
      <w:r>
        <w:rPr>
          <w:rFonts w:ascii="Arial" w:cs="Arial" w:eastAsia="Arial" w:hAnsi="Arial"/>
          <w:sz w:val="16"/>
          <w:szCs w:val="16"/>
          <w:u w:val="single" w:color="auto"/>
          <w:color w:val="auto"/>
        </w:rPr>
        <w:t>Agreed Swingline Rate</w:t>
      </w:r>
      <w:r>
        <w:rPr>
          <w:rFonts w:ascii="Arial" w:cs="Arial" w:eastAsia="Arial" w:hAnsi="Arial"/>
          <w:sz w:val="16"/>
          <w:szCs w:val="16"/>
          <w:color w:val="auto"/>
        </w:rPr>
        <w:t xml:space="preserve">”). Immediately upon the making of a Swingline Loan, each Lender shall be deemed to, and hereby irrevocably and unconditionally agrees to, purchase from the applicable Swingline Lender a risk participation in such Swingline Loan in an amount equal to the product of such Lender’s Applicable Percentage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the amount of such Swingline Loan.</w:t>
      </w:r>
    </w:p>
    <w:p>
      <w:pPr>
        <w:spacing w:after="0" w:line="166" w:lineRule="exact"/>
        <w:rPr>
          <w:rFonts w:ascii="Arial" w:cs="Arial" w:eastAsia="Arial" w:hAnsi="Arial"/>
          <w:sz w:val="16"/>
          <w:szCs w:val="16"/>
          <w:color w:val="auto"/>
        </w:rPr>
      </w:pPr>
    </w:p>
    <w:p>
      <w:pPr>
        <w:ind w:right="20" w:firstLine="1305"/>
        <w:spacing w:after="0" w:line="277" w:lineRule="auto"/>
        <w:tabs>
          <w:tab w:leader="none" w:pos="2001"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 request a Swingline Borrowing, a Borrower shall notify the applicable Swingline Lender and the Administrative Agent of such request by telephone not later than 2:00 p.m., New York City time, on the day of a proposed Swingline Borrowing. Each such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telephonic Swingline Borrowing Request shall be irrevocable and shall be confirmed promptly by hand delivery or by facsimile transmission or electronic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transmission (in .pdf format) to the applicable Swingline Lender and the Administrative Agent of a written Swingline Borrowing Request signed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Borrower requesting the Swingline Borrowing. Each such telephonic and written Swingline Borrowing Request shall specify (i) the requested date of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Swingline Borrowing (which shall be a Business Day) and (ii) the amount of the requested Swingline Borrowing, which shall be an integral multiple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 and not less than $1,000,000. Upon receiving a Swingline Borrowing Request, the applicable Swingline Lender may, in its sole discretion, either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reject such request or agree to make such Swingline Loan, it being understood that no Swingline Lender shall be under any obligation to make any Swingline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to any Borrower at any time. If a Swingline Lender agrees to make a Swingline Loan to any Borrower, it shall make such Swingline Loan available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Borrower by means of a credit (if JPMorgan is the applicable Swingline Lender) to the general deposit account of such Borrower with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Administrative Agent (or, in the case of a Swingline Loan made to finance the reimbursement of an LC Disbursement as provided in </w:t>
      </w:r>
      <w:r>
        <w:rPr>
          <w:rFonts w:ascii="Arial" w:cs="Arial" w:eastAsia="Arial" w:hAnsi="Arial"/>
          <w:sz w:val="17"/>
          <w:szCs w:val="17"/>
          <w:u w:val="single" w:color="auto"/>
          <w:color w:val="auto"/>
        </w:rPr>
        <w:t>Section 3.01(e)</w:t>
      </w:r>
      <w:r>
        <w:rPr>
          <w:rFonts w:ascii="Arial" w:cs="Arial" w:eastAsia="Arial" w:hAnsi="Arial"/>
          <w:sz w:val="17"/>
          <w:szCs w:val="17"/>
          <w:color w:val="auto"/>
        </w:rPr>
        <w:t>, by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remittance to the applicable Issuing Bank) by 3:00 p.m., New York City time, on the requested date of such Swingline Borrowing.</w:t>
      </w:r>
    </w:p>
    <w:p>
      <w:pPr>
        <w:spacing w:after="0" w:line="211" w:lineRule="exact"/>
        <w:rPr>
          <w:sz w:val="20"/>
          <w:szCs w:val="20"/>
          <w:color w:val="auto"/>
        </w:rPr>
      </w:pPr>
    </w:p>
    <w:p>
      <w:pPr>
        <w:ind w:left="660" w:right="100" w:firstLine="645"/>
        <w:spacing w:after="0" w:line="269" w:lineRule="auto"/>
        <w:tabs>
          <w:tab w:leader="none" w:pos="2003"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(i) Any Swingline Lender at any time in its sole and absolute discretion may request, on behalf of the Borrowers (which hereby irrevocably authorize such Swingline Lender to so request on their behalf), that each Lender make an ABR Loan in an amount equal to such Lender’s Applicable Percentage of the amount of Swingline Loans made by such Swingline Lender then outstanding. Any such request shall be made in writing (which written request shall be deemed to be a Borrowing Request for purposes hereof) and in accordance with the requirements of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(without regard to the minimum and multiples specified in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for the principal amount of ABR Borrowings) and the conditions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The applicable Swingline Lender shall furnish the Borrowers with a copy of the applicable Borrowing Request promptly after delivering such notice to the Administrative Agent. Each Lender shall make an amount equal to its Applicable Percentage of the amount specified in such Borrowing Request available to the Administrative Agent, for the account of the applicable Swingline Lender, by wire transfer of immediately available funds, by 1:00 p.m., New York City time, on the day specified in such Borrowing Request, to the account of the Administrative Agent most recently designated by it for such purpose by notice to the Lenders, whereupon, subject to </w:t>
      </w:r>
      <w:r>
        <w:rPr>
          <w:rFonts w:ascii="Arial" w:cs="Arial" w:eastAsia="Arial" w:hAnsi="Arial"/>
          <w:sz w:val="17"/>
          <w:szCs w:val="17"/>
          <w:u w:val="single" w:color="auto"/>
          <w:color w:val="auto"/>
        </w:rPr>
        <w:t>Section 2.03(c)(ii)</w:t>
      </w:r>
      <w:r>
        <w:rPr>
          <w:rFonts w:ascii="Arial" w:cs="Arial" w:eastAsia="Arial" w:hAnsi="Arial"/>
          <w:sz w:val="17"/>
          <w:szCs w:val="17"/>
          <w:color w:val="auto"/>
        </w:rPr>
        <w:t>, each Lender that so makes funds available shall be deemed to have made an ABR Loan to the applicable Borrower in such amount. The Administrative Agent shall remit the funds so received to the applicable Swingline Lender.</w:t>
      </w:r>
    </w:p>
    <w:p>
      <w:pPr>
        <w:spacing w:after="0" w:line="179" w:lineRule="exact"/>
        <w:rPr>
          <w:rFonts w:ascii="Arial" w:cs="Arial" w:eastAsia="Arial" w:hAnsi="Arial"/>
          <w:sz w:val="17"/>
          <w:szCs w:val="17"/>
          <w:color w:val="auto"/>
        </w:rPr>
      </w:pPr>
    </w:p>
    <w:p>
      <w:pPr>
        <w:ind w:left="660" w:right="20" w:firstLine="1293"/>
        <w:spacing w:after="0" w:line="255" w:lineRule="auto"/>
        <w:tabs>
          <w:tab w:leader="none" w:pos="2671"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If for any reason any Swingline Loan cannot be refinanced by a Borrowing of Revolving Credit Loans in accordance with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the request for ABR Loans submitted by a Swingline Lender as set forth in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shall be deemed to be a request by such Swingline Lender that each of the Lenders fund its risk participation in the relevant Swingline Loan and each such Lender’s payment to the Administrative Agent for the account of such Swingline Lender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shall be deemed payment in respect of such participation. From and after the date when the Lenders are required to make funds available to the Administrative Agent for the account of the applicable Swingline Lender for the purpose</w:t>
      </w:r>
    </w:p>
    <w:p>
      <w:pPr>
        <w:sectPr>
          <w:pgSz w:w="11900" w:h="16838" w:orient="portrait"/>
          <w:cols w:equalWidth="0" w:num="1">
            <w:col w:w="11400"/>
          </w:cols>
          <w:pgMar w:left="240" w:top="125" w:right="259" w:bottom="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42" w:name="page43"/>
    <w:bookmarkEnd w:id="42"/>
    <w:p>
      <w:pPr>
        <w:ind w:left="660" w:right="160"/>
        <w:spacing w:after="0" w:line="308" w:lineRule="auto"/>
        <w:rPr>
          <w:sz w:val="20"/>
          <w:szCs w:val="20"/>
          <w:color w:val="auto"/>
        </w:rPr>
      </w:pPr>
      <w:r>
        <w:rPr>
          <w:rFonts w:ascii="Arial" w:cs="Arial" w:eastAsia="Arial" w:hAnsi="Arial"/>
          <w:sz w:val="17"/>
          <w:szCs w:val="17"/>
          <w:color w:val="auto"/>
        </w:rPr>
        <w:t xml:space="preserve">of funding the Lenders’ risk participations in any Swingline Loans made by such Swingline Lender, such Swingline Loans shall bear interest at the rate applicable to ABR Revolving Credit Borrowings as provided in </w:t>
      </w:r>
      <w:r>
        <w:rPr>
          <w:rFonts w:ascii="Arial" w:cs="Arial" w:eastAsia="Arial" w:hAnsi="Arial"/>
          <w:sz w:val="17"/>
          <w:szCs w:val="17"/>
          <w:u w:val="single" w:color="auto"/>
          <w:color w:val="auto"/>
        </w:rPr>
        <w:t>Section 2.10(a)</w:t>
      </w:r>
      <w:r>
        <w:rPr>
          <w:rFonts w:ascii="Arial" w:cs="Arial" w:eastAsia="Arial" w:hAnsi="Arial"/>
          <w:sz w:val="17"/>
          <w:szCs w:val="17"/>
          <w:color w:val="auto"/>
        </w:rPr>
        <w:t xml:space="preserve"> rather than the applicable Agreed Swingline Rate.</w:t>
      </w:r>
    </w:p>
    <w:p>
      <w:pPr>
        <w:spacing w:after="0" w:line="147" w:lineRule="exact"/>
        <w:rPr>
          <w:sz w:val="20"/>
          <w:szCs w:val="20"/>
          <w:color w:val="auto"/>
        </w:rPr>
      </w:pPr>
    </w:p>
    <w:p>
      <w:pPr>
        <w:ind w:left="660" w:firstLine="1293"/>
        <w:spacing w:after="0" w:line="288" w:lineRule="auto"/>
        <w:tabs>
          <w:tab w:leader="none" w:pos="2677"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If any Lender fails to make available to the Administrative Agent for the account of any Swingline Lender any amount required to be paid by such Lender pursuant to the foregoing provisions of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then such Swingline Lender shall be entitled to recover from such Lender (acting through the Administrative Agent), on demand, such amount with interest thereon for the period from the date such payment is required to the date on which such payment is immediately available to such Swingline Lender at a rate per annum equal to the greater of the Federal Funds Effective Rate and a rate determined by such Swingline Lender in accordance with banking industry rules on interbank compensation, plus any administrative, processing or similar fees customarily charged by such Swingline Lender in connection with the foregoing. If such Lender pays such amount, the amount so paid (excluding the interest and fees referred to in the immediately preceding sentence) shall constitute such Lender’s Loan included in the relevant Borrowing or funded participation in the relevant Swingline Loan, as the case may be. A certificate of the applicable Swingline Lender submitted to any Lender (through the Administrative Agent), with respect to any amounts owing under this </w:t>
      </w:r>
      <w:r>
        <w:rPr>
          <w:rFonts w:ascii="Arial" w:cs="Arial" w:eastAsia="Arial" w:hAnsi="Arial"/>
          <w:sz w:val="16"/>
          <w:szCs w:val="16"/>
          <w:u w:val="single" w:color="auto"/>
          <w:color w:val="auto"/>
        </w:rPr>
        <w:t>Section 2.03(c)(iii)</w:t>
      </w:r>
      <w:r>
        <w:rPr>
          <w:rFonts w:ascii="Arial" w:cs="Arial" w:eastAsia="Arial" w:hAnsi="Arial"/>
          <w:sz w:val="16"/>
          <w:szCs w:val="16"/>
          <w:color w:val="auto"/>
        </w:rPr>
        <w:t xml:space="preserve"> shall be conclusive absent manifest error.</w:t>
      </w:r>
    </w:p>
    <w:p>
      <w:pPr>
        <w:spacing w:after="0" w:line="169" w:lineRule="exact"/>
        <w:rPr>
          <w:rFonts w:ascii="Arial" w:cs="Arial" w:eastAsia="Arial" w:hAnsi="Arial"/>
          <w:sz w:val="16"/>
          <w:szCs w:val="16"/>
          <w:color w:val="auto"/>
        </w:rPr>
      </w:pPr>
    </w:p>
    <w:p>
      <w:pPr>
        <w:ind w:left="660" w:firstLine="1293"/>
        <w:spacing w:after="0" w:line="254" w:lineRule="auto"/>
        <w:tabs>
          <w:tab w:leader="none" w:pos="2666"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Each Lender’s obligation to make Revolving Credit Loans or to purchase and fund risk participations in Swingline Loans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applicable Swingline Lender, the applicable Borrower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Lender’s obligation to make Revolving Credit Loans (but not fund risk participations)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Funding of risk participations in accordance with this Section shall not relieve or otherwise impair the obligation of any Borrower to repay Swingline Loans made to it, together with interest as provided herein.</w:t>
      </w:r>
    </w:p>
    <w:p>
      <w:pPr>
        <w:spacing w:after="0" w:line="192" w:lineRule="exact"/>
        <w:rPr>
          <w:rFonts w:ascii="Arial" w:cs="Arial" w:eastAsia="Arial" w:hAnsi="Arial"/>
          <w:sz w:val="18"/>
          <w:szCs w:val="18"/>
          <w:color w:val="auto"/>
        </w:rPr>
      </w:pPr>
    </w:p>
    <w:p>
      <w:pPr>
        <w:ind w:left="660" w:right="100" w:firstLine="1293"/>
        <w:spacing w:after="0" w:line="277" w:lineRule="auto"/>
        <w:tabs>
          <w:tab w:leader="none" w:pos="2661" w:val="left"/>
        </w:tabs>
        <w:numPr>
          <w:ilvl w:val="1"/>
          <w:numId w:val="68"/>
        </w:numPr>
        <w:rPr>
          <w:rFonts w:ascii="Arial" w:cs="Arial" w:eastAsia="Arial" w:hAnsi="Arial"/>
          <w:sz w:val="18"/>
          <w:szCs w:val="18"/>
          <w:color w:val="auto"/>
        </w:rPr>
      </w:pPr>
      <w:r>
        <w:rPr>
          <w:rFonts w:ascii="Arial" w:cs="Arial" w:eastAsia="Arial" w:hAnsi="Arial"/>
          <w:sz w:val="18"/>
          <w:szCs w:val="18"/>
          <w:color w:val="auto"/>
        </w:rPr>
        <w:t>For the avoidance of doubt no Non-Extending Lender shall have any Swingline Exposure with respect to any Swingline Loan made on or after the Existing Maturity Date.</w:t>
      </w:r>
    </w:p>
    <w:p>
      <w:pPr>
        <w:spacing w:after="0" w:line="170" w:lineRule="exact"/>
        <w:rPr>
          <w:rFonts w:ascii="Arial" w:cs="Arial" w:eastAsia="Arial" w:hAnsi="Arial"/>
          <w:sz w:val="18"/>
          <w:szCs w:val="18"/>
          <w:color w:val="auto"/>
        </w:rPr>
      </w:pPr>
    </w:p>
    <w:p>
      <w:pPr>
        <w:jc w:val="both"/>
        <w:ind w:left="660" w:right="240" w:firstLine="645"/>
        <w:spacing w:after="0" w:line="264" w:lineRule="auto"/>
        <w:tabs>
          <w:tab w:leader="none" w:pos="2013"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At any time after any Lender has purchased and funded a risk participation in a Swingline Loan, if the applicable Swingline Lender receives any payment on account of such Swingline Loan, such Swingline Lender will distribute to such Lender its Applicable Percentage thereof in the same funds as those received by such Swingline Lender.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firstLine="1293"/>
        <w:spacing w:after="0" w:line="293" w:lineRule="auto"/>
        <w:tabs>
          <w:tab w:leader="none" w:pos="2671" w:val="left"/>
        </w:tabs>
        <w:numPr>
          <w:ilvl w:val="1"/>
          <w:numId w:val="70"/>
        </w:numPr>
        <w:rPr>
          <w:rFonts w:ascii="Arial" w:cs="Arial" w:eastAsia="Arial" w:hAnsi="Arial"/>
          <w:sz w:val="16"/>
          <w:szCs w:val="16"/>
          <w:color w:val="auto"/>
        </w:rPr>
      </w:pPr>
      <w:r>
        <w:rPr>
          <w:rFonts w:ascii="Arial" w:cs="Arial" w:eastAsia="Arial" w:hAnsi="Arial"/>
          <w:sz w:val="16"/>
          <w:szCs w:val="16"/>
          <w:color w:val="auto"/>
        </w:rPr>
        <w:t xml:space="preserve">If any payment received by the applicable Swingline Lender in respect of principal or interest on any Swingline Loan is required to be returned by such Swingline Lender under any of the circumstances described in </w:t>
      </w:r>
      <w:r>
        <w:rPr>
          <w:rFonts w:ascii="Arial" w:cs="Arial" w:eastAsia="Arial" w:hAnsi="Arial"/>
          <w:sz w:val="16"/>
          <w:szCs w:val="16"/>
          <w:u w:val="single" w:color="auto"/>
          <w:color w:val="auto"/>
        </w:rPr>
        <w:t>Section 11.19</w:t>
      </w:r>
      <w:r>
        <w:rPr>
          <w:rFonts w:ascii="Arial" w:cs="Arial" w:eastAsia="Arial" w:hAnsi="Arial"/>
          <w:sz w:val="16"/>
          <w:szCs w:val="16"/>
          <w:color w:val="auto"/>
        </w:rPr>
        <w:t xml:space="preserve"> (including pursuant to any settlement entered into by such Swingline Lender in its discretion), each Lender shall pay to such Swingline Lender its Applicable Percentage thereof on demand of the Administrative Agent, plus interest thereon from the date of such demand to the date such amount is returned, at a rate per annum equal to the Federal Funds Effective Rate. The Administrative Agent will make such demand upon the request of the applicable Swingline Lender. The obligations of the Lenders under this clause shall survive the payment in full of the Obligations and the termination of this Agreement.</w:t>
      </w:r>
    </w:p>
    <w:p>
      <w:pPr>
        <w:spacing w:after="0" w:line="164" w:lineRule="exact"/>
        <w:rPr>
          <w:rFonts w:ascii="Arial" w:cs="Arial" w:eastAsia="Arial" w:hAnsi="Arial"/>
          <w:sz w:val="16"/>
          <w:szCs w:val="16"/>
          <w:color w:val="auto"/>
        </w:rPr>
      </w:pPr>
    </w:p>
    <w:p>
      <w:pPr>
        <w:ind w:right="240" w:firstLine="1305"/>
        <w:spacing w:after="0" w:line="286" w:lineRule="auto"/>
        <w:tabs>
          <w:tab w:leader="none" w:pos="1991"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Each Swingline Lender shall be responsible for invoicing the applicable Borrower for interest on the Swingline Loans made by such Swingline Lender to such Borrower. Until each Lender funds its ABR Loan or risk participation pursuant to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with respect to any Swingline Loan, interest in respect of such Applicable Percentage shall be solely for the account of the applicable Swingline Lender.</w:t>
      </w:r>
    </w:p>
    <w:p>
      <w:pPr>
        <w:spacing w:after="0" w:line="165" w:lineRule="exact"/>
        <w:rPr>
          <w:rFonts w:ascii="Arial" w:cs="Arial" w:eastAsia="Arial" w:hAnsi="Arial"/>
          <w:sz w:val="17"/>
          <w:szCs w:val="17"/>
          <w:color w:val="auto"/>
        </w:rPr>
      </w:pPr>
    </w:p>
    <w:p>
      <w:pPr>
        <w:ind w:right="180" w:firstLine="1305"/>
        <w:spacing w:after="0" w:line="277" w:lineRule="auto"/>
        <w:tabs>
          <w:tab w:leader="none" w:pos="2016"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Each Borrower shall make all payments of principal and interest in respect of each Swingline Loan made to it by any Swingline Lender directly to such Swingline Lender in accordance with </w:t>
      </w:r>
      <w:r>
        <w:rPr>
          <w:rFonts w:ascii="Arial" w:cs="Arial" w:eastAsia="Arial" w:hAnsi="Arial"/>
          <w:sz w:val="18"/>
          <w:szCs w:val="18"/>
          <w:u w:val="single" w:color="auto"/>
          <w:color w:val="auto"/>
        </w:rPr>
        <w:t>Section 2.07</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Funding of Borrowings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84" w:lineRule="auto"/>
        <w:tabs>
          <w:tab w:leader="none" w:pos="1991"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Each Lender shall make each Loan to be made by it hereunder on the proposed date thereof by wire transfer of immediately available funds (i) by 12:00 noon, New York City time, in the case of a Borrowing consisting of Eurodollar Loans and (ii) by 1:30 p.m., New York City time, in the case of a Borrowing consisting of ABR Loans, to the account of the Administrative Agent most recently designated by it for such purpose by notice to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Swingline Loans shall be made as provided in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The Administrative Agent shall make such Loans available to the requesting Borrower by promptly crediting the amounts so received in like funds to an account of such Borrower designated by such Borrower in the applicable Borrowing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ABR Borrowing made to finance the reimbursement of an LC Disbursement as provided in</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shall be remitted by the Administrative Agent to the applicable Issuing Bank.</w:t>
      </w:r>
    </w:p>
    <w:p>
      <w:pPr>
        <w:spacing w:after="0" w:line="210" w:lineRule="exact"/>
        <w:rPr>
          <w:rFonts w:ascii="Arial" w:cs="Arial" w:eastAsia="Arial" w:hAnsi="Arial"/>
          <w:sz w:val="16"/>
          <w:szCs w:val="16"/>
          <w:color w:val="auto"/>
        </w:rPr>
      </w:pPr>
    </w:p>
    <w:p>
      <w:pPr>
        <w:ind w:right="40" w:firstLine="1305"/>
        <w:spacing w:after="0" w:line="271" w:lineRule="auto"/>
        <w:tabs>
          <w:tab w:leader="none" w:pos="2001"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Unless the Administrative Agent shall have received notice from a Lender prior to the proposed date of any Borrowing of Eurodollar Loans (or, in the case of any Borrowing of ABR Loans, prior to 12:30 p.m., New York City time, on the date of such Borrowing) that such Lender shall not make available to the Administrative Agent such Lender’s ratable portion of such Borrowing, the Administrative Agent may assume that such Lender has made such ratable portion available on such date in accordance with paragraph </w:t>
      </w:r>
      <w:r>
        <w:rPr>
          <w:rFonts w:ascii="Arial" w:cs="Arial" w:eastAsia="Arial" w:hAnsi="Arial"/>
          <w:sz w:val="17"/>
          <w:szCs w:val="17"/>
          <w:u w:val="single" w:color="auto"/>
          <w:color w:val="auto"/>
        </w:rPr>
        <w:t>(a)</w:t>
      </w:r>
      <w:r>
        <w:rPr>
          <w:rFonts w:ascii="Arial" w:cs="Arial" w:eastAsia="Arial" w:hAnsi="Arial"/>
          <w:sz w:val="17"/>
          <w:szCs w:val="17"/>
          <w:color w:val="auto"/>
        </w:rPr>
        <w:t xml:space="preserve"> of this Section and may, in reliance upon such assumption, make available to the requesting Borrower a corresponding amount. In such event, if a Lender has not in fact made its share of the applicable Borrowing available to the Administrative Agent, then the Borrowers, jointly and severally, and the applicable Lender severally agree to pay to the Administrative Agent forthwith on demand such corresponding amount with interest thereon, for each day from and including the date such amount is made available to the requesting Borrower to but excluding the date of payment to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Administrative Agent, at (i) in the case of such Lender, the greater of (A) the Federal Funds Effective Rate and (B) a rate determined by the Administrative Agent in accordance with banking industry rules on interbank compensation or (ii) in the case of the Borrowers, the interest rate applicable to the Loans</w:t>
      </w:r>
    </w:p>
    <w:p>
      <w:pPr>
        <w:sectPr>
          <w:pgSz w:w="11900" w:h="16838" w:orient="portrait"/>
          <w:cols w:equalWidth="0" w:num="1">
            <w:col w:w="11400"/>
          </w:cols>
          <w:pgMar w:left="240" w:top="584" w:right="259" w:bottom="0" w:gutter="0" w:footer="0" w:header="0"/>
        </w:sectPr>
      </w:pPr>
    </w:p>
    <w:bookmarkStart w:id="43" w:name="page44"/>
    <w:bookmarkEnd w:id="43"/>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comprising such Borrowing. If such Lender pays such amount to the Administrative Agent, then such amount shall constitute such Lender’s Loan included in such Borrowing.</w:t>
      </w:r>
    </w:p>
    <w:p>
      <w:pPr>
        <w:spacing w:after="0" w:line="170" w:lineRule="exact"/>
        <w:rPr>
          <w:sz w:val="20"/>
          <w:szCs w:val="20"/>
          <w:color w:val="auto"/>
        </w:rPr>
      </w:pPr>
    </w:p>
    <w:p>
      <w:pPr>
        <w:ind w:firstLine="1305"/>
        <w:spacing w:after="0" w:line="257" w:lineRule="auto"/>
        <w:tabs>
          <w:tab w:leader="none" w:pos="1991"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(i) With respect to any Borrower that is not organized under the laws of any jurisdiction of the United States, any Lender may, with notice to the Administrative Agent and WIL-Ireland, fulfill its Commitment by causing an Affiliate of such Lender to act as the Lender in respect of such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joint and several obligation of the Borrowers to repay the Loans made to such Borrower and to reimburse LC Disbursements made under Letters of Credit issued for the account of such Borrower in accordance with the terms of this Agreement.</w:t>
      </w:r>
    </w:p>
    <w:p>
      <w:pPr>
        <w:spacing w:after="0" w:line="188" w:lineRule="exact"/>
        <w:rPr>
          <w:rFonts w:ascii="Arial" w:cs="Arial" w:eastAsia="Arial" w:hAnsi="Arial"/>
          <w:sz w:val="18"/>
          <w:szCs w:val="18"/>
          <w:color w:val="auto"/>
        </w:rPr>
      </w:pPr>
    </w:p>
    <w:p>
      <w:pPr>
        <w:ind w:left="660" w:right="80" w:firstLine="1293"/>
        <w:spacing w:after="0" w:line="268" w:lineRule="auto"/>
        <w:tabs>
          <w:tab w:leader="none" w:pos="2671" w:val="left"/>
        </w:tabs>
        <w:numPr>
          <w:ilvl w:val="1"/>
          <w:numId w:val="73"/>
        </w:numPr>
        <w:rPr>
          <w:rFonts w:ascii="Arial" w:cs="Arial" w:eastAsia="Arial" w:hAnsi="Arial"/>
          <w:sz w:val="17"/>
          <w:szCs w:val="17"/>
          <w:color w:val="auto"/>
        </w:rPr>
      </w:pPr>
      <w:r>
        <w:rPr>
          <w:rFonts w:ascii="Arial" w:cs="Arial" w:eastAsia="Arial" w:hAnsi="Arial"/>
          <w:sz w:val="17"/>
          <w:szCs w:val="17"/>
          <w:color w:val="auto"/>
        </w:rPr>
        <w:t xml:space="preserve">As a condition to any Lender being permitted to fulfill its Commitment by causing an Affiliate of such Lender to act as the Lender in respect of any Borrower under </w:t>
      </w:r>
      <w:r>
        <w:rPr>
          <w:rFonts w:ascii="Arial" w:cs="Arial" w:eastAsia="Arial" w:hAnsi="Arial"/>
          <w:sz w:val="17"/>
          <w:szCs w:val="17"/>
          <w:u w:val="single" w:color="auto"/>
          <w:color w:val="auto"/>
        </w:rPr>
        <w:t>Section 2.04(c)(i)</w:t>
      </w:r>
      <w:r>
        <w:rPr>
          <w:rFonts w:ascii="Arial" w:cs="Arial" w:eastAsia="Arial" w:hAnsi="Arial"/>
          <w:sz w:val="17"/>
          <w:szCs w:val="17"/>
          <w:color w:val="auto"/>
        </w:rPr>
        <w:t xml:space="preserve">, such Affiliate must comply with </w:t>
      </w:r>
      <w:r>
        <w:rPr>
          <w:rFonts w:ascii="Arial" w:cs="Arial" w:eastAsia="Arial" w:hAnsi="Arial"/>
          <w:sz w:val="17"/>
          <w:szCs w:val="17"/>
          <w:u w:val="single" w:color="auto"/>
          <w:color w:val="auto"/>
        </w:rPr>
        <w:t>Sections 4.02(c)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4.02(e)</w:t>
      </w:r>
      <w:r>
        <w:rPr>
          <w:rFonts w:ascii="Arial" w:cs="Arial" w:eastAsia="Arial" w:hAnsi="Arial"/>
          <w:sz w:val="17"/>
          <w:szCs w:val="17"/>
          <w:color w:val="auto"/>
        </w:rPr>
        <w:t xml:space="preserve"> as if it were a Lender that became a party to this Agreement pursuant to an Assignment and Assumption executed on the first date on which such Commitment is being fulfilled by such Affiliate. Additionally, in applying the provisions of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 the definition of “Excluded Taxes”, such Affiliate shall be treated as a Lender that executed an Assignment and Assumption on the first date on which such Commitment is fulfilled by such Affiliate. Notwithstanding anything in this Agreement to the contrary, an Affiliate acting as a Lender under </w:t>
      </w:r>
      <w:r>
        <w:rPr>
          <w:rFonts w:ascii="Arial" w:cs="Arial" w:eastAsia="Arial" w:hAnsi="Arial"/>
          <w:sz w:val="17"/>
          <w:szCs w:val="17"/>
          <w:u w:val="single" w:color="auto"/>
          <w:color w:val="auto"/>
        </w:rPr>
        <w:t>Section 2.04(c)(i)</w:t>
      </w:r>
      <w:r>
        <w:rPr>
          <w:rFonts w:ascii="Arial" w:cs="Arial" w:eastAsia="Arial" w:hAnsi="Arial"/>
          <w:sz w:val="17"/>
          <w:szCs w:val="17"/>
          <w:color w:val="auto"/>
        </w:rPr>
        <w:t xml:space="preserve"> shall not be entitled to any greater gross-up or indemnity under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than that to which the applicable Lender would have been entitled had such Affiliate not acted as a Lender under </w:t>
      </w:r>
      <w:r>
        <w:rPr>
          <w:rFonts w:ascii="Arial" w:cs="Arial" w:eastAsia="Arial" w:hAnsi="Arial"/>
          <w:sz w:val="17"/>
          <w:szCs w:val="17"/>
          <w:u w:val="single" w:color="auto"/>
          <w:color w:val="auto"/>
        </w:rPr>
        <w:t>Section 2.04(c)(i)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if an Affiliate is acting as a Lender pursuant to </w:t>
      </w:r>
      <w:r>
        <w:rPr>
          <w:rFonts w:ascii="Arial" w:cs="Arial" w:eastAsia="Arial" w:hAnsi="Arial"/>
          <w:sz w:val="17"/>
          <w:szCs w:val="17"/>
          <w:u w:val="single" w:color="auto"/>
          <w:color w:val="auto"/>
        </w:rPr>
        <w:t>Section 2.04(c)(i)</w:t>
      </w:r>
      <w:r>
        <w:rPr>
          <w:rFonts w:ascii="Arial" w:cs="Arial" w:eastAsia="Arial" w:hAnsi="Arial"/>
          <w:sz w:val="17"/>
          <w:szCs w:val="17"/>
          <w:color w:val="auto"/>
        </w:rPr>
        <w:t xml:space="preserve"> solely as a result of a Lender being unable to fulfill its Commitment to any applicable Borrower due to a Requirement of Law, such Affiliate shall be entitled to a gross-up or indemnification to the same extent that would have resulted had such Lender made an assignment to such Affiliate under </w:t>
      </w:r>
      <w:r>
        <w:rPr>
          <w:rFonts w:ascii="Arial" w:cs="Arial" w:eastAsia="Arial" w:hAnsi="Arial"/>
          <w:sz w:val="17"/>
          <w:szCs w:val="17"/>
          <w:u w:val="single" w:color="auto"/>
          <w:color w:val="auto"/>
        </w:rPr>
        <w:t>Section 11.05</w:t>
      </w:r>
      <w:r>
        <w:rPr>
          <w:rFonts w:ascii="Arial" w:cs="Arial" w:eastAsia="Arial" w:hAnsi="Arial"/>
          <w:sz w:val="17"/>
          <w:szCs w:val="17"/>
          <w:color w:val="auto"/>
        </w:rPr>
        <w:t xml:space="preserve">. Moreover, nothing in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shall be construed as making an Affiliate of any Lender a beneficial owner of payments received as a result of such Affiliate’s fulfillment of such Lender’s Commitment to the extent the arrangement between such Lender and such Affiliate is one whereby such Affiliate is merely acting as an agent for such Lender.</w:t>
      </w:r>
    </w:p>
    <w:p>
      <w:pPr>
        <w:spacing w:after="0" w:line="18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u w:val="single" w:color="auto"/>
          <w:color w:val="auto"/>
        </w:rPr>
        <w:t>Interest Elections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76" w:lineRule="auto"/>
        <w:tabs>
          <w:tab w:leader="none" w:pos="1991"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Each Borrowing initially shall be of the Type specified in the applicable Borrowing Request and, in the case of a Eurodollar Borrowing, shall have an initial Interest Period as specified in such Borrowing Request or as otherwise provided pursuant to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Thereafter, a Borrower may, at any time and from time to time, elect to convert such Borrowing to a different Type or to continue such Borrowing and, in the case of a Eurodollar Borrowing, may elect Interest Periods therefor, all as provided in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with any such election, such Borrower shall be subject to all applicable payment obligations set forth in </w:t>
      </w:r>
      <w:r>
        <w:rPr>
          <w:rFonts w:ascii="Arial" w:cs="Arial" w:eastAsia="Arial" w:hAnsi="Arial"/>
          <w:sz w:val="17"/>
          <w:szCs w:val="17"/>
          <w:u w:val="single" w:color="auto"/>
          <w:color w:val="auto"/>
        </w:rPr>
        <w:t>Section 2.13</w:t>
      </w:r>
      <w:r>
        <w:rPr>
          <w:rFonts w:ascii="Arial" w:cs="Arial" w:eastAsia="Arial" w:hAnsi="Arial"/>
          <w:sz w:val="17"/>
          <w:szCs w:val="17"/>
          <w:color w:val="auto"/>
        </w:rPr>
        <w:t>. A Borrower may elect different options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81" w:lineRule="exact"/>
        <w:rPr>
          <w:sz w:val="20"/>
          <w:szCs w:val="20"/>
          <w:color w:val="auto"/>
        </w:rPr>
      </w:pPr>
    </w:p>
    <w:p>
      <w:pPr>
        <w:ind w:right="200" w:firstLine="1305"/>
        <w:spacing w:after="0" w:line="257" w:lineRule="auto"/>
        <w:tabs>
          <w:tab w:leader="none" w:pos="2001"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To make an election pursuant to this Section, a Borrower shall notify the Administrative Agent of such election by telephone by the time that a Borrowing Request would be required under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if such Borrower were requesting a Borrowing of the Type resulting from such election to be made on the effective date of such election. Each such telephonic Interest Election Request shall be irrevocable and shall be confirmed promptly by hand delivery or by facsimile transmission or electronic transmission (in .pdf form) to the Administrative Agent of a written Interest Election Request signed by such Borrower.</w:t>
      </w:r>
    </w:p>
    <w:p>
      <w:pPr>
        <w:spacing w:after="0" w:line="188" w:lineRule="exact"/>
        <w:rPr>
          <w:rFonts w:ascii="Arial" w:cs="Arial" w:eastAsia="Arial" w:hAnsi="Arial"/>
          <w:sz w:val="18"/>
          <w:szCs w:val="18"/>
          <w:color w:val="auto"/>
        </w:rPr>
      </w:pPr>
    </w:p>
    <w:p>
      <w:pPr>
        <w:ind w:left="2000" w:hanging="695"/>
        <w:spacing w:after="0"/>
        <w:tabs>
          <w:tab w:leader="none" w:pos="20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Each telephonic and written Interest Election Request shall specify the following information in compliance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jc w:val="both"/>
        <w:ind w:left="660" w:right="120" w:firstLine="1293"/>
        <w:spacing w:after="0" w:line="264" w:lineRule="auto"/>
        <w:tabs>
          <w:tab w:leader="none" w:pos="2666"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clauses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below shall be specified for each resulting Borrowing);</w:t>
      </w:r>
    </w:p>
    <w:p>
      <w:pPr>
        <w:spacing w:after="0" w:line="181" w:lineRule="exact"/>
        <w:rPr>
          <w:rFonts w:ascii="Arial" w:cs="Arial" w:eastAsia="Arial" w:hAnsi="Arial"/>
          <w:sz w:val="18"/>
          <w:szCs w:val="18"/>
          <w:color w:val="auto"/>
        </w:rPr>
      </w:pPr>
    </w:p>
    <w:p>
      <w:pPr>
        <w:ind w:left="2660" w:hanging="707"/>
        <w:spacing w:after="0"/>
        <w:tabs>
          <w:tab w:leader="none" w:pos="2660"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the effective date of the election made pursuant to such Interest Election Request, which shall be a Business Day;</w:t>
      </w:r>
    </w:p>
    <w:p>
      <w:pPr>
        <w:spacing w:after="0" w:line="236" w:lineRule="exact"/>
        <w:rPr>
          <w:rFonts w:ascii="Arial" w:cs="Arial" w:eastAsia="Arial" w:hAnsi="Arial"/>
          <w:sz w:val="17"/>
          <w:szCs w:val="17"/>
          <w:color w:val="auto"/>
        </w:rPr>
      </w:pPr>
    </w:p>
    <w:p>
      <w:pPr>
        <w:ind w:left="2680" w:hanging="727"/>
        <w:spacing w:after="0"/>
        <w:tabs>
          <w:tab w:leader="none" w:pos="26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Eurodollar Borrowing; and</w:t>
      </w:r>
    </w:p>
    <w:p>
      <w:pPr>
        <w:spacing w:after="0" w:line="225" w:lineRule="exact"/>
        <w:rPr>
          <w:rFonts w:ascii="Arial" w:cs="Arial" w:eastAsia="Arial" w:hAnsi="Arial"/>
          <w:sz w:val="18"/>
          <w:szCs w:val="18"/>
          <w:color w:val="auto"/>
        </w:rPr>
      </w:pPr>
    </w:p>
    <w:p>
      <w:pPr>
        <w:ind w:left="660" w:right="300" w:firstLine="1293"/>
        <w:spacing w:after="0" w:line="277" w:lineRule="auto"/>
        <w:tabs>
          <w:tab w:leader="none" w:pos="2666"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any such Interest Election Request requests a Eurodollar Borrowing but does not specify an Interest Period, then the Borrower making such Interest Election Request shall be deemed to have selected an Interest Period of one month’s duration.</w:t>
      </w:r>
    </w:p>
    <w:p>
      <w:pPr>
        <w:spacing w:after="0" w:line="170" w:lineRule="exact"/>
        <w:rPr>
          <w:sz w:val="20"/>
          <w:szCs w:val="20"/>
          <w:color w:val="auto"/>
        </w:rPr>
      </w:pPr>
    </w:p>
    <w:p>
      <w:pPr>
        <w:ind w:right="480" w:firstLine="1305"/>
        <w:spacing w:after="0" w:line="277" w:lineRule="auto"/>
        <w:tabs>
          <w:tab w:leader="none" w:pos="2001"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Lender of the details thereof and of such Lender’s portion of each resulting Borrowing.</w:t>
      </w:r>
    </w:p>
    <w:p>
      <w:pPr>
        <w:spacing w:after="0" w:line="170" w:lineRule="exact"/>
        <w:rPr>
          <w:rFonts w:ascii="Arial" w:cs="Arial" w:eastAsia="Arial" w:hAnsi="Arial"/>
          <w:sz w:val="18"/>
          <w:szCs w:val="18"/>
          <w:color w:val="auto"/>
        </w:rPr>
      </w:pPr>
    </w:p>
    <w:p>
      <w:pPr>
        <w:ind w:right="40" w:firstLine="1305"/>
        <w:spacing w:after="0" w:line="257" w:lineRule="auto"/>
        <w:tabs>
          <w:tab w:leader="none" w:pos="1991"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a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Borrowers, then, so long as an Event of Default is continuing, (1) no outstanding Borrowing may be converted to or continued as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Eurodollar Borrowing and (2) unless repaid, each Eurodollar Borrowing shall be converted to an ABR Borrowing at the end of the Interest Period applicable thereto.</w:t>
      </w:r>
    </w:p>
    <w:p>
      <w:pPr>
        <w:sectPr>
          <w:pgSz w:w="11900" w:h="16929" w:orient="portrait"/>
          <w:cols w:equalWidth="0" w:num="1">
            <w:col w:w="11420"/>
          </w:cols>
          <w:pgMar w:left="240" w:top="125" w:right="239" w:bottom="0" w:gutter="0" w:footer="0" w:header="0"/>
        </w:sectPr>
      </w:pPr>
    </w:p>
    <w:bookmarkStart w:id="44" w:name="page45"/>
    <w:bookmarkEnd w:id="44"/>
    <w:p>
      <w:pPr>
        <w:spacing w:after="0"/>
        <w:tabs>
          <w:tab w:leader="none" w:pos="132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w:t>
      </w:r>
    </w:p>
    <w:p>
      <w:pPr>
        <w:spacing w:after="0" w:line="225" w:lineRule="exact"/>
        <w:rPr>
          <w:sz w:val="20"/>
          <w:szCs w:val="20"/>
          <w:color w:val="auto"/>
        </w:rPr>
      </w:pPr>
    </w:p>
    <w:p>
      <w:pPr>
        <w:ind w:left="1340" w:hanging="695"/>
        <w:spacing w:after="0"/>
        <w:tabs>
          <w:tab w:leader="none" w:pos="134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Termination of Non-Extended Commitments on the Existing Maturity Date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293"/>
        <w:spacing w:after="0" w:line="279" w:lineRule="auto"/>
        <w:tabs>
          <w:tab w:leader="none" w:pos="2006" w:val="left"/>
        </w:tabs>
        <w:numPr>
          <w:ilvl w:val="1"/>
          <w:numId w:val="77"/>
        </w:numPr>
        <w:rPr>
          <w:rFonts w:ascii="Arial" w:cs="Arial" w:eastAsia="Arial" w:hAnsi="Arial"/>
          <w:sz w:val="17"/>
          <w:szCs w:val="17"/>
          <w:color w:val="auto"/>
        </w:rPr>
      </w:pPr>
      <w:r>
        <w:rPr>
          <w:rFonts w:ascii="Arial" w:cs="Arial" w:eastAsia="Arial" w:hAnsi="Arial"/>
          <w:sz w:val="17"/>
          <w:szCs w:val="17"/>
          <w:color w:val="auto"/>
        </w:rPr>
        <w:t xml:space="preserve">On the Existing Maturity Date (if the Commitments have not been terminated in full earlier in accordance with the terms hereof), (x) the Borrowers shall pay to each Non-Extending Lender all amounts then payable to such Non-Extending Lender under this Agreement (including any amounts required by </w:t>
      </w:r>
      <w:r>
        <w:rPr>
          <w:rFonts w:ascii="Arial" w:cs="Arial" w:eastAsia="Arial" w:hAnsi="Arial"/>
          <w:sz w:val="17"/>
          <w:szCs w:val="17"/>
          <w:u w:val="single" w:color="auto"/>
          <w:color w:val="auto"/>
        </w:rPr>
        <w:t>Section 2.13</w:t>
      </w:r>
      <w:r>
        <w:rPr>
          <w:rFonts w:ascii="Arial" w:cs="Arial" w:eastAsia="Arial" w:hAnsi="Arial"/>
          <w:sz w:val="17"/>
          <w:szCs w:val="17"/>
          <w:color w:val="auto"/>
        </w:rPr>
        <w:t>) and (y) such Non-Extending Lender’s Non-Extended Commitment (and, in the case of a Non-Extending Lender that is an Issuing Bank, such Issuing Bank’s LC Commitment) shall automatically terminate.</w:t>
      </w:r>
    </w:p>
    <w:p>
      <w:pPr>
        <w:spacing w:after="0" w:line="171" w:lineRule="exact"/>
        <w:rPr>
          <w:rFonts w:ascii="Arial" w:cs="Arial" w:eastAsia="Arial" w:hAnsi="Arial"/>
          <w:sz w:val="17"/>
          <w:szCs w:val="17"/>
          <w:color w:val="auto"/>
        </w:rPr>
      </w:pPr>
    </w:p>
    <w:p>
      <w:pPr>
        <w:ind w:right="100" w:firstLine="1293"/>
        <w:spacing w:after="0" w:line="288" w:lineRule="auto"/>
        <w:tabs>
          <w:tab w:leader="none" w:pos="2011" w:val="left"/>
        </w:tabs>
        <w:numPr>
          <w:ilvl w:val="1"/>
          <w:numId w:val="77"/>
        </w:numPr>
        <w:rPr>
          <w:rFonts w:ascii="Arial" w:cs="Arial" w:eastAsia="Arial" w:hAnsi="Arial"/>
          <w:sz w:val="16"/>
          <w:szCs w:val="16"/>
          <w:color w:val="auto"/>
        </w:rPr>
      </w:pPr>
      <w:r>
        <w:rPr>
          <w:rFonts w:ascii="Arial" w:cs="Arial" w:eastAsia="Arial" w:hAnsi="Arial"/>
          <w:sz w:val="16"/>
          <w:szCs w:val="16"/>
          <w:color w:val="auto"/>
        </w:rPr>
        <w:t xml:space="preserve">On the Existing Maturity Date, immediately after giving effect to </w:t>
      </w:r>
      <w:r>
        <w:rPr>
          <w:rFonts w:ascii="Arial" w:cs="Arial" w:eastAsia="Arial" w:hAnsi="Arial"/>
          <w:sz w:val="16"/>
          <w:szCs w:val="16"/>
          <w:u w:val="single" w:color="auto"/>
          <w:color w:val="auto"/>
        </w:rPr>
        <w:t>Section 2.06(a)(i)</w:t>
      </w:r>
      <w:r>
        <w:rPr>
          <w:rFonts w:ascii="Arial" w:cs="Arial" w:eastAsia="Arial" w:hAnsi="Arial"/>
          <w:sz w:val="16"/>
          <w:szCs w:val="16"/>
          <w:color w:val="auto"/>
        </w:rPr>
        <w:t xml:space="preserve">, the Administrative Agent shall administer the reallocation of Applicable Percentages of the Aggregate Commitments and any obligation to participate in Swingline Loans and any Carry-Over LC Exposure ratably among the Extending Lenders, provided that such reallocation shall only be made to the extent such reallocation does not result in an Extending Lender’s Revolving Credit Exposure exceeding such Extending Lender’s Commitment (and, if such reallocation cannot, or can only partially, be effected, the Borrowers shall, on the Existing Maturity Date, cash collateralize, for the benefit of the applicable Issuing Banks, the Borrowers’ obligations corresponding to the Carry-Over LC Exposure associated with each Carry-Over Letter of Credit (after giving effect to any partial reallocation) in accordance with the procedures set forth in </w:t>
      </w:r>
      <w:r>
        <w:rPr>
          <w:rFonts w:ascii="Arial" w:cs="Arial" w:eastAsia="Arial" w:hAnsi="Arial"/>
          <w:sz w:val="16"/>
          <w:szCs w:val="16"/>
          <w:u w:val="single" w:color="auto"/>
          <w:color w:val="auto"/>
        </w:rPr>
        <w:t>Section 3.01(j)(i)</w:t>
      </w:r>
      <w:r>
        <w:rPr>
          <w:rFonts w:ascii="Arial" w:cs="Arial" w:eastAsia="Arial" w:hAnsi="Arial"/>
          <w:sz w:val="16"/>
          <w:szCs w:val="16"/>
          <w:color w:val="auto"/>
        </w:rPr>
        <w:t xml:space="preserve"> (and the cash so deposited shall be held, invested and applied by such Issuing Bank in a manner consistent with the investment and other procedures described in </w:t>
      </w:r>
      <w:r>
        <w:rPr>
          <w:rFonts w:ascii="Arial" w:cs="Arial" w:eastAsia="Arial" w:hAnsi="Arial"/>
          <w:sz w:val="16"/>
          <w:szCs w:val="16"/>
          <w:u w:val="single" w:color="auto"/>
          <w:color w:val="auto"/>
        </w:rPr>
        <w:t>Section 3.01(j)</w:t>
      </w:r>
      <w:r>
        <w:rPr>
          <w:rFonts w:ascii="Arial" w:cs="Arial" w:eastAsia="Arial" w:hAnsi="Arial"/>
          <w:sz w:val="16"/>
          <w:szCs w:val="16"/>
          <w:color w:val="auto"/>
        </w:rPr>
        <w:t>)) until the earlier of (1) the expiration and termination of such Carry-Over Letter of Credit or (2) the first Business Day after the Existing Maturity Date on which all Carry-Over LC Exposure in connection with such Carry-Over Letter of Credit shall have been fully reallocated.</w:t>
      </w:r>
    </w:p>
    <w:p>
      <w:pPr>
        <w:spacing w:after="0" w:line="169" w:lineRule="exact"/>
        <w:rPr>
          <w:rFonts w:ascii="Arial" w:cs="Arial" w:eastAsia="Arial" w:hAnsi="Arial"/>
          <w:sz w:val="16"/>
          <w:szCs w:val="16"/>
          <w:color w:val="auto"/>
        </w:rPr>
      </w:pPr>
    </w:p>
    <w:p>
      <w:pPr>
        <w:ind w:firstLine="1293"/>
        <w:spacing w:after="0" w:line="264" w:lineRule="auto"/>
        <w:tabs>
          <w:tab w:leader="none" w:pos="2017"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The Borrowers hereby agree to compensate the Lenders for all losses, expenses and liabilities incurred by any Lender (if any) in connection with the sale or assignment of any Eurodollar Loan resulting from such reallocation on the terms and in the manner set forth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340" w:hanging="695"/>
        <w:spacing w:after="0"/>
        <w:tabs>
          <w:tab w:leader="none" w:pos="134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Reduction of Commitments in Connection with Incurrence of Certain Indebtedness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 w:firstLine="1293"/>
        <w:spacing w:after="0" w:line="259" w:lineRule="auto"/>
        <w:tabs>
          <w:tab w:leader="none" w:pos="2006"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Incurrence of Specified Senior Indebtedness</w:t>
      </w:r>
      <w:r>
        <w:rPr>
          <w:rFonts w:ascii="Arial" w:cs="Arial" w:eastAsia="Arial" w:hAnsi="Arial"/>
          <w:sz w:val="18"/>
          <w:szCs w:val="18"/>
          <w:color w:val="auto"/>
        </w:rPr>
        <w:t xml:space="preserve">. In the event that any Specified Group Member incurs any Specified Senior Indebtedness under </w:t>
      </w:r>
      <w:r>
        <w:rPr>
          <w:rFonts w:ascii="Arial" w:cs="Arial" w:eastAsia="Arial" w:hAnsi="Arial"/>
          <w:sz w:val="18"/>
          <w:szCs w:val="18"/>
          <w:u w:val="single" w:color="auto"/>
          <w:color w:val="auto"/>
        </w:rPr>
        <w:t>Section 8.01(j)</w:t>
      </w:r>
      <w:r>
        <w:rPr>
          <w:rFonts w:ascii="Arial" w:cs="Arial" w:eastAsia="Arial" w:hAnsi="Arial"/>
          <w:sz w:val="18"/>
          <w:szCs w:val="18"/>
          <w:color w:val="auto"/>
        </w:rPr>
        <w:t xml:space="preserve"> or any Specified Senior Indebtedness not permitted under this Agreement at any time on or after the Amendment No. 3 Effective Date, on the later of (x) the Existing Maturity Date, after giving effect to the termination of the Non-Extended Commitments pursuant</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2.06(a)</w:t>
      </w:r>
      <w:r>
        <w:rPr>
          <w:rFonts w:ascii="Arial" w:cs="Arial" w:eastAsia="Arial" w:hAnsi="Arial"/>
          <w:sz w:val="18"/>
          <w:szCs w:val="18"/>
          <w:color w:val="auto"/>
        </w:rPr>
        <w:t>, and (y) the date on which any such Specified Senior Indebtedness is incurred, the aggregate Commitments of the Extending Lenders shall be permanently reduced, ratably among the Extending Lenders in accordance with their respective Commitments, by an amount equal to 50% of the aggregate principal amount of such Specified Senior Indebtedness.</w:t>
      </w:r>
    </w:p>
    <w:p>
      <w:pPr>
        <w:spacing w:after="0" w:line="181" w:lineRule="exact"/>
        <w:rPr>
          <w:sz w:val="20"/>
          <w:szCs w:val="20"/>
          <w:color w:val="auto"/>
        </w:rPr>
      </w:pPr>
    </w:p>
    <w:p>
      <w:pPr>
        <w:ind w:right="80" w:firstLine="1293"/>
        <w:spacing w:after="0" w:line="273" w:lineRule="auto"/>
        <w:tabs>
          <w:tab w:leader="none" w:pos="2011"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Incremental Commitments</w:t>
      </w:r>
      <w:r>
        <w:rPr>
          <w:rFonts w:ascii="Arial" w:cs="Arial" w:eastAsia="Arial" w:hAnsi="Arial"/>
          <w:sz w:val="17"/>
          <w:szCs w:val="17"/>
          <w:color w:val="auto"/>
        </w:rPr>
        <w:t xml:space="preserve">. In the event that any Incremental Commitments are provided pursuant to a Commitment Increase, on the later of (x) the Existing Maturity Date, after giving effect to the termination of the Non-Extended Commitments pursuant to </w:t>
      </w:r>
      <w:r>
        <w:rPr>
          <w:rFonts w:ascii="Arial" w:cs="Arial" w:eastAsia="Arial" w:hAnsi="Arial"/>
          <w:sz w:val="17"/>
          <w:szCs w:val="17"/>
          <w:u w:val="single" w:color="auto"/>
          <w:color w:val="auto"/>
        </w:rPr>
        <w:t>Section 2.06(a)</w:t>
      </w:r>
      <w:r>
        <w:rPr>
          <w:rFonts w:ascii="Arial" w:cs="Arial" w:eastAsia="Arial" w:hAnsi="Arial"/>
          <w:sz w:val="17"/>
          <w:szCs w:val="17"/>
          <w:color w:val="auto"/>
        </w:rPr>
        <w:t xml:space="preserve"> and (y) the relevant Increase Effective Date, the aggregate Commitments of the Extending Lenders (other than the Commitments of any Increasing Lenders or Additional Lenders providing an Incremental Commitment) shall be permanently reduced, ratably among the Extending Lenders in accordance with their respective Commitments, by an aggregate amount equal to fifty percent (50%) of the total Incremental Commitments provided by such Increasing Lenders or Additional Lenders pursuant to such Commitment Increase.</w:t>
      </w:r>
    </w:p>
    <w:p>
      <w:pPr>
        <w:spacing w:after="0" w:line="178" w:lineRule="exact"/>
        <w:rPr>
          <w:rFonts w:ascii="Arial" w:cs="Arial" w:eastAsia="Arial" w:hAnsi="Arial"/>
          <w:sz w:val="17"/>
          <w:szCs w:val="17"/>
          <w:color w:val="auto"/>
        </w:rPr>
      </w:pPr>
    </w:p>
    <w:p>
      <w:pPr>
        <w:ind w:left="1340" w:hanging="695"/>
        <w:spacing w:after="0"/>
        <w:tabs>
          <w:tab w:leader="none" w:pos="134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Reduction of Aggregate Commitments in Connection with Certain Asset Sales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293"/>
        <w:spacing w:after="0" w:line="255" w:lineRule="auto"/>
        <w:tabs>
          <w:tab w:leader="none" w:pos="2006" w:val="left"/>
        </w:tabs>
        <w:numPr>
          <w:ilvl w:val="1"/>
          <w:numId w:val="79"/>
        </w:numPr>
        <w:rPr>
          <w:rFonts w:ascii="Arial" w:cs="Arial" w:eastAsia="Arial" w:hAnsi="Arial"/>
          <w:sz w:val="18"/>
          <w:szCs w:val="18"/>
          <w:color w:val="auto"/>
        </w:rPr>
      </w:pPr>
      <w:r>
        <w:rPr>
          <w:rFonts w:ascii="Arial" w:cs="Arial" w:eastAsia="Arial" w:hAnsi="Arial"/>
          <w:sz w:val="18"/>
          <w:szCs w:val="18"/>
          <w:color w:val="auto"/>
        </w:rPr>
        <w:t>In the event that any Specified Asset Sale is consummated before the Amendment No. 3 Anniversary Date, to the extent that the Net Proceeds received by WIL-Ireland and its Restricted Subsidiaries from such Specified Asset Sale, together with the aggregate Net Proceeds from all other Specified Asset Sales that have occurred on or after the Amendment No. 3 Effective Date and prior to such time, exceed $700 million (the amount of such excess, the “</w:t>
      </w:r>
      <w:r>
        <w:rPr>
          <w:rFonts w:ascii="Arial" w:cs="Arial" w:eastAsia="Arial" w:hAnsi="Arial"/>
          <w:sz w:val="18"/>
          <w:szCs w:val="18"/>
          <w:u w:val="single" w:color="auto"/>
          <w:color w:val="auto"/>
        </w:rPr>
        <w:t>Excess Amount</w:t>
      </w:r>
      <w:r>
        <w:rPr>
          <w:rFonts w:ascii="Arial" w:cs="Arial" w:eastAsia="Arial" w:hAnsi="Arial"/>
          <w:sz w:val="18"/>
          <w:szCs w:val="18"/>
          <w:color w:val="auto"/>
        </w:rPr>
        <w:t>”), the Lenders’ Commitments shall be permanently reduced ratably among the Lenders in accordance with their respective Commitments on the applicable Sale Related Commitment Reduction Date, by an amount equal to 50% of the lesser of (A) the Excess Amount and (B) the Net Proceeds received by WIL-Ireland and its Restricted Subsidiaries from such Specified Asset Sale.</w:t>
      </w:r>
    </w:p>
    <w:p>
      <w:pPr>
        <w:spacing w:after="0" w:line="189" w:lineRule="exact"/>
        <w:rPr>
          <w:sz w:val="20"/>
          <w:szCs w:val="20"/>
          <w:color w:val="auto"/>
        </w:rPr>
      </w:pPr>
    </w:p>
    <w:p>
      <w:pPr>
        <w:ind w:right="200" w:firstLine="1293"/>
        <w:spacing w:after="0" w:line="259" w:lineRule="auto"/>
        <w:tabs>
          <w:tab w:leader="none" w:pos="2011"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 the event that any Specified Asset Sale is consummated on or after the Amendment No. 3 Anniversary Date, the Lenders’ Commitments shall be permanently reduced, ratably among the Lenders in accordance with their respective Commitments on the applicable Sale Related Commitment Reduction Date, by an amount equal to 50% of the Net Proceeds received by WIL-Ireland and its Restricted Subsidiaries from such Specified Asset Sale.</w:t>
      </w:r>
    </w:p>
    <w:p>
      <w:pPr>
        <w:spacing w:after="0" w:line="186" w:lineRule="exact"/>
        <w:rPr>
          <w:rFonts w:ascii="Arial" w:cs="Arial" w:eastAsia="Arial" w:hAnsi="Arial"/>
          <w:sz w:val="18"/>
          <w:szCs w:val="18"/>
          <w:color w:val="auto"/>
        </w:rPr>
      </w:pPr>
    </w:p>
    <w:p>
      <w:pPr>
        <w:ind w:left="1340" w:hanging="695"/>
        <w:spacing w:after="0"/>
        <w:tabs>
          <w:tab w:leader="none" w:pos="13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Additional Commitment Termination Events.</w:t>
      </w:r>
    </w:p>
    <w:p>
      <w:pPr>
        <w:spacing w:after="0" w:line="225" w:lineRule="exact"/>
        <w:rPr>
          <w:rFonts w:ascii="Arial" w:cs="Arial" w:eastAsia="Arial" w:hAnsi="Arial"/>
          <w:sz w:val="18"/>
          <w:szCs w:val="18"/>
          <w:color w:val="auto"/>
        </w:rPr>
      </w:pPr>
    </w:p>
    <w:p>
      <w:pPr>
        <w:ind w:right="200" w:firstLine="1293"/>
        <w:spacing w:after="0" w:line="277" w:lineRule="auto"/>
        <w:tabs>
          <w:tab w:leader="none" w:pos="2006"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Termination of Extended Commitments on the Extended Maturity Date</w:t>
      </w:r>
      <w:r>
        <w:rPr>
          <w:rFonts w:ascii="Arial" w:cs="Arial" w:eastAsia="Arial" w:hAnsi="Arial"/>
          <w:sz w:val="18"/>
          <w:szCs w:val="18"/>
          <w:color w:val="auto"/>
        </w:rPr>
        <w:t>. Unless previously terminated pursuant to the terms hereof, the Extended Commitments shall terminate on the Extended Maturity Date.</w:t>
      </w:r>
    </w:p>
    <w:p>
      <w:pPr>
        <w:spacing w:after="0" w:line="170" w:lineRule="exact"/>
        <w:rPr>
          <w:sz w:val="20"/>
          <w:szCs w:val="20"/>
          <w:color w:val="auto"/>
        </w:rPr>
      </w:pPr>
    </w:p>
    <w:p>
      <w:pPr>
        <w:ind w:right="140" w:firstLine="1293"/>
        <w:spacing w:after="0" w:line="277" w:lineRule="auto"/>
        <w:tabs>
          <w:tab w:leader="none" w:pos="201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Termination of Aggregate Commitments in Connection with a Change of Control</w:t>
      </w:r>
      <w:r>
        <w:rPr>
          <w:rFonts w:ascii="Arial" w:cs="Arial" w:eastAsia="Arial" w:hAnsi="Arial"/>
          <w:sz w:val="18"/>
          <w:szCs w:val="18"/>
          <w:color w:val="auto"/>
        </w:rPr>
        <w:t>. The aggregate Commitments under this Agreement will be terminated in full upon the occurrence of a Change of Control.</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40" w:hanging="695"/>
        <w:spacing w:after="0"/>
        <w:tabs>
          <w:tab w:leader="none" w:pos="134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Voluntary Reduction of Commitments</w:t>
      </w:r>
      <w:r>
        <w:rPr>
          <w:rFonts w:ascii="Arial" w:cs="Arial" w:eastAsia="Arial" w:hAnsi="Arial"/>
          <w:sz w:val="18"/>
          <w:szCs w:val="18"/>
          <w:color w:val="auto"/>
        </w:rPr>
        <w:t>.</w:t>
      </w:r>
    </w:p>
    <w:p>
      <w:pPr>
        <w:sectPr>
          <w:pgSz w:w="11900" w:h="16838" w:orient="portrait"/>
          <w:cols w:equalWidth="0" w:num="1">
            <w:col w:w="10700"/>
          </w:cols>
          <w:pgMar w:left="900" w:top="341" w:right="299" w:bottom="0" w:gutter="0" w:footer="0" w:header="0"/>
        </w:sectPr>
      </w:pPr>
    </w:p>
    <w:bookmarkStart w:id="45" w:name="page46"/>
    <w:bookmarkEnd w:id="45"/>
    <w:p>
      <w:pPr>
        <w:ind w:left="2660" w:hanging="707"/>
        <w:spacing w:after="0"/>
        <w:tabs>
          <w:tab w:leader="none" w:pos="26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 xml:space="preserve">At their option, the Borrowers may at any time terminate, or from time to time reduce,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ind w:left="660" w:right="340" w:hanging="4"/>
        <w:spacing w:after="0" w:line="277" w:lineRule="auto"/>
        <w:tabs>
          <w:tab w:leader="none" w:pos="955"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each reduction of the Commitments shall be in an amount that is an integral multiple of $1,000,000 and not less than $5,000,000 and (B) the Borrowers shall not terminate or reduce the Commitments if, after giving effect to any concurrent prepayment of the Loans in accordance with </w:t>
      </w:r>
      <w:r>
        <w:rPr>
          <w:rFonts w:ascii="Arial" w:cs="Arial" w:eastAsia="Arial" w:hAnsi="Arial"/>
          <w:sz w:val="17"/>
          <w:szCs w:val="17"/>
          <w:u w:val="single" w:color="auto"/>
          <w:color w:val="auto"/>
        </w:rPr>
        <w:t>Section 2.08</w:t>
      </w:r>
      <w:r>
        <w:rPr>
          <w:rFonts w:ascii="Arial" w:cs="Arial" w:eastAsia="Arial" w:hAnsi="Arial"/>
          <w:sz w:val="17"/>
          <w:szCs w:val="17"/>
          <w:color w:val="auto"/>
        </w:rPr>
        <w:t>, the Total Revolving Credit Exposure would exceed the Aggregate Commitments.</w:t>
      </w:r>
    </w:p>
    <w:p>
      <w:pPr>
        <w:spacing w:after="0" w:line="173" w:lineRule="exact"/>
        <w:rPr>
          <w:rFonts w:ascii="Arial" w:cs="Arial" w:eastAsia="Arial" w:hAnsi="Arial"/>
          <w:sz w:val="17"/>
          <w:szCs w:val="17"/>
          <w:color w:val="auto"/>
        </w:rPr>
      </w:pPr>
    </w:p>
    <w:p>
      <w:pPr>
        <w:ind w:left="660" w:right="60" w:firstLine="1293"/>
        <w:spacing w:after="0" w:line="290" w:lineRule="auto"/>
        <w:tabs>
          <w:tab w:leader="none" w:pos="2671"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The Borrowers shall notify the Administrative Agent of any election to terminate or reduce the Commitments under </w:t>
      </w:r>
      <w:r>
        <w:rPr>
          <w:rFonts w:ascii="Arial" w:cs="Arial" w:eastAsia="Arial" w:hAnsi="Arial"/>
          <w:sz w:val="16"/>
          <w:szCs w:val="16"/>
          <w:u w:val="single" w:color="auto"/>
          <w:color w:val="auto"/>
        </w:rPr>
        <w:t>Section 2.06(e)(i)</w:t>
      </w:r>
      <w:r>
        <w:rPr>
          <w:rFonts w:ascii="Arial" w:cs="Arial" w:eastAsia="Arial" w:hAnsi="Arial"/>
          <w:sz w:val="16"/>
          <w:szCs w:val="16"/>
          <w:color w:val="auto"/>
        </w:rPr>
        <w:t xml:space="preserve">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Borrowers pursuant to this Section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termination of the Commitments delivered by the Borrowers may state that such notice is conditioned upon the effectiveness of other credit facilities or the closing of a securities offering, in which case such notice may be revoked by the Borrowers (by notice to the Administrative Agent on or prior to the specified effective date) if such condition is not satisfied. Any termination or reduction of the Commitments shall be permanent. Except as expressly set forth in the Loan Documents, each reduction of Commitments shall be made ratably among the Lenders in accordance with their respective applicable Commitments.</w:t>
      </w:r>
    </w:p>
    <w:p>
      <w:pPr>
        <w:spacing w:after="0" w:line="166" w:lineRule="exact"/>
        <w:rPr>
          <w:sz w:val="20"/>
          <w:szCs w:val="20"/>
          <w:color w:val="auto"/>
        </w:rPr>
      </w:pPr>
    </w:p>
    <w:p>
      <w:pPr>
        <w:ind w:right="20" w:firstLine="1305"/>
        <w:spacing w:after="0" w:line="259" w:lineRule="auto"/>
        <w:tabs>
          <w:tab w:leader="none" w:pos="2016"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Reduction of Aggregate Commitments to Occur Ninety (90) Days after the Amendment No. 3 Effective Date.</w:t>
      </w:r>
      <w:r>
        <w:rPr>
          <w:rFonts w:ascii="Arial" w:cs="Arial" w:eastAsia="Arial" w:hAnsi="Arial"/>
          <w:sz w:val="18"/>
          <w:szCs w:val="18"/>
          <w:color w:val="auto"/>
        </w:rPr>
        <w:t xml:space="preserve"> On the date that is ninety (90) days after the Amendment No. 3 Effective Date, the Aggregate Commitments of the Extending Lenders shall be automatically reduced (without any further action or consent by any Person) ratably by an amount equal to 15% of the Aggregate Commitments of the Extending Lenders under this Agreement on the Amendment No. 3 Effective Date.</w:t>
      </w:r>
    </w:p>
    <w:p>
      <w:pPr>
        <w:spacing w:after="0" w:line="18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59" w:lineRule="auto"/>
        <w:tabs>
          <w:tab w:leader="none" w:pos="199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Borrowers hereby jointly and severally and unconditionally promise to pay (i) to the Administrative Agent for the account of each Non-Extending Lender the then unpaid principal amount of each Revolving Credit Loan of such Lender on the Existing Maturity Date and (ii) to the Administrative Agent for the account of each Extending Lender the then unpaid principal amount of each Revolving Credit Loan of such Lender on the Extended Maturity Date.</w:t>
      </w:r>
    </w:p>
    <w:p>
      <w:pPr>
        <w:spacing w:after="0" w:line="186" w:lineRule="exact"/>
        <w:rPr>
          <w:rFonts w:ascii="Arial" w:cs="Arial" w:eastAsia="Arial" w:hAnsi="Arial"/>
          <w:sz w:val="18"/>
          <w:szCs w:val="18"/>
          <w:color w:val="auto"/>
        </w:rPr>
      </w:pPr>
    </w:p>
    <w:p>
      <w:pPr>
        <w:ind w:right="40" w:firstLine="1305"/>
        <w:spacing w:after="0" w:line="259" w:lineRule="auto"/>
        <w:tabs>
          <w:tab w:leader="none" w:pos="2001"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Borrowers hereby jointly and severally and unconditionally promise to pay to each Swingline Lender the then unpaid principal amount of each Swingline Loan made by such Swingline Lender on the earlier of the Extended Maturity Date and the first date after such Swingline Loan is made that is the 15th or last day of a calendar month and is at least two Business Days after such Swingline Loan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on each date that a Borrowing of Revolving Credit Loans is made, the Borrowers shall repay all Swingline Loans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then outstanding and (ii) notwithstanding the foregoing, the then unpaid principal amount of all Swingline Loans shall be repaid in full on the Existing Maturity Date.</w:t>
      </w:r>
    </w:p>
    <w:p>
      <w:pPr>
        <w:spacing w:after="0" w:line="170" w:lineRule="exact"/>
        <w:rPr>
          <w:sz w:val="20"/>
          <w:szCs w:val="20"/>
          <w:color w:val="auto"/>
        </w:rPr>
      </w:pPr>
    </w:p>
    <w:p>
      <w:pPr>
        <w:ind w:right="240" w:firstLine="1305"/>
        <w:spacing w:after="0" w:line="264" w:lineRule="auto"/>
        <w:tabs>
          <w:tab w:leader="none" w:pos="1991"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181" w:lineRule="exact"/>
        <w:rPr>
          <w:rFonts w:ascii="Arial" w:cs="Arial" w:eastAsia="Arial" w:hAnsi="Arial"/>
          <w:sz w:val="18"/>
          <w:szCs w:val="18"/>
          <w:color w:val="auto"/>
        </w:rPr>
      </w:pPr>
    </w:p>
    <w:p>
      <w:pPr>
        <w:ind w:right="100" w:firstLine="1305"/>
        <w:spacing w:after="0" w:line="259" w:lineRule="auto"/>
        <w:tabs>
          <w:tab w:leader="none" w:pos="200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186" w:lineRule="exact"/>
        <w:rPr>
          <w:rFonts w:ascii="Arial" w:cs="Arial" w:eastAsia="Arial" w:hAnsi="Arial"/>
          <w:sz w:val="18"/>
          <w:szCs w:val="18"/>
          <w:color w:val="auto"/>
        </w:rPr>
      </w:pPr>
    </w:p>
    <w:p>
      <w:pPr>
        <w:jc w:val="both"/>
        <w:ind w:right="80" w:firstLine="1305"/>
        <w:spacing w:after="0" w:line="259" w:lineRule="auto"/>
        <w:tabs>
          <w:tab w:leader="none" w:pos="1991"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w:t>
      </w:r>
      <w:r>
        <w:rPr>
          <w:rFonts w:ascii="Arial" w:cs="Arial" w:eastAsia="Arial" w:hAnsi="Arial"/>
          <w:sz w:val="18"/>
          <w:szCs w:val="18"/>
          <w:u w:val="single" w:color="auto"/>
          <w:color w:val="auto"/>
        </w:rPr>
        <w:t>Section 2.07(c)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2.07(d)</w:t>
      </w:r>
      <w:r>
        <w:rPr>
          <w:rFonts w:ascii="Arial" w:cs="Arial" w:eastAsia="Arial" w:hAnsi="Arial"/>
          <w:sz w:val="18"/>
          <w:szCs w:val="18"/>
          <w:color w:val="auto"/>
        </w:rPr>
        <w:t xml:space="preserve"> of this Section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Borrowers, jointly and severally, to repay the Loans in accordance with the terms of this Agreement.</w:t>
      </w:r>
    </w:p>
    <w:p>
      <w:pPr>
        <w:spacing w:after="0" w:line="186" w:lineRule="exact"/>
        <w:rPr>
          <w:rFonts w:ascii="Arial" w:cs="Arial" w:eastAsia="Arial" w:hAnsi="Arial"/>
          <w:sz w:val="18"/>
          <w:szCs w:val="18"/>
          <w:color w:val="auto"/>
        </w:rPr>
      </w:pPr>
    </w:p>
    <w:p>
      <w:pPr>
        <w:ind w:right="40" w:firstLine="1305"/>
        <w:spacing w:after="0" w:line="257" w:lineRule="auto"/>
        <w:tabs>
          <w:tab w:leader="none" w:pos="2016"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After the Effective Date, any Lender by written notice to the Borrowers (with a copy to the Administrative Agent) may request that Loans made by it be evidenced by a Note. In such event, the Borrowers shall prepare, execute and deliver to such Lender a Revolving Credit Note or Swingline Note, as applicable, payable, jointly and severally, to the order of such Lender and its permitted assigns. Thereafter, the Loans evidenced by such Note and interest thereon shall at all times (including after assignment pursuant to </w:t>
      </w:r>
      <w:r>
        <w:rPr>
          <w:rFonts w:ascii="Arial" w:cs="Arial" w:eastAsia="Arial" w:hAnsi="Arial"/>
          <w:sz w:val="18"/>
          <w:szCs w:val="18"/>
          <w:u w:val="single" w:color="auto"/>
          <w:color w:val="auto"/>
        </w:rPr>
        <w:t>Section 11.05</w:t>
      </w:r>
      <w:r>
        <w:rPr>
          <w:rFonts w:ascii="Arial" w:cs="Arial" w:eastAsia="Arial" w:hAnsi="Arial"/>
          <w:sz w:val="18"/>
          <w:szCs w:val="18"/>
          <w:color w:val="auto"/>
        </w:rPr>
        <w:t>) be represented by one or more Notes payable to the order of such Lender and its permitted assigns.</w:t>
      </w:r>
    </w:p>
    <w:p>
      <w:pPr>
        <w:spacing w:after="0" w:line="18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77" w:lineRule="auto"/>
        <w:tabs>
          <w:tab w:leader="none" w:pos="1991"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Subject to prior notice in accordance with </w:t>
      </w:r>
      <w:r>
        <w:rPr>
          <w:rFonts w:ascii="Arial" w:cs="Arial" w:eastAsia="Arial" w:hAnsi="Arial"/>
          <w:sz w:val="18"/>
          <w:szCs w:val="18"/>
          <w:u w:val="single" w:color="auto"/>
          <w:color w:val="auto"/>
        </w:rPr>
        <w:t>Section 2.08(b)</w:t>
      </w:r>
      <w:r>
        <w:rPr>
          <w:rFonts w:ascii="Arial" w:cs="Arial" w:eastAsia="Arial" w:hAnsi="Arial"/>
          <w:sz w:val="18"/>
          <w:szCs w:val="18"/>
          <w:color w:val="auto"/>
        </w:rPr>
        <w:t xml:space="preserve">, the Borrowers shall have the right at any time and from time to time to prepay any Borrowing in whole or in part, without premium or penalty (but subject to any amounts payable under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5"/>
        <w:spacing w:after="0" w:line="272" w:lineRule="auto"/>
        <w:tabs>
          <w:tab w:leader="none" w:pos="2001"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A Borrower shall notify the Administrative Agent (and, in the case of prepayment of a Swingline Loan, the applicable Swingline Lender) by telephone (promptly confirmed by hand delivery, facsimile or electronic transmission (in .pdf format)) of any prepayment hereunder (i) in the case of prepayment of a Eurodollar Borrowing, not later than 11:30 a.m., New York City time, one Business Day before the date of prepayment, (ii) in the case of prepayment of an ABR Borrowing, not later than 11:00 a.m., New York City time, on the same Business Day as the date of prepayment, or (iii) in the case of prepayment of a Swingline Loan, not later than 2:00 p.m., New York City time, on the same Business Day as the date of prepayment. Each such notice shall be irrevocable and shall specify the prepayment date and the principal amount of each Borrowing or portion thereof to be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prepayment delivered by the Borrowers may state that such notice is conditioned upon the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32" w:gutter="0" w:footer="0" w:header="0"/>
        </w:sectPr>
      </w:pPr>
    </w:p>
    <w:bookmarkStart w:id="46" w:name="page47"/>
    <w:bookmarkEnd w:id="46"/>
    <w:p>
      <w:pPr>
        <w:spacing w:after="0" w:line="291" w:lineRule="auto"/>
        <w:rPr>
          <w:sz w:val="20"/>
          <w:szCs w:val="20"/>
          <w:color w:val="auto"/>
        </w:rPr>
      </w:pPr>
      <w:r>
        <w:rPr>
          <w:rFonts w:ascii="Arial" w:cs="Arial" w:eastAsia="Arial" w:hAnsi="Arial"/>
          <w:sz w:val="16"/>
          <w:szCs w:val="16"/>
          <w:color w:val="auto"/>
        </w:rPr>
        <w:t xml:space="preserve">effectiveness of other credit facilities or the closing of a securities offering (or any combination thereof), in which case such notice may be revoked by the Borrowers (by notice to the Administrative Agent on or prior to the specified prepayment date) if such condition is not satisfied.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an advance of a Swingline Borrowing as provided in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as applicable. Each prepayment of a Borrowing shall be applied ratably to the Loans included in the prepaid Borrowing. Prepayments shall be accompanied by accrued interest to the extent required by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All prepayments under, and each failure to make a prepayment specified in any prepayment notice delivered pursuant to, this </w:t>
      </w:r>
      <w:r>
        <w:rPr>
          <w:rFonts w:ascii="Arial" w:cs="Arial" w:eastAsia="Arial" w:hAnsi="Arial"/>
          <w:sz w:val="16"/>
          <w:szCs w:val="16"/>
          <w:u w:val="single" w:color="auto"/>
          <w:color w:val="auto"/>
        </w:rPr>
        <w:t>Section 2.08(b)</w:t>
      </w:r>
      <w:r>
        <w:rPr>
          <w:rFonts w:ascii="Arial" w:cs="Arial" w:eastAsia="Arial" w:hAnsi="Arial"/>
          <w:sz w:val="16"/>
          <w:szCs w:val="16"/>
          <w:color w:val="auto"/>
        </w:rPr>
        <w:t xml:space="preserve"> shall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w:t>
      </w:r>
    </w:p>
    <w:p>
      <w:pPr>
        <w:spacing w:after="0" w:line="167" w:lineRule="exact"/>
        <w:rPr>
          <w:sz w:val="20"/>
          <w:szCs w:val="20"/>
          <w:color w:val="auto"/>
        </w:rPr>
      </w:pPr>
    </w:p>
    <w:p>
      <w:pPr>
        <w:ind w:left="2000" w:hanging="695"/>
        <w:spacing w:after="0"/>
        <w:tabs>
          <w:tab w:leader="none" w:pos="2000" w:val="left"/>
        </w:tabs>
        <w:numPr>
          <w:ilvl w:val="1"/>
          <w:numId w:val="90"/>
        </w:numPr>
        <w:rPr>
          <w:rFonts w:ascii="Arial" w:cs="Arial" w:eastAsia="Arial" w:hAnsi="Arial"/>
          <w:sz w:val="17"/>
          <w:szCs w:val="17"/>
          <w:color w:val="auto"/>
        </w:rPr>
      </w:pPr>
      <w:r>
        <w:rPr>
          <w:rFonts w:ascii="Arial" w:cs="Arial" w:eastAsia="Arial" w:hAnsi="Arial"/>
          <w:sz w:val="17"/>
          <w:szCs w:val="17"/>
          <w:color w:val="auto"/>
        </w:rPr>
        <w:t>On the date that a Change of Control occurs, the Commitments shall terminate and the Borrowers jointly and severally shall</w:t>
      </w:r>
    </w:p>
    <w:p>
      <w:pPr>
        <w:spacing w:after="0" w:line="34" w:lineRule="exact"/>
        <w:rPr>
          <w:rFonts w:ascii="Arial" w:cs="Arial" w:eastAsia="Arial" w:hAnsi="Arial"/>
          <w:sz w:val="17"/>
          <w:szCs w:val="17"/>
          <w:color w:val="auto"/>
        </w:rPr>
      </w:pPr>
    </w:p>
    <w:p>
      <w:pPr>
        <w:ind w:right="220" w:firstLine="8"/>
        <w:spacing w:after="0" w:line="261" w:lineRule="auto"/>
        <w:tabs>
          <w:tab w:leader="none" w:pos="215"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prepay the principal amount of the Loans and all accrued and unpaid interest thereon in immediately available funds and (ii) deposit in the LC Collateral Account an amount in cash required by </w:t>
      </w:r>
      <w:r>
        <w:rPr>
          <w:rFonts w:ascii="Arial" w:cs="Arial" w:eastAsia="Arial" w:hAnsi="Arial"/>
          <w:sz w:val="18"/>
          <w:szCs w:val="18"/>
          <w:u w:val="single" w:color="auto"/>
          <w:color w:val="auto"/>
        </w:rPr>
        <w:t>Section 3.01(j)(i)</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280" w:firstLine="1305"/>
        <w:spacing w:after="0" w:line="264" w:lineRule="auto"/>
        <w:tabs>
          <w:tab w:leader="none" w:pos="2001" w:val="left"/>
        </w:tabs>
        <w:numPr>
          <w:ilvl w:val="1"/>
          <w:numId w:val="91"/>
        </w:numPr>
        <w:rPr>
          <w:rFonts w:ascii="Arial" w:cs="Arial" w:eastAsia="Arial" w:hAnsi="Arial"/>
          <w:sz w:val="18"/>
          <w:szCs w:val="18"/>
          <w:color w:val="auto"/>
        </w:rPr>
      </w:pPr>
      <w:r>
        <w:rPr>
          <w:rFonts w:ascii="Arial" w:cs="Arial" w:eastAsia="Arial" w:hAnsi="Arial"/>
          <w:sz w:val="18"/>
          <w:szCs w:val="18"/>
          <w:color w:val="auto"/>
        </w:rPr>
        <w:t>Upon the consummation of any Permitted Factoring Transaction, the Borrowers jointly and severally shall prepay the principal amount of the Loans by an amount equal to the Net Cash Proceeds received by WIL-Ireland or the applicable Restricted Subsidiary pursuant to such Permitted Factoring Transaction.</w:t>
      </w:r>
    </w:p>
    <w:p>
      <w:pPr>
        <w:spacing w:after="0" w:line="181" w:lineRule="exact"/>
        <w:rPr>
          <w:rFonts w:ascii="Arial" w:cs="Arial" w:eastAsia="Arial" w:hAnsi="Arial"/>
          <w:sz w:val="18"/>
          <w:szCs w:val="18"/>
          <w:color w:val="auto"/>
        </w:rPr>
      </w:pPr>
    </w:p>
    <w:p>
      <w:pPr>
        <w:ind w:right="220" w:firstLine="1305"/>
        <w:spacing w:after="0" w:line="291" w:lineRule="auto"/>
        <w:tabs>
          <w:tab w:leader="none" w:pos="1991"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If at any time (including concurrently with or immediately after giving effect to any reduction of the Lenders’ Commitments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the Total Revolving Credit Exposure exceeds the Aggregate Commitments, the Borrowers jointly and severally shall immediately</w:t>
      </w:r>
    </w:p>
    <w:p>
      <w:pPr>
        <w:ind w:right="200" w:firstLine="8"/>
        <w:spacing w:after="0" w:line="273" w:lineRule="auto"/>
        <w:tabs>
          <w:tab w:leader="none" w:pos="215"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prepay the principal amount of the Lenders’ Revolving Credit Loans ratably among the Lenders in accordance with their respective Commitments in an aggregate principal amount sufficient to cause the Total Revolving Credit Exposure to be less than or equal to the Aggregate Commitments and (ii) if any excess remains after prepaying all of the Lenders’ Revolving Credit Loans as a result of LC Exposures, cash collateralize LC Exposures in accordance with the procedures set forth in </w:t>
      </w:r>
      <w:r>
        <w:rPr>
          <w:rFonts w:ascii="Arial" w:cs="Arial" w:eastAsia="Arial" w:hAnsi="Arial"/>
          <w:sz w:val="17"/>
          <w:szCs w:val="17"/>
          <w:u w:val="single" w:color="auto"/>
          <w:color w:val="auto"/>
        </w:rPr>
        <w:t>Section 3.01(j)(i)</w:t>
      </w:r>
      <w:r>
        <w:rPr>
          <w:rFonts w:ascii="Arial" w:cs="Arial" w:eastAsia="Arial" w:hAnsi="Arial"/>
          <w:sz w:val="17"/>
          <w:szCs w:val="17"/>
          <w:color w:val="auto"/>
        </w:rPr>
        <w:t xml:space="preserve"> in an amount equal to such excess.</w:t>
      </w:r>
    </w:p>
    <w:p>
      <w:pPr>
        <w:spacing w:after="0" w:line="17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ind w:right="40" w:firstLine="1305"/>
        <w:spacing w:after="0" w:line="272" w:lineRule="auto"/>
        <w:tabs>
          <w:tab w:leader="none" w:pos="1991"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Borrowers, jointly and severally, agree to pay to the Administrative Agent for the account of each Lender a facility fee, which shall accrue (i) during the period from and including the Effective Date to but excluding the date on which such Lender’s Commitment terminates, at the Facility Fee Rate on the average daily amount of the Commitment of such Lender (whether used or unused), and (ii) to the extent any Lender has any Revolving Credit Exposure after its Commitment terminates, at the Facility Fee Rate on the Revolving Credit Exposure of such Lender during the period from and including the date on which its Commitment terminates to but excluding the date on which such Lender ceases to have any Revolving Credit Exposure. Accrued facility fees shall be payable in arrears on the last day of March, June, September and December of each year, on the Existing Maturity Date (in the case of Non-Extending Lenders), on the Extended Maturity Date (in the case of Extending Lenders)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 xml:space="preserve">and on the date on which the aggregate Commitments terminate, commencing on the first such date to occur after the date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facility fees accruing after the date on which the aggregate Commitments terminate shall be payable on demand. All facility fees shall be computed on the basis of a year of 365 or 366 days, as applicable, and shall be payable for the actual number of days elapsed (including the first day but excluding the last day).</w:t>
      </w:r>
    </w:p>
    <w:p>
      <w:pPr>
        <w:spacing w:after="0" w:line="147" w:lineRule="exact"/>
        <w:rPr>
          <w:sz w:val="20"/>
          <w:szCs w:val="20"/>
          <w:color w:val="auto"/>
        </w:rPr>
      </w:pPr>
    </w:p>
    <w:p>
      <w:pPr>
        <w:ind w:left="2000" w:hanging="695"/>
        <w:spacing w:after="0"/>
        <w:tabs>
          <w:tab w:leader="none" w:pos="2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Borrowers, jointly and severally, agree to pay:</w:t>
      </w:r>
    </w:p>
    <w:p>
      <w:pPr>
        <w:spacing w:after="0" w:line="225" w:lineRule="exact"/>
        <w:rPr>
          <w:rFonts w:ascii="Arial" w:cs="Arial" w:eastAsia="Arial" w:hAnsi="Arial"/>
          <w:sz w:val="18"/>
          <w:szCs w:val="18"/>
          <w:color w:val="auto"/>
        </w:rPr>
      </w:pPr>
    </w:p>
    <w:p>
      <w:pPr>
        <w:ind w:left="660" w:right="20" w:firstLine="1293"/>
        <w:spacing w:after="0" w:line="270" w:lineRule="auto"/>
        <w:tabs>
          <w:tab w:leader="none" w:pos="2666" w:val="left"/>
        </w:tabs>
        <w:numPr>
          <w:ilvl w:val="1"/>
          <w:numId w:val="94"/>
        </w:numPr>
        <w:rPr>
          <w:rFonts w:ascii="Arial" w:cs="Arial" w:eastAsia="Arial" w:hAnsi="Arial"/>
          <w:sz w:val="17"/>
          <w:szCs w:val="17"/>
          <w:color w:val="auto"/>
        </w:rPr>
      </w:pPr>
      <w:r>
        <w:rPr>
          <w:rFonts w:ascii="Arial" w:cs="Arial" w:eastAsia="Arial" w:hAnsi="Arial"/>
          <w:sz w:val="17"/>
          <w:szCs w:val="17"/>
          <w:color w:val="auto"/>
        </w:rPr>
        <w:t xml:space="preserve">to the Administrative Agent, for the account of each Lender in accordance with its Applicable Percentage, a participation fee with respect to the Lenders’ participations in Letters of Credit, which shall accrue (A) in the case of each Performance Standby Letter of Credit, at the Performance Standby LC Participation Fee Rate on the average daily Dollar Equivalent amount available to be drawn under such Performance Standby Letter of Credit during the period from and including the date of issuance of such Letter of Credit to but excluding the </w:t>
      </w:r>
      <w:r>
        <w:rPr>
          <w:rFonts w:ascii="Arial" w:cs="Arial" w:eastAsia="Arial" w:hAnsi="Arial"/>
          <w:sz w:val="17"/>
          <w:szCs w:val="17"/>
          <w:b w:val="1"/>
          <w:bCs w:val="1"/>
          <w:color w:val="auto"/>
        </w:rPr>
        <w:t>earlier of</w:t>
      </w:r>
      <w:r>
        <w:rPr>
          <w:rFonts w:ascii="Arial" w:cs="Arial" w:eastAsia="Arial" w:hAnsi="Arial"/>
          <w:sz w:val="17"/>
          <w:szCs w:val="17"/>
          <w:color w:val="auto"/>
        </w:rPr>
        <w:t xml:space="preserve"> (1) the date on which such Letter of Credit expires or terminates and (2) the Existing Maturity Date (in the case of Non-Extending Lenders) or the Extended Maturity Date (in the case of Extending Lenders), and (B) in the case of each Financial Standby Letter of Credit, at the Financial Standby LC Participation Fee Rate on the average daily Dollar Equivalent amount available to be drawn under such Financial Standby Letter of Credit during the period from and including the date of issuance of such Letter of Credit to but excluding the </w:t>
      </w:r>
      <w:r>
        <w:rPr>
          <w:rFonts w:ascii="Arial" w:cs="Arial" w:eastAsia="Arial" w:hAnsi="Arial"/>
          <w:sz w:val="17"/>
          <w:szCs w:val="17"/>
          <w:b w:val="1"/>
          <w:bCs w:val="1"/>
          <w:color w:val="auto"/>
        </w:rPr>
        <w:t>earlier of</w:t>
      </w:r>
      <w:r>
        <w:rPr>
          <w:rFonts w:ascii="Arial" w:cs="Arial" w:eastAsia="Arial" w:hAnsi="Arial"/>
          <w:sz w:val="17"/>
          <w:szCs w:val="17"/>
          <w:color w:val="auto"/>
        </w:rPr>
        <w:t xml:space="preserve"> (1) the date on which such Letter of Credit expires or terminates and (2) the Existing Maturity Date (in the case of Non-Extending Lenders) or the Extended Maturity Date (in the case of Extending Lenders); and</w:t>
      </w:r>
    </w:p>
    <w:p>
      <w:pPr>
        <w:spacing w:after="0" w:line="177" w:lineRule="exact"/>
        <w:rPr>
          <w:rFonts w:ascii="Arial" w:cs="Arial" w:eastAsia="Arial" w:hAnsi="Arial"/>
          <w:sz w:val="17"/>
          <w:szCs w:val="17"/>
          <w:color w:val="auto"/>
        </w:rPr>
      </w:pPr>
    </w:p>
    <w:p>
      <w:pPr>
        <w:ind w:left="660" w:right="100" w:firstLine="1293"/>
        <w:spacing w:after="0" w:line="257" w:lineRule="auto"/>
        <w:tabs>
          <w:tab w:leader="none" w:pos="2671" w:val="left"/>
        </w:tabs>
        <w:numPr>
          <w:ilvl w:val="1"/>
          <w:numId w:val="94"/>
        </w:numPr>
        <w:rPr>
          <w:rFonts w:ascii="Arial" w:cs="Arial" w:eastAsia="Arial" w:hAnsi="Arial"/>
          <w:sz w:val="18"/>
          <w:szCs w:val="18"/>
          <w:color w:val="auto"/>
        </w:rPr>
      </w:pPr>
      <w:r>
        <w:rPr>
          <w:rFonts w:ascii="Arial" w:cs="Arial" w:eastAsia="Arial" w:hAnsi="Arial"/>
          <w:sz w:val="18"/>
          <w:szCs w:val="18"/>
          <w:color w:val="auto"/>
        </w:rPr>
        <w:t>to each Issuing Bank, for its own account, a fronting fee with respect to each Letter of Credit issued by such Issuing Bank, which shall accrue at the rate of 0.200% per annum on the average daily Dollar Equivalent amount available to be drawn under such Letter of Credit during the period from and including the date of issuance of such Letter of Credit to but excluding the date on which such Letter of Credit expires or terminates, as well as such Issuing Bank’s standard fees with respect to the issuance, amendment, renewal or extension of such Letter of Credit or processing of drawings thereunder.</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Participation fees and fronting fees accrued through and including the last day of March, June, September and December of each year shall be payable in arrears in Dollars on the third Business Day after such last day, commencing on the first such date to occur after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such fees shall be payable to the Non-Extending Lenders on the Existing Maturity Date, to the Extending Lenders on the Extended Maturity Date and to all Lenders on any other date on which the aggregate Commitments terminate, and any such fees accruing after the date on which the aggregate Commitments terminate shall be payable on demand. Any other fees payable to any Issuing Bank pursuant to this paragraph shall be payable in Dollars within 10 days after demand. All participation fees and fronting fees shall be computed on the basis of a year of 365 or 366 days, as applicable, and shall be payable for the actual number of days elapsed (including the first day but excluding the last day). The amount of participation and fronting fees payable hereunder shall be set forth in a written invoice or other notice delivered 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Borrowers by the Administrative Agent or, in the case of fronting fees, by the applicable Issuing Bank.</w:t>
      </w:r>
    </w:p>
    <w:p>
      <w:pPr>
        <w:sectPr>
          <w:pgSz w:w="11900" w:h="16838" w:orient="portrait"/>
          <w:cols w:equalWidth="0" w:num="1">
            <w:col w:w="11420"/>
          </w:cols>
          <w:pgMar w:left="240" w:top="125" w:right="239" w:bottom="32" w:gutter="0" w:footer="0" w:header="0"/>
        </w:sectPr>
      </w:pPr>
    </w:p>
    <w:bookmarkStart w:id="47" w:name="page48"/>
    <w:bookmarkEnd w:id="47"/>
    <w:p>
      <w:pPr>
        <w:ind w:right="200" w:firstLine="1305"/>
        <w:spacing w:after="0" w:line="277" w:lineRule="auto"/>
        <w:tabs>
          <w:tab w:leader="none" w:pos="199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Borrowers, jointly and severally, agree to pay to the Administrative Agent, for its own account, fees payable in the amounts and at the times separately agreed upon between WIL-Bermuda and the Administrative Agent.</w:t>
      </w:r>
    </w:p>
    <w:p>
      <w:pPr>
        <w:spacing w:after="0" w:line="170" w:lineRule="exact"/>
        <w:rPr>
          <w:rFonts w:ascii="Arial" w:cs="Arial" w:eastAsia="Arial" w:hAnsi="Arial"/>
          <w:sz w:val="18"/>
          <w:szCs w:val="18"/>
          <w:color w:val="auto"/>
        </w:rPr>
      </w:pPr>
    </w:p>
    <w:p>
      <w:pPr>
        <w:ind w:right="80" w:firstLine="1305"/>
        <w:spacing w:after="0" w:line="279" w:lineRule="auto"/>
        <w:tabs>
          <w:tab w:leader="none" w:pos="2001"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All fees payable hereunder shall be paid on the dates due, in immediately available funds, to the Administrative Agent (or to any Issuing Bank, in the case of fees payable to it) for ratable distribution, in the case of facility fees, utilization fees and participation fees to the extent described in this </w:t>
      </w:r>
      <w:r>
        <w:rPr>
          <w:rFonts w:ascii="Arial" w:cs="Arial" w:eastAsia="Arial" w:hAnsi="Arial"/>
          <w:sz w:val="17"/>
          <w:szCs w:val="17"/>
          <w:u w:val="single" w:color="auto"/>
          <w:color w:val="auto"/>
        </w:rPr>
        <w:t>Section 2.09</w:t>
      </w:r>
      <w:r>
        <w:rPr>
          <w:rFonts w:ascii="Arial" w:cs="Arial" w:eastAsia="Arial" w:hAnsi="Arial"/>
          <w:sz w:val="17"/>
          <w:szCs w:val="17"/>
          <w:color w:val="auto"/>
        </w:rPr>
        <w:t>, to the applicable Lenders. Fees paid shall not be refundable under any circumstances (unless otherwise agreed by the Administrative Agent with respect to fees payable to the Administrative Agent for its own account).</w:t>
      </w:r>
    </w:p>
    <w:p>
      <w:pPr>
        <w:spacing w:after="0" w:line="17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ind w:left="2000" w:hanging="695"/>
        <w:spacing w:after="0"/>
        <w:tabs>
          <w:tab w:leader="none" w:pos="20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Loans comprising each ABR Revolving Credit Borrowing shall bear interest at the Alternate Base Rate plus the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Margin.</w:t>
      </w:r>
    </w:p>
    <w:p>
      <w:pPr>
        <w:spacing w:after="0" w:line="211" w:lineRule="exact"/>
        <w:rPr>
          <w:sz w:val="20"/>
          <w:szCs w:val="20"/>
          <w:color w:val="auto"/>
        </w:rPr>
      </w:pPr>
    </w:p>
    <w:p>
      <w:pPr>
        <w:ind w:right="100" w:firstLine="1305"/>
        <w:spacing w:after="0" w:line="277" w:lineRule="auto"/>
        <w:tabs>
          <w:tab w:leader="none" w:pos="2001"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Loans comprising each Eurodollar Revolving Credit Borrowing shall bear interest at the Adjusted LIBO Rate for the Interest Period in effect for such Borrowing plus the Applicable Margin.</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Swingline Loans shall bear interest at the rates specified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5"/>
        <w:spacing w:after="0" w:line="257" w:lineRule="auto"/>
        <w:tabs>
          <w:tab w:leader="none" w:pos="2001"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Notwithstanding the foregoing, if any principal of or interest on any Loan or any fee or other amount payable by the Borrowers hereunder is not paid when due, whether at stated maturity, upon acceleration or otherwise, such overdue amount shall bear interest, after as well as before judgment, at a rate per annum equal to (i) in the case of overdue principal of any Loan, 2.000% plus the rate otherwise applicable to such Loan as provided in </w:t>
      </w:r>
      <w:r>
        <w:rPr>
          <w:rFonts w:ascii="Arial" w:cs="Arial" w:eastAsia="Arial" w:hAnsi="Arial"/>
          <w:sz w:val="18"/>
          <w:szCs w:val="18"/>
          <w:u w:val="single" w:color="auto"/>
          <w:color w:val="auto"/>
        </w:rPr>
        <w:t>Sections 2.10(a)</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2.10(c)</w:t>
      </w:r>
      <w:r>
        <w:rPr>
          <w:rFonts w:ascii="Arial" w:cs="Arial" w:eastAsia="Arial" w:hAnsi="Arial"/>
          <w:sz w:val="18"/>
          <w:szCs w:val="18"/>
          <w:color w:val="auto"/>
        </w:rPr>
        <w:t xml:space="preserve"> or (ii) in the case of any other amount, 2.000% plus the rate applicable to ABR Revolving Credit Borrowings as provided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40" w:firstLine="1305"/>
        <w:spacing w:after="0" w:line="255" w:lineRule="auto"/>
        <w:tabs>
          <w:tab w:leader="none" w:pos="1991"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Accrued interest on each Loan shall be payable in arrears on each Interest Payment Date for such Loan and upon termination of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shall be payable on demand, (ii) in the event of any repayment or prepayment of any Loan (other than a prepayment of an ABR Revolving Credit Loan to a Lender prior to the end of the Availability Period applicable to such Lender),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93" w:lineRule="exact"/>
        <w:rPr>
          <w:rFonts w:ascii="Arial" w:cs="Arial" w:eastAsia="Arial" w:hAnsi="Arial"/>
          <w:sz w:val="18"/>
          <w:szCs w:val="18"/>
          <w:color w:val="auto"/>
        </w:rPr>
      </w:pPr>
    </w:p>
    <w:p>
      <w:pPr>
        <w:ind w:right="160" w:firstLine="1305"/>
        <w:spacing w:after="0" w:line="259" w:lineRule="auto"/>
        <w:tabs>
          <w:tab w:leader="none" w:pos="2016"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Rate, Adjusted LIBO Rate or LIBO Rate shall be determined by the Administrative Agent in accordance with the terms hereof, and such determination shall be presumed correct absent manifest error.</w:t>
      </w:r>
    </w:p>
    <w:p>
      <w:pPr>
        <w:spacing w:after="0" w:line="170" w:lineRule="exact"/>
        <w:rPr>
          <w:sz w:val="20"/>
          <w:szCs w:val="20"/>
          <w:color w:val="auto"/>
        </w:rPr>
      </w:pPr>
    </w:p>
    <w:p>
      <w:pPr>
        <w:ind w:firstLine="1305"/>
        <w:spacing w:after="0" w:line="286" w:lineRule="auto"/>
        <w:tabs>
          <w:tab w:leader="none" w:pos="2001"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The interest rates provided for in this Agreement with respect to any Swiss Obligor, including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are minimum interest rates. When entering into this Agreement, the parties have assumed that the interest payable at the rates set out in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or in other Sections of this Agreement is not and will not become subject to Swiss Withholding Tax. Notwithstanding that the parties do not anticipate that any payment of interest will be subject to Swiss Withholding Tax, they agree that, in the event that Swiss Withholding Tax is imposed on interest payments, the payment of interest due by a Swiss Obligor shall, in line with and subject to </w:t>
      </w:r>
      <w:r>
        <w:rPr>
          <w:rFonts w:ascii="Arial" w:cs="Arial" w:eastAsia="Arial" w:hAnsi="Arial"/>
          <w:sz w:val="16"/>
          <w:szCs w:val="16"/>
          <w:u w:val="single" w:color="auto"/>
          <w:color w:val="auto"/>
        </w:rPr>
        <w:t>Section 4.02</w:t>
      </w:r>
      <w:r>
        <w:rPr>
          <w:rFonts w:ascii="Arial" w:cs="Arial" w:eastAsia="Arial" w:hAnsi="Arial"/>
          <w:sz w:val="16"/>
          <w:szCs w:val="16"/>
          <w:color w:val="auto"/>
        </w:rPr>
        <w:t>, including any limitations therein and any obligations thereunder, be increased to an amount which (after making any deduction of the Non-Refundable Portion (as defined below) of the Swiss Withholding Tax) results in a payment to each Lender entitled to such payment of an amount equal to the payment which would have been due had no deduction of the Swiss Withholding Tax been required. For this purpose, the Swiss Withholding Tax shall be calculated on the full grossed-up interest amount. For the purposes of this Section, “Non-Refundable Portion” shall mean the Swiss Withholding Tax at the standard rate (being, as at the date hereof, 35%) unless a tax ruling issued by the Swiss Federal Tax Administration confirms that, in relation to a specific Lender based on an applicable double tax treaty, the Non-Refundable Portion is a specified lower rate, in which case such lower rate shall be applied in relation to such Lender. The Lenders shall provide to the Swiss Obligors all reasonably requested information, and otherwise reasonably cooperate, to obtain such Swiss tax ruling. Each Swiss Obligor shall provide to the Administrative Agent the documents required by law or applicable double taxation treaties for the Lenders to claim a refund of any Swiss Withholding Tax so deducted.</w:t>
      </w:r>
    </w:p>
    <w:p>
      <w:pPr>
        <w:spacing w:after="0" w:line="17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Alternate Rate of Interest</w:t>
      </w:r>
      <w:r>
        <w:rPr>
          <w:rFonts w:ascii="Arial" w:cs="Arial" w:eastAsia="Arial" w:hAnsi="Arial"/>
          <w:sz w:val="16"/>
          <w:szCs w:val="16"/>
          <w:color w:val="auto"/>
        </w:rPr>
        <w:t>.</w:t>
      </w:r>
    </w:p>
    <w:p>
      <w:pPr>
        <w:spacing w:after="0" w:line="225" w:lineRule="exact"/>
        <w:rPr>
          <w:sz w:val="20"/>
          <w:szCs w:val="20"/>
          <w:color w:val="auto"/>
        </w:rPr>
      </w:pPr>
    </w:p>
    <w:p>
      <w:pPr>
        <w:ind w:left="2000" w:hanging="695"/>
        <w:spacing w:after="0"/>
        <w:tabs>
          <w:tab w:leader="none" w:pos="2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prior to the commencement of any Interest Period for a Eurodollar Borrowing:</w:t>
      </w:r>
    </w:p>
    <w:p>
      <w:pPr>
        <w:spacing w:after="0" w:line="225" w:lineRule="exact"/>
        <w:rPr>
          <w:rFonts w:ascii="Arial" w:cs="Arial" w:eastAsia="Arial" w:hAnsi="Arial"/>
          <w:sz w:val="18"/>
          <w:szCs w:val="18"/>
          <w:color w:val="auto"/>
        </w:rPr>
      </w:pPr>
    </w:p>
    <w:p>
      <w:pPr>
        <w:jc w:val="both"/>
        <w:ind w:left="660" w:right="160" w:firstLine="1293"/>
        <w:spacing w:after="0" w:line="264" w:lineRule="auto"/>
        <w:tabs>
          <w:tab w:leader="none" w:pos="2666"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Administrative Agent reasonably determines (which determination shall be presumed correct absent manifest error) that adequate and reasonable means do not exist for ascertaining the Adjusted LIBO Rate or the LIBO Rate, as applicable, for such Interest Period; or</w:t>
      </w:r>
    </w:p>
    <w:p>
      <w:pPr>
        <w:spacing w:after="0" w:line="181" w:lineRule="exact"/>
        <w:rPr>
          <w:rFonts w:ascii="Arial" w:cs="Arial" w:eastAsia="Arial" w:hAnsi="Arial"/>
          <w:sz w:val="18"/>
          <w:szCs w:val="18"/>
          <w:color w:val="auto"/>
        </w:rPr>
      </w:pPr>
    </w:p>
    <w:p>
      <w:pPr>
        <w:ind w:left="660" w:right="200" w:firstLine="1293"/>
        <w:spacing w:after="0" w:line="264" w:lineRule="auto"/>
        <w:tabs>
          <w:tab w:leader="none" w:pos="2671"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the Adjusted LIBO Rate or the LIBO Rate, as applicable, for such Interest Period will not adequately and fairly reflect the cost to such Lenders of making or maintaining their Loans included in such Eurodollar Borrowing for such Interest Period;</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then the Administrative Agent shall give written notice (by facsimile transmission or electronic transmission (in .pdf format)) thereof to the Borrowers and the Lenders as promptly as practicable thereafter and, until the Administrative Agent notifies the Borrowers and the Lenders that the circumstances giving rise to such notice no longer exist, (i) any Interest Election Request that requests the conversion of any ABR Borrowing to, or continuation of any Eurodollar</w:t>
      </w:r>
    </w:p>
    <w:p>
      <w:pPr>
        <w:sectPr>
          <w:pgSz w:w="11900" w:h="16838" w:orient="portrait"/>
          <w:cols w:equalWidth="0" w:num="1">
            <w:col w:w="11420"/>
          </w:cols>
          <w:pgMar w:left="240" w:top="125" w:right="239" w:bottom="123"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48" w:name="page49"/>
    <w:bookmarkEnd w:id="48"/>
    <w:p>
      <w:pPr>
        <w:spacing w:after="0" w:line="10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Borrowing as, a Eurodollar Borrowing shall be ineffective, and, in the case of any request for the continuation of a Eurodollar Borrowing, such Eurodollar Borrowing shall on the last day of the then current Interest Period applicable thereto be converted to an ABR Borrowing and (ii) if any Borrowing Request requests a Eurodollar Borrowing, such Borrowing shall be made as an ABR Borrowing.</w:t>
      </w:r>
    </w:p>
    <w:p>
      <w:pPr>
        <w:spacing w:after="0" w:line="181" w:lineRule="exact"/>
        <w:rPr>
          <w:sz w:val="20"/>
          <w:szCs w:val="20"/>
          <w:color w:val="auto"/>
        </w:rPr>
      </w:pPr>
    </w:p>
    <w:p>
      <w:pPr>
        <w:ind w:right="40" w:firstLine="1305"/>
        <w:spacing w:after="0" w:line="284" w:lineRule="auto"/>
        <w:tabs>
          <w:tab w:leader="none" w:pos="200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If at any time after the Existing Maturity Date (after giving effect to </w:t>
      </w:r>
      <w:r>
        <w:rPr>
          <w:rFonts w:ascii="Arial" w:cs="Arial" w:eastAsia="Arial" w:hAnsi="Arial"/>
          <w:sz w:val="16"/>
          <w:szCs w:val="16"/>
          <w:u w:val="single" w:color="auto"/>
          <w:color w:val="auto"/>
        </w:rPr>
        <w:t>Section 2.06(a)</w:t>
      </w:r>
      <w:r>
        <w:rPr>
          <w:rFonts w:ascii="Arial" w:cs="Arial" w:eastAsia="Arial" w:hAnsi="Arial"/>
          <w:sz w:val="16"/>
          <w:szCs w:val="16"/>
          <w:color w:val="auto"/>
        </w:rPr>
        <w:t>) the Administrative Agent determines (which determination shall be conclusive absent manifest error) that (i) the circumstances set forth in clause (a)(i) have arisen and such circumstances are unlikely to be temporary or (ii) the circumstances set forth in clause (a)(i) have not arisen but either (w) the supervisor for the administrator of the LIBO Screen Rate has made a public statement that the administrator of the LIBO Screen Rate is insolvent (and there is no successor administrator that will continue publication of the LIBO Screen Rate), (x) the administrator of the LIBO Screen Rate has made a public statement identifying a specific date after which the LIBO Screen Rate will permanently or indefinitely cease to be published by it (and there is no successor administrator that will continue publication of the LIBO Screen Rate), (y) the supervisor for the administrator of the LIBO Screen Rate has made a public statement identifying a specific date after which the LIBO Screen Rate will permanently or indefinitely cease to be published or (z) the supervisor for the administrator of the LIBO Screen Rate or a Governmental Authority having jurisdiction over the Administrative Agent has made a public statement identifying a specific date after which the LIBO Screen Rate may no longer be used for determining interest rates for loans, then the Administrative Agent and the Borrowers shall endeavor to establish an alternate rate of interest to the LIBO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Extending Lender Applicable Rate or, prior to the Existing Maturity Date, the Non-Extending Lender Applicable Rate); provided that, if such alternate rate of interest as so determined would be less than zero, such rate shall be deemed to be zero for the purposes of this Agreement. Notwithstanding anything to the contrary in Section 9.02,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stating that such Required Lenders object to such amendment. Until an alternate rate of interest shall be determined in accordance with this clause (b) (but, in the case of the circumstances described in clause (ii) of the first sentence of this Section 2.14(b), only to the extent the LIBO Screen Rate for such Interest Period is not available or published at such time on a current basis), (x) any Interest Election Request that requests the conversion of any Borrowing to, or continuation of any Borrowing as, a Eurodollar Borrowing shall be ineffective and any such Eurodollar Borrowing shall be repaid or converted into an ABR Borrowing on the last day of the then current Interest Period applicable thereto, and (y) if any Borrowing Request requests a Eurodollar Borrowing, such Borrowing shall be made as an ABR Borrowing.</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w:t>
      </w:r>
    </w:p>
    <w:p>
      <w:pPr>
        <w:spacing w:after="0" w:line="225" w:lineRule="exact"/>
        <w:rPr>
          <w:sz w:val="20"/>
          <w:szCs w:val="20"/>
          <w:color w:val="auto"/>
        </w:rPr>
      </w:pPr>
    </w:p>
    <w:p>
      <w:pPr>
        <w:ind w:left="2000" w:hanging="695"/>
        <w:spacing w:after="0"/>
        <w:tabs>
          <w:tab w:leader="none" w:pos="2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25" w:lineRule="exact"/>
        <w:rPr>
          <w:rFonts w:ascii="Arial" w:cs="Arial" w:eastAsia="Arial" w:hAnsi="Arial"/>
          <w:sz w:val="18"/>
          <w:szCs w:val="18"/>
          <w:color w:val="auto"/>
        </w:rPr>
      </w:pPr>
    </w:p>
    <w:p>
      <w:pPr>
        <w:ind w:left="660" w:right="100" w:firstLine="1293"/>
        <w:spacing w:after="0" w:line="264" w:lineRule="auto"/>
        <w:tabs>
          <w:tab w:leader="none" w:pos="266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 or any Issuing Bank;</w:t>
      </w:r>
    </w:p>
    <w:p>
      <w:pPr>
        <w:spacing w:after="0" w:line="181" w:lineRule="exact"/>
        <w:rPr>
          <w:rFonts w:ascii="Arial" w:cs="Arial" w:eastAsia="Arial" w:hAnsi="Arial"/>
          <w:sz w:val="18"/>
          <w:szCs w:val="18"/>
          <w:color w:val="auto"/>
        </w:rPr>
      </w:pPr>
    </w:p>
    <w:p>
      <w:pPr>
        <w:ind w:left="660" w:right="200" w:firstLine="1293"/>
        <w:spacing w:after="0" w:line="308" w:lineRule="auto"/>
        <w:tabs>
          <w:tab w:leader="none" w:pos="2671" w:val="left"/>
        </w:tabs>
        <w:numPr>
          <w:ilvl w:val="1"/>
          <w:numId w:val="101"/>
        </w:numPr>
        <w:rPr>
          <w:rFonts w:ascii="Arial" w:cs="Arial" w:eastAsia="Arial" w:hAnsi="Arial"/>
          <w:sz w:val="17"/>
          <w:szCs w:val="17"/>
          <w:color w:val="auto"/>
        </w:rPr>
      </w:pPr>
      <w:r>
        <w:rPr>
          <w:rFonts w:ascii="Arial" w:cs="Arial" w:eastAsia="Arial" w:hAnsi="Arial"/>
          <w:sz w:val="17"/>
          <w:szCs w:val="17"/>
          <w:color w:val="auto"/>
        </w:rPr>
        <w:t>impose on any Lender or any Issuing Bank or the London interbank market any other condition, cost or expense (other than Taxes) affecting this Agreement or Eurodollar Loans made by such Lender or any Letter of Credit or participation therein; or</w:t>
      </w:r>
    </w:p>
    <w:p>
      <w:pPr>
        <w:spacing w:after="0" w:line="146" w:lineRule="exact"/>
        <w:rPr>
          <w:rFonts w:ascii="Arial" w:cs="Arial" w:eastAsia="Arial" w:hAnsi="Arial"/>
          <w:sz w:val="17"/>
          <w:szCs w:val="17"/>
          <w:color w:val="auto"/>
        </w:rPr>
      </w:pPr>
    </w:p>
    <w:p>
      <w:pPr>
        <w:jc w:val="both"/>
        <w:ind w:left="660" w:right="100" w:firstLine="1293"/>
        <w:spacing w:after="0" w:line="264" w:lineRule="auto"/>
        <w:tabs>
          <w:tab w:leader="none" w:pos="267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(g) of the definition of Excluded Taxes, (C) Connection Income Taxes, and (D) Other Taxes) on its loans, loan principal, letters of credit, commitments, or other obligations, or its deposits, reserves, other liabilities or capital attributable thereto;</w:t>
      </w:r>
    </w:p>
    <w:p>
      <w:pPr>
        <w:spacing w:after="0" w:line="181" w:lineRule="exact"/>
        <w:rPr>
          <w:sz w:val="20"/>
          <w:szCs w:val="20"/>
          <w:color w:val="auto"/>
        </w:rPr>
      </w:pPr>
    </w:p>
    <w:p>
      <w:pPr>
        <w:ind w:right="380"/>
        <w:spacing w:after="0" w:line="297" w:lineRule="auto"/>
        <w:rPr>
          <w:sz w:val="20"/>
          <w:szCs w:val="20"/>
          <w:color w:val="auto"/>
        </w:rPr>
      </w:pPr>
      <w:r>
        <w:rPr>
          <w:rFonts w:ascii="Arial" w:cs="Arial" w:eastAsia="Arial" w:hAnsi="Arial"/>
          <w:sz w:val="16"/>
          <w:szCs w:val="16"/>
          <w:color w:val="auto"/>
        </w:rPr>
        <w:t>and the result of any of the foregoing shall be to increase the cost to such Lender or such other Recipient of making, continuing, converting into or maintaining any Loan (or of maintaining its obligation to make any such Loan) or to increase the cost to any Recipient of participating in, issuing or maintaining any Letter of Credit or to reduce the amount of any sum received or receivable by such Recipient hereunder (whether of principal, interest or otherwise), then upon written request of such Recipient (with a copy to the Administrative Agent), the Borrowers, jointly and severally, shall pay to such Person such additional amount or amounts as shall compensate such Recipient for such additional costs incurred or reduction suffered.</w:t>
      </w:r>
    </w:p>
    <w:p>
      <w:pPr>
        <w:spacing w:after="0" w:line="158" w:lineRule="exact"/>
        <w:rPr>
          <w:sz w:val="20"/>
          <w:szCs w:val="20"/>
          <w:color w:val="auto"/>
        </w:rPr>
      </w:pPr>
    </w:p>
    <w:p>
      <w:pPr>
        <w:ind w:right="60" w:firstLine="1305"/>
        <w:spacing w:after="0" w:line="270" w:lineRule="auto"/>
        <w:tabs>
          <w:tab w:leader="none" w:pos="200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If any Lender or any Issuing Bank determines in good faith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upon written request of such Lender or Issuing Bank (with a copy to the Administrative Agent), the Borrowers, jointly and severally, shall pay to such Lender or such Issuing Bank, as the case may be, such additional amount or amounts as shall compensate such Lender or such Issuing Bank or such Lender’s or such Issuing Bank’s holding company for any such reduction suffered.</w:t>
      </w:r>
    </w:p>
    <w:p>
      <w:pPr>
        <w:spacing w:after="0" w:line="181" w:lineRule="exact"/>
        <w:rPr>
          <w:rFonts w:ascii="Arial" w:cs="Arial" w:eastAsia="Arial" w:hAnsi="Arial"/>
          <w:sz w:val="17"/>
          <w:szCs w:val="17"/>
          <w:color w:val="auto"/>
        </w:rPr>
      </w:pPr>
    </w:p>
    <w:p>
      <w:pPr>
        <w:ind w:right="300" w:firstLine="1305"/>
        <w:spacing w:after="0" w:line="277" w:lineRule="auto"/>
        <w:tabs>
          <w:tab w:leader="none" w:pos="199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certificate of a Lender or an Issuing Bank setting forth the amount or amounts necessary to compensate such Lender or such Issuing Bank or its holding company,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the case may be, as specified in </w:t>
      </w:r>
      <w:r>
        <w:rPr>
          <w:rFonts w:ascii="Arial" w:cs="Arial" w:eastAsia="Arial" w:hAnsi="Arial"/>
          <w:sz w:val="16"/>
          <w:szCs w:val="16"/>
          <w:u w:val="single" w:color="auto"/>
          <w:color w:val="auto"/>
        </w:rPr>
        <w:t>Section 2.12(a)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along with (i) a calculation of such amount or amounts, (ii) a description of the specific Change in Law that justifies such amounts due and (iii) such other pertinent information related to the foregoing as any Borrower may reasonably request, shall be delivered to the Borrowers and shall be presumed correct absent manifest error. Any Lender’s or Issuing Bank’s determination of any such amount or amounts shall be made in good faith (and not on an arbitrary or capricious basis) and substantially consistent with similarly situated customers of such Person under agreements having provisions similar to </w:t>
      </w:r>
      <w:r>
        <w:rPr>
          <w:rFonts w:ascii="Arial" w:cs="Arial" w:eastAsia="Arial" w:hAnsi="Arial"/>
          <w:sz w:val="16"/>
          <w:szCs w:val="16"/>
          <w:u w:val="single" w:color="auto"/>
          <w:color w:val="auto"/>
        </w:rPr>
        <w:t>Section 2.12(a)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2.12(b)</w:t>
      </w:r>
      <w:r>
        <w:rPr>
          <w:rFonts w:ascii="Arial" w:cs="Arial" w:eastAsia="Arial" w:hAnsi="Arial"/>
          <w:sz w:val="16"/>
          <w:szCs w:val="16"/>
          <w:color w:val="auto"/>
        </w:rPr>
        <w:t>, as applicable, after consideration of such factors as such Person then reasonably</w:t>
      </w:r>
    </w:p>
    <w:p>
      <w:pPr>
        <w:sectPr>
          <w:pgSz w:w="11900" w:h="16941" w:orient="portrait"/>
          <w:cols w:equalWidth="0" w:num="1">
            <w:col w:w="11420"/>
          </w:cols>
          <w:pgMar w:left="240" w:top="341" w:right="239" w:bottom="0" w:gutter="0" w:footer="0" w:header="0"/>
        </w:sectPr>
      </w:pPr>
    </w:p>
    <w:bookmarkStart w:id="49" w:name="page50"/>
    <w:bookmarkEnd w:id="49"/>
    <w:p>
      <w:pPr>
        <w:spacing w:after="0" w:line="277" w:lineRule="auto"/>
        <w:rPr>
          <w:sz w:val="20"/>
          <w:szCs w:val="20"/>
          <w:color w:val="auto"/>
        </w:rPr>
      </w:pPr>
      <w:r>
        <w:rPr>
          <w:rFonts w:ascii="Arial" w:cs="Arial" w:eastAsia="Arial" w:hAnsi="Arial"/>
          <w:sz w:val="18"/>
          <w:szCs w:val="18"/>
          <w:color w:val="auto"/>
        </w:rPr>
        <w:t>determines to be relevant. The Borrowers, jointly and severally, shall pay such Lender or such Issuing Bank, as the case may be, the correct amount shown as due on any such certificate within 10 days after receipt thereof.</w:t>
      </w:r>
    </w:p>
    <w:p>
      <w:pPr>
        <w:spacing w:after="0" w:line="170" w:lineRule="exact"/>
        <w:rPr>
          <w:sz w:val="20"/>
          <w:szCs w:val="20"/>
          <w:color w:val="auto"/>
        </w:rPr>
      </w:pPr>
    </w:p>
    <w:p>
      <w:pPr>
        <w:ind w:right="40" w:firstLine="1305"/>
        <w:spacing w:after="0" w:line="293" w:lineRule="auto"/>
        <w:tabs>
          <w:tab w:leader="none" w:pos="200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Borrower shall be required to compensate a Lender or an Issuing Bank pursuant to this Section for any increased costs or reductions incurred more than 120 days prior to the date that such Lender or such Issuing Bank, as the case may be, delivers written notice to the Borrowers of the Change in Law giving rise to such increased costs or reductions and of such Lender’s or such Issuing Bank’s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120-day period referred to above shall be extended to include the period of retroactive effect thereof.</w:t>
      </w:r>
    </w:p>
    <w:p>
      <w:pPr>
        <w:spacing w:after="0" w:line="164" w:lineRule="exact"/>
        <w:rPr>
          <w:rFonts w:ascii="Arial" w:cs="Arial" w:eastAsia="Arial" w:hAnsi="Arial"/>
          <w:sz w:val="16"/>
          <w:szCs w:val="16"/>
          <w:color w:val="auto"/>
        </w:rPr>
      </w:pPr>
    </w:p>
    <w:p>
      <w:pPr>
        <w:ind w:left="2000" w:hanging="695"/>
        <w:spacing w:after="0"/>
        <w:tabs>
          <w:tab w:leader="none" w:pos="2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Each Lender requesting compensation under this Section shall comply with </w:t>
      </w:r>
      <w:r>
        <w:rPr>
          <w:rFonts w:ascii="Arial" w:cs="Arial" w:eastAsia="Arial" w:hAnsi="Arial"/>
          <w:sz w:val="18"/>
          <w:szCs w:val="18"/>
          <w:u w:val="single" w:color="auto"/>
          <w:color w:val="auto"/>
        </w:rPr>
        <w:t>Section 4.03(a)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xml:space="preserve">. In the event of (a) the payment of any principal of any Eurodollar Loan other than on the last day of an Interest Period applicable thereto (including as a result of an Event of Default or as a result of any prepayment or reallocation of Revolving Credit Exposures pursuant to or as a result of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or 2.08), (b) the conversion of any Eurodollar Loan other than on the last day of the Interest Period applicable thereto, (c) the failure (for a reason other than the failure of a Lender to fund a Loan or a portion thereof required to be funded hereunder) to borrow, convert, continue or prepay any Eurodollar Loan on the date specified in any notice delivered pursuant hereto (regardless of whether such notice may be revoked under </w:t>
      </w:r>
      <w:r>
        <w:rPr>
          <w:rFonts w:ascii="Arial" w:cs="Arial" w:eastAsia="Arial" w:hAnsi="Arial"/>
          <w:sz w:val="16"/>
          <w:szCs w:val="16"/>
          <w:u w:val="single" w:color="auto"/>
          <w:color w:val="auto"/>
        </w:rPr>
        <w:t>Section 2.08(b)</w:t>
      </w:r>
      <w:r>
        <w:rPr>
          <w:rFonts w:ascii="Arial" w:cs="Arial" w:eastAsia="Arial" w:hAnsi="Arial"/>
          <w:sz w:val="16"/>
          <w:szCs w:val="16"/>
          <w:color w:val="auto"/>
        </w:rPr>
        <w:t xml:space="preserve"> and is revoked in accordance therewith), or (d) the assignment of any Eurodollar Loan other than on the last day of the Interest Period applicable thereto as a result of an assignment required by the Borrowers pursuant to </w:t>
      </w:r>
      <w:r>
        <w:rPr>
          <w:rFonts w:ascii="Arial" w:cs="Arial" w:eastAsia="Arial" w:hAnsi="Arial"/>
          <w:sz w:val="16"/>
          <w:szCs w:val="16"/>
          <w:u w:val="single" w:color="auto"/>
          <w:color w:val="auto"/>
        </w:rPr>
        <w:t>Section 4.03(b)</w:t>
      </w:r>
      <w:r>
        <w:rPr>
          <w:rFonts w:ascii="Arial" w:cs="Arial" w:eastAsia="Arial" w:hAnsi="Arial"/>
          <w:sz w:val="16"/>
          <w:szCs w:val="16"/>
          <w:color w:val="auto"/>
        </w:rPr>
        <w:t>, then, in any such event, upon written demand by a Lender (with a copy to the Administrative Agent) the Borrowers, jointly and severally, shall compensate each Lender for the loss, cost and expense attributable to such event. In the case of a Eurodollar Loan, such loss, cost or expense to any Lender shall be deemed to include an amount reasonably determined by such Lender to be the excess, if any, of (i) the amount of interest which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2001520</wp:posOffset>
            </wp:positionH>
            <wp:positionV relativeFrom="paragraph">
              <wp:posOffset>-1414145</wp:posOffset>
            </wp:positionV>
            <wp:extent cx="2286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rate which such Lender would bid were it to bid, at the commencement of such period, for deposits in the applicable currency of a comparable amount and period from other banks in the eurodollar market. A certificate of any Lender setting forth in reasonable detail any amount or amounts that such Lender is entitled to receive pursuant to this Section shall be delivered to the Borrowers (with a copy to the Administrative Agent) and shall be presumed correct absent manifest error, and shall set forth a calculation of such amounts and such other information as any Borrower may reasonably request. The Borrowers, jointly and severally, shall pay such Lender the amount shown as due on any such certificate within 10 days after receipt thereof.</w:t>
      </w:r>
    </w:p>
    <w:p>
      <w:pPr>
        <w:spacing w:after="0" w:line="15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Agreement to Defer Exercise of Right of Contribution, Etc.</w:t>
      </w:r>
      <w:r>
        <w:rPr>
          <w:rFonts w:ascii="Arial" w:cs="Arial" w:eastAsia="Arial" w:hAnsi="Arial"/>
          <w:sz w:val="17"/>
          <w:szCs w:val="17"/>
          <w:color w:val="auto"/>
        </w:rPr>
        <w:t xml:space="preserve"> Notwithstanding any payment or payments made by a Borrower (a “</w:t>
      </w:r>
      <w:r>
        <w:rPr>
          <w:rFonts w:ascii="Arial" w:cs="Arial" w:eastAsia="Arial" w:hAnsi="Arial"/>
          <w:sz w:val="17"/>
          <w:szCs w:val="17"/>
          <w:u w:val="single" w:color="auto"/>
          <w:color w:val="auto"/>
        </w:rPr>
        <w:t>Paying Borrower</w:t>
      </w:r>
      <w:r>
        <w:rPr>
          <w:rFonts w:ascii="Arial" w:cs="Arial" w:eastAsia="Arial" w:hAnsi="Arial"/>
          <w:sz w:val="17"/>
          <w:szCs w:val="17"/>
          <w:color w:val="auto"/>
        </w:rPr>
        <w:t xml:space="preserve">”) hereunder, or any setoff or application by the Administrative Agent or any Lender of any security furnished by, or of any credits or claims against, such Paying Borrower, if an Event of Default has occurred and is continuing, such Paying Borrower will not assert or exercise any rights of the Administrative Agent or any Lender or of its own, against any other Borrower to recover the amount of any such payment, setoff or application by the Administrative Agent or any Lender, whether by way of assertion of any claim, or exercise of any remedy or right of subrogation, reimbursement, exoneration, contribution, indemnification, participation or otherwise, and whether arising by contract, by statute, under common law or otherwise, and, if an Event of Default has occurred and is continuing, such Paying Borrower shall not have any right to exercise any right of recourse to or any claim against assets or property of the other Borrowers for such amounts, in each case unless and until all of the Obligations of the Borrowers have been fully and finally satisfied. If any amount shall be paid to a Paying Borrower by any other Borrower after payment in full of the Obligations, and the Obligations shall thereafter be reinstated in whole or in part and the Administrative Agent or any Lender is forced to repay to any Borrower any sums received in payment of the Obligations, the obligations of each Borrower hereunder shall be automatically </w:t>
      </w:r>
      <w:r>
        <w:rPr>
          <w:rFonts w:ascii="Arial" w:cs="Arial" w:eastAsia="Arial" w:hAnsi="Arial"/>
          <w:sz w:val="17"/>
          <w:szCs w:val="17"/>
          <w:i w:val="1"/>
          <w:iCs w:val="1"/>
          <w:color w:val="auto"/>
        </w:rPr>
        <w:t>pro tanto</w:t>
      </w:r>
      <w:r>
        <w:rPr>
          <w:rFonts w:ascii="Arial" w:cs="Arial" w:eastAsia="Arial" w:hAnsi="Arial"/>
          <w:sz w:val="17"/>
          <w:szCs w:val="17"/>
          <w:color w:val="auto"/>
        </w:rPr>
        <w:t xml:space="preserve"> reinstated and such amount shall be held in trust by the payee thereof for the benefit of the Administrative Agent and the Lenders and shall forthwith be paid to the Administrative Agent to be credited and applied to the Obligations, whether matured or unmatured.</w:t>
      </w:r>
    </w:p>
    <w:p>
      <w:pPr>
        <w:spacing w:after="0" w:line="18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u w:val="single" w:color="auto"/>
          <w:color w:val="auto"/>
        </w:rPr>
        <w:t>RESERVED</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6"/>
          <w:szCs w:val="16"/>
          <w:u w:val="single" w:color="auto"/>
          <w:color w:val="auto"/>
        </w:rPr>
        <w:t>Determination of Exchange Rates; Prepayment of Loans as a Result of Currency Fluctuations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79" w:lineRule="auto"/>
        <w:tabs>
          <w:tab w:leader="none" w:pos="194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Administrative Agent shall determine the Exchange Rates (in accordance with the definition thereof) as of each Revaluation Date to be used for calculating Dollar Equivalent amounts in respect of the amounts available for drawing under outstanding Letters of Credit denominated in Alternative Currencies. Such Exchange Rates shall become effective as of such Revaluation Date and shall be the Exchange Rates employed in converting any amounts between the applicable Alternative Currencies until the next Revaluation Date to occur.</w:t>
      </w:r>
    </w:p>
    <w:p>
      <w:pPr>
        <w:spacing w:after="0" w:line="171" w:lineRule="exact"/>
        <w:rPr>
          <w:rFonts w:ascii="Arial" w:cs="Arial" w:eastAsia="Arial" w:hAnsi="Arial"/>
          <w:sz w:val="17"/>
          <w:szCs w:val="17"/>
          <w:color w:val="auto"/>
        </w:rPr>
      </w:pPr>
    </w:p>
    <w:p>
      <w:pPr>
        <w:ind w:right="700" w:firstLine="1305"/>
        <w:spacing w:after="0" w:line="342" w:lineRule="auto"/>
        <w:tabs>
          <w:tab w:leader="none" w:pos="195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as a result of fluctuations in Exchange Rates (which shall be calculated in accordance with the definition thereof by the Administrative Agent on each Revaluation Date), the Administrative Agent notifies the Borrowers in writing that the Total Revolving Credit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Exposure exceeds 100% of the aggregate Commitments, the Borrowers shall, within three Business Days following receipt of such notice, prepay outstanding Loans in an amount equal to such excess or, if such excess is greater than the amount of all outstanding Loans, the Borrowers shall, within three Business Days following receipt of such notice, prepay all outstanding Loans and deliver to the Administrative Agent cash collateral in an amount equal to the remaining excess after giving effect to such prepayment.</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225" w:lineRule="exact"/>
        <w:rPr>
          <w:sz w:val="20"/>
          <w:szCs w:val="20"/>
          <w:color w:val="auto"/>
        </w:rPr>
      </w:pPr>
    </w:p>
    <w:p>
      <w:pPr>
        <w:ind w:right="540" w:firstLine="1305"/>
        <w:spacing w:after="0" w:line="277" w:lineRule="auto"/>
        <w:tabs>
          <w:tab w:leader="none" w:pos="194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Notwithstanding any provision of any Loan Document to the contrary, if any Lender becomes a Defaulting Lender, then the following provisions shall apply for so long as such Lender is a Defaulting Lender:</w:t>
      </w:r>
    </w:p>
    <w:p>
      <w:pPr>
        <w:sectPr>
          <w:pgSz w:w="11900" w:h="16838" w:orient="portrait"/>
          <w:cols w:equalWidth="0" w:num="1">
            <w:col w:w="11400"/>
          </w:cols>
          <w:pgMar w:left="240" w:top="125" w:right="259" w:bottom="0" w:gutter="0" w:footer="0" w:header="0"/>
        </w:sectPr>
      </w:pPr>
    </w:p>
    <w:bookmarkStart w:id="50" w:name="page51"/>
    <w:bookmarkEnd w:id="50"/>
    <w:p>
      <w:pPr>
        <w:spacing w:after="0" w:line="96" w:lineRule="exact"/>
        <w:rPr>
          <w:sz w:val="20"/>
          <w:szCs w:val="20"/>
          <w:color w:val="auto"/>
        </w:rPr>
      </w:pPr>
    </w:p>
    <w:p>
      <w:pPr>
        <w:ind w:left="2620" w:hanging="667"/>
        <w:spacing w:after="0"/>
        <w:tabs>
          <w:tab w:leader="none" w:pos="26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facility fees shall cease to accrue on the unfunded portion of the Commitment of such Defaulting Lender pursuant to</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211" w:lineRule="exact"/>
        <w:rPr>
          <w:sz w:val="20"/>
          <w:szCs w:val="20"/>
          <w:color w:val="auto"/>
        </w:rPr>
      </w:pPr>
    </w:p>
    <w:p>
      <w:pPr>
        <w:jc w:val="both"/>
        <w:ind w:left="660" w:right="60" w:firstLine="1293"/>
        <w:spacing w:after="0" w:line="302" w:lineRule="auto"/>
        <w:tabs>
          <w:tab w:leader="none" w:pos="263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the Commitment and Revolving Credit Exposure of such Defaulting Lender shall not be included in determining whether the Required Lenders have taken or may take any action hereunder (including any consent to any amendment, waiver or other modification pursuant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this clause (ii) shall not apply to the vote of a Defaulting Lender in the case of an amendment, waiver or other modification described in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for which such Defaulting Lender’s consent is expressly required;</w:t>
      </w:r>
    </w:p>
    <w:p>
      <w:pPr>
        <w:spacing w:after="0" w:line="154" w:lineRule="exact"/>
        <w:rPr>
          <w:rFonts w:ascii="Arial" w:cs="Arial" w:eastAsia="Arial" w:hAnsi="Arial"/>
          <w:sz w:val="16"/>
          <w:szCs w:val="16"/>
          <w:color w:val="auto"/>
        </w:rPr>
      </w:pPr>
    </w:p>
    <w:p>
      <w:pPr>
        <w:ind w:left="2640" w:hanging="687"/>
        <w:spacing w:after="0"/>
        <w:tabs>
          <w:tab w:leader="none" w:pos="2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any Swingline Exposure or LC Exposure exists at the time such Lender becomes a Defaulting Lender, then:</w:t>
      </w:r>
    </w:p>
    <w:p>
      <w:pPr>
        <w:spacing w:after="0" w:line="225" w:lineRule="exact"/>
        <w:rPr>
          <w:sz w:val="20"/>
          <w:szCs w:val="20"/>
          <w:color w:val="auto"/>
        </w:rPr>
      </w:pPr>
    </w:p>
    <w:p>
      <w:pPr>
        <w:ind w:left="1300" w:right="100" w:firstLine="653"/>
        <w:spacing w:after="0" w:line="255" w:lineRule="auto"/>
        <w:tabs>
          <w:tab w:leader="none" w:pos="261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or any part of the Swingline Exposure and LC Exposure of such Defaulting Lender shall be automatically reallocated (effective as of the date such Lender becomes a Defaulting Lender) among the non-Defaulting Lenders in accordance with their respective Applicable Percentages, but only to the extent that (x) each non-Defaulting Lender’s Revolving Credit Exposure does not exceed the Commitment of such non-Defaulting Lender, (y) the sum of all non-Defaulting Lenders’ Revolving Credit Exposures plus such Defaulting Lender’s Swingline Exposure and LC Exposure does not exceed the total of all non-Defaulting Lenders’ Commitments and (z) no Event of Default has occurred and is continuing;</w:t>
      </w:r>
    </w:p>
    <w:p>
      <w:pPr>
        <w:spacing w:after="0" w:line="193" w:lineRule="exact"/>
        <w:rPr>
          <w:rFonts w:ascii="Arial" w:cs="Arial" w:eastAsia="Arial" w:hAnsi="Arial"/>
          <w:sz w:val="18"/>
          <w:szCs w:val="18"/>
          <w:color w:val="auto"/>
        </w:rPr>
      </w:pPr>
    </w:p>
    <w:p>
      <w:pPr>
        <w:ind w:left="1300" w:right="160" w:firstLine="653"/>
        <w:spacing w:after="0" w:line="255" w:lineRule="auto"/>
        <w:tabs>
          <w:tab w:leader="none" w:pos="260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if the reallocation described in clause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above cannot, or can only partially, be effected, the Borrowers shall, within three Business Days following the Borrowers’ receipt of written notice from the Administrative Agent, (x) first, prepay such Swingline Exposure and (y) second, cash collateralize, for the benefit of the applicable Issuing Banks, the Borrowers’ obligations corresponding to such Defaulting Lender’s LC Exposure (after giving effect to any partial reallocation pursuant to clause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above) in accordance with the procedures set forth in </w:t>
      </w:r>
      <w:r>
        <w:rPr>
          <w:rFonts w:ascii="Arial" w:cs="Arial" w:eastAsia="Arial" w:hAnsi="Arial"/>
          <w:sz w:val="18"/>
          <w:szCs w:val="18"/>
          <w:u w:val="single" w:color="auto"/>
          <w:color w:val="auto"/>
        </w:rPr>
        <w:t>Section 3.01(j)(i)</w:t>
      </w:r>
      <w:r>
        <w:rPr>
          <w:rFonts w:ascii="Arial" w:cs="Arial" w:eastAsia="Arial" w:hAnsi="Arial"/>
          <w:sz w:val="18"/>
          <w:szCs w:val="18"/>
          <w:color w:val="auto"/>
        </w:rPr>
        <w:t xml:space="preserve"> (and the cash so deposited shall be held, invested and applied by such Issuing Bank in a manner consistent with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investment and other procedures described in </w:t>
      </w:r>
      <w:r>
        <w:rPr>
          <w:rFonts w:ascii="Arial" w:cs="Arial" w:eastAsia="Arial" w:hAnsi="Arial"/>
          <w:sz w:val="18"/>
          <w:szCs w:val="18"/>
          <w:u w:val="single" w:color="auto"/>
          <w:color w:val="auto"/>
        </w:rPr>
        <w:t>Section 3.01(j)</w:t>
      </w:r>
      <w:r>
        <w:rPr>
          <w:rFonts w:ascii="Arial" w:cs="Arial" w:eastAsia="Arial" w:hAnsi="Arial"/>
          <w:sz w:val="18"/>
          <w:szCs w:val="18"/>
          <w:color w:val="auto"/>
        </w:rPr>
        <w:t>) for so long as such LC Exposure is outstanding;</w:t>
      </w:r>
    </w:p>
    <w:p>
      <w:pPr>
        <w:spacing w:after="0" w:line="225" w:lineRule="exact"/>
        <w:rPr>
          <w:sz w:val="20"/>
          <w:szCs w:val="20"/>
          <w:color w:val="auto"/>
        </w:rPr>
      </w:pPr>
    </w:p>
    <w:p>
      <w:pPr>
        <w:ind w:left="1300" w:right="40" w:firstLine="653"/>
        <w:spacing w:after="0" w:line="286" w:lineRule="auto"/>
        <w:tabs>
          <w:tab w:leader="none" w:pos="2607"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if the Borrowers cash collateralize any portion of such Defaulting Lender’s LC Exposure pursuant to clause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the Borrowers shall not be required to pay any fees to such Defaulting Lender pursuant to </w:t>
      </w:r>
      <w:r>
        <w:rPr>
          <w:rFonts w:ascii="Arial" w:cs="Arial" w:eastAsia="Arial" w:hAnsi="Arial"/>
          <w:sz w:val="17"/>
          <w:szCs w:val="17"/>
          <w:u w:val="single" w:color="auto"/>
          <w:color w:val="auto"/>
        </w:rPr>
        <w:t>Section 2.09(b)(i)</w:t>
      </w:r>
      <w:r>
        <w:rPr>
          <w:rFonts w:ascii="Arial" w:cs="Arial" w:eastAsia="Arial" w:hAnsi="Arial"/>
          <w:sz w:val="17"/>
          <w:szCs w:val="17"/>
          <w:color w:val="auto"/>
        </w:rPr>
        <w:t xml:space="preserve"> with respect to such Defaulting Lender’s LC Exposure during the period such Defaulting Lender’s LC Exposure is cash collateralized;</w:t>
      </w:r>
    </w:p>
    <w:p>
      <w:pPr>
        <w:spacing w:after="0" w:line="165" w:lineRule="exact"/>
        <w:rPr>
          <w:rFonts w:ascii="Arial" w:cs="Arial" w:eastAsia="Arial" w:hAnsi="Arial"/>
          <w:sz w:val="17"/>
          <w:szCs w:val="17"/>
          <w:color w:val="auto"/>
        </w:rPr>
      </w:pPr>
    </w:p>
    <w:p>
      <w:pPr>
        <w:ind w:left="1300" w:right="160" w:firstLine="653"/>
        <w:spacing w:after="0" w:line="264" w:lineRule="auto"/>
        <w:tabs>
          <w:tab w:leader="none" w:pos="261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if the LC Exposure of the non-Defaulting Lenders is reallocated pursuant to clause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above, then the Letter of Credit participation fees payable to the Lenders pursuant to </w:t>
      </w:r>
      <w:r>
        <w:rPr>
          <w:rFonts w:ascii="Arial" w:cs="Arial" w:eastAsia="Arial" w:hAnsi="Arial"/>
          <w:sz w:val="18"/>
          <w:szCs w:val="18"/>
          <w:u w:val="single" w:color="auto"/>
          <w:color w:val="auto"/>
        </w:rPr>
        <w:t>Section 2.09(b)(i)</w:t>
      </w:r>
      <w:r>
        <w:rPr>
          <w:rFonts w:ascii="Arial" w:cs="Arial" w:eastAsia="Arial" w:hAnsi="Arial"/>
          <w:sz w:val="18"/>
          <w:szCs w:val="18"/>
          <w:color w:val="auto"/>
        </w:rPr>
        <w:t xml:space="preserve"> shall be adjusted in accordance with such non-Defaulting Lenders’ Applicable Percentages after giving effect to such reallocation; and</w:t>
      </w:r>
    </w:p>
    <w:p>
      <w:pPr>
        <w:spacing w:after="0" w:line="181" w:lineRule="exact"/>
        <w:rPr>
          <w:rFonts w:ascii="Arial" w:cs="Arial" w:eastAsia="Arial" w:hAnsi="Arial"/>
          <w:sz w:val="18"/>
          <w:szCs w:val="18"/>
          <w:color w:val="auto"/>
        </w:rPr>
      </w:pPr>
    </w:p>
    <w:p>
      <w:pPr>
        <w:ind w:left="1300" w:right="240" w:firstLine="653"/>
        <w:spacing w:after="0" w:line="291" w:lineRule="auto"/>
        <w:tabs>
          <w:tab w:leader="none" w:pos="261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if all or any portion of such Defaulting Lender’s LC Exposure is neither reallocated nor cash collateralized pursuant to clause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then, without prejudice to any rights or remedies of any Issuing Bank or any other Lender hereunder, all facility fees that otherwise would have been payable to such Defaulting Lender under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(solely with respect to the portion of such Defaulting Lender’s Commitment that was utilized by such LC Exposure) and all Letter of Credit participation fees that otherwise would have been payable to such Defaulting Lender under </w:t>
      </w:r>
      <w:r>
        <w:rPr>
          <w:rFonts w:ascii="Arial" w:cs="Arial" w:eastAsia="Arial" w:hAnsi="Arial"/>
          <w:sz w:val="16"/>
          <w:szCs w:val="16"/>
          <w:u w:val="single" w:color="auto"/>
          <w:color w:val="auto"/>
        </w:rPr>
        <w:t>Section 2.09(b)(i)</w:t>
      </w:r>
      <w:r>
        <w:rPr>
          <w:rFonts w:ascii="Arial" w:cs="Arial" w:eastAsia="Arial" w:hAnsi="Arial"/>
          <w:sz w:val="16"/>
          <w:szCs w:val="16"/>
          <w:color w:val="auto"/>
        </w:rPr>
        <w:t xml:space="preserve"> with respect to such LC Exposure shall be payable to the Issuing Banks, ratably based on the portion of such LC Exposure attributable to Letters of Credit issued by each Issuing Bank, until such LC Exposure is reallocated and/or cash collateralized pursuant to clause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and</w:t>
      </w:r>
    </w:p>
    <w:p>
      <w:pPr>
        <w:spacing w:after="0" w:line="167" w:lineRule="exact"/>
        <w:rPr>
          <w:sz w:val="20"/>
          <w:szCs w:val="20"/>
          <w:color w:val="auto"/>
        </w:rPr>
      </w:pPr>
    </w:p>
    <w:p>
      <w:pPr>
        <w:ind w:left="660" w:right="140" w:firstLine="1293"/>
        <w:spacing w:after="0" w:line="255" w:lineRule="auto"/>
        <w:tabs>
          <w:tab w:leader="none" w:pos="262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so long as any Lender is a Defaulting Lender, no Swingline Lender shall be required to fund any Swingline Loan and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Borrowers in accordance with </w:t>
      </w:r>
      <w:r>
        <w:rPr>
          <w:rFonts w:ascii="Arial" w:cs="Arial" w:eastAsia="Arial" w:hAnsi="Arial"/>
          <w:sz w:val="18"/>
          <w:szCs w:val="18"/>
          <w:u w:val="single" w:color="auto"/>
          <w:color w:val="auto"/>
        </w:rPr>
        <w:t>Section 2.17(a)(iii)(B)</w:t>
      </w:r>
      <w:r>
        <w:rPr>
          <w:rFonts w:ascii="Arial" w:cs="Arial" w:eastAsia="Arial" w:hAnsi="Arial"/>
          <w:sz w:val="18"/>
          <w:szCs w:val="18"/>
          <w:color w:val="auto"/>
        </w:rPr>
        <w:t xml:space="preserve">, and participating interests in any newly made Swingline Loan or any newly issued or increased Letter of Credit shall be allocated among non-Defaulting Lenders in a manner consistent with </w:t>
      </w:r>
      <w:r>
        <w:rPr>
          <w:rFonts w:ascii="Arial" w:cs="Arial" w:eastAsia="Arial" w:hAnsi="Arial"/>
          <w:sz w:val="18"/>
          <w:szCs w:val="18"/>
          <w:u w:val="single" w:color="auto"/>
          <w:color w:val="auto"/>
        </w:rPr>
        <w:t>Section 2.17(a)(iii)(A)</w:t>
      </w:r>
      <w:r>
        <w:rPr>
          <w:rFonts w:ascii="Arial" w:cs="Arial" w:eastAsia="Arial" w:hAnsi="Arial"/>
          <w:sz w:val="18"/>
          <w:szCs w:val="18"/>
          <w:color w:val="auto"/>
        </w:rPr>
        <w:t xml:space="preserve"> (and such Defaulting Lender shall not participate therein);</w:t>
      </w:r>
    </w:p>
    <w:p>
      <w:pPr>
        <w:spacing w:after="0" w:line="193" w:lineRule="exact"/>
        <w:rPr>
          <w:rFonts w:ascii="Arial" w:cs="Arial" w:eastAsia="Arial" w:hAnsi="Arial"/>
          <w:sz w:val="18"/>
          <w:szCs w:val="18"/>
          <w:color w:val="auto"/>
        </w:rPr>
      </w:pPr>
    </w:p>
    <w:p>
      <w:pPr>
        <w:ind w:firstLine="1305"/>
        <w:spacing w:after="0" w:line="264" w:lineRule="auto"/>
        <w:tabs>
          <w:tab w:leader="none" w:pos="19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rights and remedies against, and with respect to, a Defaulting Lender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are in addition to, and cumulative and not in limitation of, all other rights and remedies that the Administrative Agent and each Lender, Issuing Bank, Swingline Lender, Borrower or any other Obligor may at any time have against, or with respect to, such Defaulting Lender.</w:t>
      </w:r>
    </w:p>
    <w:p>
      <w:pPr>
        <w:spacing w:after="0" w:line="181" w:lineRule="exact"/>
        <w:rPr>
          <w:rFonts w:ascii="Arial" w:cs="Arial" w:eastAsia="Arial" w:hAnsi="Arial"/>
          <w:sz w:val="18"/>
          <w:szCs w:val="18"/>
          <w:color w:val="auto"/>
        </w:rPr>
      </w:pPr>
    </w:p>
    <w:p>
      <w:pPr>
        <w:ind w:right="400" w:firstLine="1305"/>
        <w:spacing w:after="0" w:line="342" w:lineRule="auto"/>
        <w:tabs>
          <w:tab w:leader="none" w:pos="195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the event that the Administrative Agent, the Borrowers, the Swingline Lender and the Issuing Banks agree in writing that a Defaulting Lender has adequately remedied all matters that caused such Lender to be a Defaulting Lender, then the Swingline Exposures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LC Exposures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81"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2.18</w:t>
      </w:r>
      <w:r>
        <w:rPr>
          <w:sz w:val="20"/>
          <w:szCs w:val="20"/>
          <w:color w:val="auto"/>
        </w:rPr>
        <w:tab/>
      </w:r>
      <w:r>
        <w:rPr>
          <w:rFonts w:ascii="Arial" w:cs="Arial" w:eastAsia="Arial" w:hAnsi="Arial"/>
          <w:sz w:val="16"/>
          <w:szCs w:val="16"/>
          <w:u w:val="single" w:color="auto"/>
          <w:color w:val="auto"/>
        </w:rPr>
        <w:t>Increase in Commitments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93" w:lineRule="auto"/>
        <w:tabs>
          <w:tab w:leader="none" w:pos="1942"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Borrowers’ Request</w:t>
      </w:r>
      <w:r>
        <w:rPr>
          <w:rFonts w:ascii="Arial" w:cs="Arial" w:eastAsia="Arial" w:hAnsi="Arial"/>
          <w:sz w:val="16"/>
          <w:szCs w:val="16"/>
          <w:color w:val="auto"/>
        </w:rPr>
        <w:t>. Subject to the terms and conditions set forth herein, the Borrowers may by written notice to the Administrative Agent elect to request at any time and from time to time (but not more than twice in any calendar year) prior to the Extended Maturity Date an increase to the aggregate Extended Commitments (each such increase, a “</w:t>
      </w:r>
      <w:r>
        <w:rPr>
          <w:rFonts w:ascii="Arial" w:cs="Arial" w:eastAsia="Arial" w:hAnsi="Arial"/>
          <w:sz w:val="16"/>
          <w:szCs w:val="16"/>
          <w:u w:val="single" w:color="auto"/>
          <w:color w:val="auto"/>
        </w:rPr>
        <w:t>Commitment Increase</w:t>
      </w:r>
      <w:r>
        <w:rPr>
          <w:rFonts w:ascii="Arial" w:cs="Arial" w:eastAsia="Arial" w:hAnsi="Arial"/>
          <w:sz w:val="16"/>
          <w:szCs w:val="16"/>
          <w:color w:val="auto"/>
        </w:rPr>
        <w:t>”, and each additional commitment provided pursuant to a Commitment Increase, an “</w:t>
      </w:r>
      <w:r>
        <w:rPr>
          <w:rFonts w:ascii="Arial" w:cs="Arial" w:eastAsia="Arial" w:hAnsi="Arial"/>
          <w:sz w:val="16"/>
          <w:szCs w:val="16"/>
          <w:u w:val="single" w:color="auto"/>
          <w:color w:val="auto"/>
        </w:rPr>
        <w:t>Incremental Commitment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(x) all Incremental Commitments provided after the Amendment No. 3 Effective Date under this Agreement and (y) all 364-Day Revolving Credit Incremental Commitments provided after the Amendment No. 3 Effective Date under the 364-Day Revolving Credit Facility shall not exceed $250,000,000 (such amount, the “</w:t>
      </w:r>
      <w:r>
        <w:rPr>
          <w:rFonts w:ascii="Arial" w:cs="Arial" w:eastAsia="Arial" w:hAnsi="Arial"/>
          <w:sz w:val="16"/>
          <w:szCs w:val="16"/>
          <w:u w:val="single" w:color="auto"/>
          <w:color w:val="auto"/>
        </w:rPr>
        <w:t>Incremental Commitment Cap</w:t>
      </w:r>
      <w:r>
        <w:rPr>
          <w:rFonts w:ascii="Arial" w:cs="Arial" w:eastAsia="Arial" w:hAnsi="Arial"/>
          <w:sz w:val="16"/>
          <w:szCs w:val="16"/>
          <w:color w:val="auto"/>
        </w:rPr>
        <w:t>”). Each</w:t>
      </w:r>
    </w:p>
    <w:p>
      <w:pPr>
        <w:sectPr>
          <w:pgSz w:w="11900" w:h="16934" w:orient="portrait"/>
          <w:cols w:equalWidth="0" w:num="1">
            <w:col w:w="11420"/>
          </w:cols>
          <w:pgMar w:left="240" w:top="125" w:right="239" w:bottom="0" w:gutter="0" w:footer="0" w:header="0"/>
        </w:sectPr>
      </w:pPr>
    </w:p>
    <w:bookmarkStart w:id="51" w:name="page52"/>
    <w:bookmarkEnd w:id="51"/>
    <w:p>
      <w:pPr>
        <w:spacing w:after="0" w:line="3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such notice shall specify (i) the date on which the Borrowers propose that the applicable Incremental Commitments shall be effective, which shall be a date not less than ten (10) Business Days (or such shorter period as may be agreed by the Administrative Agent) after the date on which such notice is delivered to the Administrative Agent and (ii) the identity of each Person to whom the Borrowers propose any portion of such Incremental Commitments be allocated and the amounts of such allocations;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any existing Lender approached to provide an Incremental Commitment may elect or decline, in its sole discretion, to provide such Incremental Commitment (any existing Lender electing to provide an Incremental Commitment,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(B) any Person approached to provide an Incremental Commitment that is not already a Lender shall meet the requirements to be an assignee under</w:t>
      </w:r>
    </w:p>
    <w:p>
      <w:pPr>
        <w:spacing w:after="0" w:line="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u w:val="single" w:color="auto"/>
          <w:color w:val="auto"/>
        </w:rPr>
        <w:t>Section 11.05(b)</w:t>
      </w:r>
      <w:r>
        <w:rPr>
          <w:rFonts w:ascii="Arial" w:cs="Arial" w:eastAsia="Arial" w:hAnsi="Arial"/>
          <w:sz w:val="17"/>
          <w:szCs w:val="17"/>
          <w:color w:val="auto"/>
        </w:rPr>
        <w:t xml:space="preserve"> (subject to such consents, if any, as may be required under </w:t>
      </w:r>
      <w:r>
        <w:rPr>
          <w:rFonts w:ascii="Arial" w:cs="Arial" w:eastAsia="Arial" w:hAnsi="Arial"/>
          <w:sz w:val="17"/>
          <w:szCs w:val="17"/>
          <w:u w:val="single" w:color="auto"/>
          <w:color w:val="auto"/>
        </w:rPr>
        <w:t>Section 11.05(b)</w:t>
      </w:r>
      <w:r>
        <w:rPr>
          <w:rFonts w:ascii="Arial" w:cs="Arial" w:eastAsia="Arial" w:hAnsi="Arial"/>
          <w:sz w:val="17"/>
          <w:szCs w:val="17"/>
          <w:color w:val="auto"/>
        </w:rPr>
        <w:t xml:space="preserve">) and shall deliver all applicable forms and documents required by clauses (D), (E), (F) and (H) of </w:t>
      </w:r>
      <w:r>
        <w:rPr>
          <w:rFonts w:ascii="Arial" w:cs="Arial" w:eastAsia="Arial" w:hAnsi="Arial"/>
          <w:sz w:val="17"/>
          <w:szCs w:val="17"/>
          <w:u w:val="single" w:color="auto"/>
          <w:color w:val="auto"/>
        </w:rPr>
        <w:t>Section 11.05(b)(ii)</w:t>
      </w:r>
      <w:r>
        <w:rPr>
          <w:rFonts w:ascii="Arial" w:cs="Arial" w:eastAsia="Arial" w:hAnsi="Arial"/>
          <w:sz w:val="17"/>
          <w:szCs w:val="17"/>
          <w:color w:val="auto"/>
        </w:rPr>
        <w:t xml:space="preserve"> (any such Person agreeing to provide all or any portion of an Incremental Commitment that is not already a Lender, an “</w:t>
      </w:r>
      <w:r>
        <w:rPr>
          <w:rFonts w:ascii="Arial" w:cs="Arial" w:eastAsia="Arial" w:hAnsi="Arial"/>
          <w:sz w:val="17"/>
          <w:szCs w:val="17"/>
          <w:u w:val="single" w:color="auto"/>
          <w:color w:val="auto"/>
        </w:rPr>
        <w:t>Additional Lender</w:t>
      </w:r>
      <w:r>
        <w:rPr>
          <w:rFonts w:ascii="Arial" w:cs="Arial" w:eastAsia="Arial" w:hAnsi="Arial"/>
          <w:sz w:val="17"/>
          <w:szCs w:val="17"/>
          <w:color w:val="auto"/>
        </w:rPr>
        <w:t xml:space="preserve">”), (C) if any Increasing Lender is providing an Incremental Commitment, then the Borrowers and such Increasing Lender shall execute an Increasing Lender Supplement, (D) if any Additional Lender is providing an Incremental Commitment, then the Borrowers and such Additional Lender shall execute an Additional Lender Supplement and (E) the Extending Lenders’ Commitments shall be reduced in accordance with the provisions of </w:t>
      </w:r>
      <w:r>
        <w:rPr>
          <w:rFonts w:ascii="Arial" w:cs="Arial" w:eastAsia="Arial" w:hAnsi="Arial"/>
          <w:sz w:val="17"/>
          <w:szCs w:val="17"/>
          <w:u w:val="single" w:color="auto"/>
          <w:color w:val="auto"/>
        </w:rPr>
        <w:t>Section 2.06(b)(ii)</w:t>
      </w:r>
      <w:r>
        <w:rPr>
          <w:rFonts w:ascii="Arial" w:cs="Arial" w:eastAsia="Arial" w:hAnsi="Arial"/>
          <w:sz w:val="17"/>
          <w:szCs w:val="17"/>
          <w:color w:val="auto"/>
        </w:rPr>
        <w:t>. Each Commitment Increase shall be in an aggregate amount of $10,000,000 or any whole multiple of $1,000,000 in excess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a Commitment Increase may be less than $10,000,000 if such amount represents all remaining availability under the Incremental Commitment Cap).</w:t>
      </w:r>
    </w:p>
    <w:p>
      <w:pPr>
        <w:spacing w:after="0" w:line="184" w:lineRule="exact"/>
        <w:rPr>
          <w:sz w:val="20"/>
          <w:szCs w:val="20"/>
          <w:color w:val="auto"/>
        </w:rPr>
      </w:pPr>
    </w:p>
    <w:p>
      <w:pPr>
        <w:jc w:val="both"/>
        <w:ind w:right="80" w:firstLine="1305"/>
        <w:spacing w:after="0" w:line="264" w:lineRule="auto"/>
        <w:tabs>
          <w:tab w:leader="none" w:pos="1952"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Conditions</w:t>
      </w:r>
      <w:r>
        <w:rPr>
          <w:rFonts w:ascii="Arial" w:cs="Arial" w:eastAsia="Arial" w:hAnsi="Arial"/>
          <w:sz w:val="18"/>
          <w:szCs w:val="18"/>
          <w:color w:val="auto"/>
        </w:rPr>
        <w:t>. Each Commitment Increase shall become effective on the proposed effective date set forth in the Borrowers’ request for a Commitment Increase or such later date as the Administrative Agent and the Borrowers agree (the “</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which in any event shall be on or after the date on which the Administrative Agent shall have received: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80" w:firstLine="1293"/>
        <w:spacing w:after="0" w:line="264" w:lineRule="auto"/>
        <w:tabs>
          <w:tab w:leader="none" w:pos="262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Additional Lender Supplement for each Additional Lender participating in such Commitment Increase and an Increasing Lender Supplement for each Increasing Lender participating in such Commitment Increase, in each case duly executed by all parties thereto;</w:t>
      </w:r>
    </w:p>
    <w:p>
      <w:pPr>
        <w:spacing w:after="0" w:line="181" w:lineRule="exact"/>
        <w:rPr>
          <w:rFonts w:ascii="Arial" w:cs="Arial" w:eastAsia="Arial" w:hAnsi="Arial"/>
          <w:sz w:val="18"/>
          <w:szCs w:val="18"/>
          <w:color w:val="auto"/>
        </w:rPr>
      </w:pPr>
    </w:p>
    <w:p>
      <w:pPr>
        <w:jc w:val="both"/>
        <w:ind w:left="660" w:right="40" w:firstLine="1293"/>
        <w:spacing w:after="0" w:line="264" w:lineRule="auto"/>
        <w:tabs>
          <w:tab w:leader="none" w:pos="263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certificate of a Principal Financial Officer dated such date and certifying that, on a pro forma basis (assuming that such Incremental Commitments are fully drawn), WIL-Ireland shall be in compliance with each of the Financial Covenants as of the most recently ended Fiscal Quarter for which financial statements are available;</w:t>
      </w:r>
    </w:p>
    <w:p>
      <w:pPr>
        <w:spacing w:after="0" w:line="181" w:lineRule="exact"/>
        <w:rPr>
          <w:rFonts w:ascii="Arial" w:cs="Arial" w:eastAsia="Arial" w:hAnsi="Arial"/>
          <w:sz w:val="18"/>
          <w:szCs w:val="18"/>
          <w:color w:val="auto"/>
        </w:rPr>
      </w:pPr>
    </w:p>
    <w:p>
      <w:pPr>
        <w:ind w:left="660" w:right="240" w:firstLine="1293"/>
        <w:spacing w:after="0" w:line="264" w:lineRule="auto"/>
        <w:tabs>
          <w:tab w:leader="none" w:pos="264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such documents and opinions consistent with those delivered on the Effective Date as to the organizational power and authority of the Borrowers to borrow hereunder after giving effect to such Commitment Increase as the Administrative Agent may reasonably request;</w:t>
      </w:r>
    </w:p>
    <w:p>
      <w:pPr>
        <w:spacing w:after="0" w:line="181" w:lineRule="exact"/>
        <w:rPr>
          <w:rFonts w:ascii="Arial" w:cs="Arial" w:eastAsia="Arial" w:hAnsi="Arial"/>
          <w:sz w:val="18"/>
          <w:szCs w:val="18"/>
          <w:color w:val="auto"/>
        </w:rPr>
      </w:pPr>
    </w:p>
    <w:p>
      <w:pPr>
        <w:ind w:left="660" w:right="180" w:firstLine="1293"/>
        <w:spacing w:after="0" w:line="277" w:lineRule="auto"/>
        <w:tabs>
          <w:tab w:leader="none" w:pos="262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such evidence of appropriate corporate or other organizational authorization on the part of the Borrowers, WIL-Ireland and the other Obligors with respect to such Commitment Increase as the Administrative Agent may reasonably request;</w:t>
      </w:r>
    </w:p>
    <w:p>
      <w:pPr>
        <w:spacing w:after="0" w:line="170" w:lineRule="exact"/>
        <w:rPr>
          <w:rFonts w:ascii="Arial" w:cs="Arial" w:eastAsia="Arial" w:hAnsi="Arial"/>
          <w:sz w:val="18"/>
          <w:szCs w:val="18"/>
          <w:color w:val="auto"/>
        </w:rPr>
      </w:pPr>
    </w:p>
    <w:p>
      <w:pPr>
        <w:ind w:left="660" w:right="180" w:firstLine="1293"/>
        <w:spacing w:after="0" w:line="286" w:lineRule="auto"/>
        <w:tabs>
          <w:tab w:leader="none" w:pos="2612"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if requested by the Administrative Agent, an opinion or opinions, in form and substance reasonably satisfactory to the Administrative Agent, from counsel to the Borrowers and the Obligors reasonably satisfactory to the Administrative Agent, covering such matters relating to such Commitment Increase as the Administrative Agent may reasonably request;</w:t>
      </w:r>
    </w:p>
    <w:p>
      <w:pPr>
        <w:spacing w:after="0" w:line="165" w:lineRule="exact"/>
        <w:rPr>
          <w:rFonts w:ascii="Arial" w:cs="Arial" w:eastAsia="Arial" w:hAnsi="Arial"/>
          <w:sz w:val="17"/>
          <w:szCs w:val="17"/>
          <w:color w:val="auto"/>
        </w:rPr>
      </w:pPr>
    </w:p>
    <w:p>
      <w:pPr>
        <w:ind w:left="660" w:right="100" w:firstLine="1293"/>
        <w:spacing w:after="0" w:line="271" w:lineRule="auto"/>
        <w:tabs>
          <w:tab w:leader="none" w:pos="2622"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 certificate of a Responsible Officer of WIL-Ireland, dated such Increase Effective Date, certifying that (A) the representations and warranties set forth in Article VI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such Increase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 and (B) no Default or Event of Default has occurred and is continuing on such Increase Effective Date; and</w:t>
      </w:r>
    </w:p>
    <w:p>
      <w:pPr>
        <w:spacing w:after="0" w:line="178" w:lineRule="exact"/>
        <w:rPr>
          <w:rFonts w:ascii="Arial" w:cs="Arial" w:eastAsia="Arial" w:hAnsi="Arial"/>
          <w:sz w:val="17"/>
          <w:szCs w:val="17"/>
          <w:color w:val="auto"/>
        </w:rPr>
      </w:pPr>
    </w:p>
    <w:p>
      <w:pPr>
        <w:ind w:left="660" w:right="340" w:firstLine="1293"/>
        <w:spacing w:after="0" w:line="264" w:lineRule="auto"/>
        <w:tabs>
          <w:tab w:leader="none" w:pos="263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other customary closing certificates and documentation (similar to the documentation required to be delivered on the Effective Date under </w:t>
      </w:r>
      <w:r>
        <w:rPr>
          <w:rFonts w:ascii="Arial" w:cs="Arial" w:eastAsia="Arial" w:hAnsi="Arial"/>
          <w:sz w:val="18"/>
          <w:szCs w:val="18"/>
          <w:u w:val="single" w:color="auto"/>
          <w:color w:val="auto"/>
        </w:rPr>
        <w:t>Section 5.01</w:t>
      </w:r>
      <w:r>
        <w:rPr>
          <w:rFonts w:ascii="Arial" w:cs="Arial" w:eastAsia="Arial" w:hAnsi="Arial"/>
          <w:sz w:val="18"/>
          <w:szCs w:val="18"/>
          <w:color w:val="auto"/>
        </w:rPr>
        <w:t>, to the extent applicable) relating to such Commitment Increase as the Administrative Agent may reasonably request.</w:t>
      </w:r>
    </w:p>
    <w:p>
      <w:pPr>
        <w:spacing w:after="0" w:line="181" w:lineRule="exact"/>
        <w:rPr>
          <w:sz w:val="20"/>
          <w:szCs w:val="20"/>
          <w:color w:val="auto"/>
        </w:rPr>
      </w:pPr>
    </w:p>
    <w:p>
      <w:pPr>
        <w:ind w:right="200" w:firstLine="1305"/>
        <w:spacing w:after="0" w:line="308" w:lineRule="auto"/>
        <w:tabs>
          <w:tab w:leader="none" w:pos="1955"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Adjustment of Revolving Credit Loans</w:t>
      </w:r>
      <w:r>
        <w:rPr>
          <w:rFonts w:ascii="Arial" w:cs="Arial" w:eastAsia="Arial" w:hAnsi="Arial"/>
          <w:sz w:val="17"/>
          <w:szCs w:val="17"/>
          <w:color w:val="auto"/>
        </w:rPr>
        <w:t>. On the Increase Effective Date for any Commitment Increase, each relevant Increasing Lender and Additional Lender shall make available to the Administrative Agent, for the benefit of the other Lenders, such amounts in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immediately available funds as are required to cause (after giving effect to such Commitment Increase, any reduction of the Extended Commitments pursuant to </w:t>
      </w:r>
      <w:r>
        <w:rPr>
          <w:rFonts w:ascii="Arial" w:cs="Arial" w:eastAsia="Arial" w:hAnsi="Arial"/>
          <w:sz w:val="18"/>
          <w:szCs w:val="18"/>
          <w:u w:val="single" w:color="auto"/>
          <w:color w:val="auto"/>
        </w:rPr>
        <w:t>Section 2.06(b)(ii)</w:t>
      </w:r>
      <w:r>
        <w:rPr>
          <w:rFonts w:ascii="Arial" w:cs="Arial" w:eastAsia="Arial" w:hAnsi="Arial"/>
          <w:sz w:val="18"/>
          <w:szCs w:val="18"/>
          <w:color w:val="auto"/>
        </w:rPr>
        <w:t xml:space="preserve"> and the use of such amounts to make payments to such other Lenders) each Lender’s portion of the outstanding Revolving Credit Loans of all the Lenders to equal its Applicable Percentage of such outstanding Revolving Credit Loans. If there is a new borrowing of Revolving Credit Loans on such Increase Effective Date, the Lenders shall, after giving effect to such Increase Effective Date, make such Revolving Credit Loans in accordance with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88" w:lineRule="exact"/>
        <w:rPr>
          <w:sz w:val="20"/>
          <w:szCs w:val="20"/>
          <w:color w:val="auto"/>
        </w:rPr>
      </w:pPr>
    </w:p>
    <w:p>
      <w:pPr>
        <w:ind w:right="480" w:firstLine="1305"/>
        <w:spacing w:after="0" w:line="264" w:lineRule="auto"/>
        <w:tabs>
          <w:tab w:leader="none" w:pos="1952"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Equal and Ratable Benefit.</w:t>
      </w:r>
      <w:r>
        <w:rPr>
          <w:rFonts w:ascii="Arial" w:cs="Arial" w:eastAsia="Arial" w:hAnsi="Arial"/>
          <w:sz w:val="18"/>
          <w:szCs w:val="18"/>
          <w:color w:val="auto"/>
        </w:rPr>
        <w:t xml:space="preserve"> The Loans and Commitments established pursuant to this paragraph shall constitute Loans and Commitments under, and shall be entitled to all the benefits afforded by, this Agreement and the other Loan Documents, and shall, without limiting the foregoing, benefit equally and ratably from the Guaranty Agreements.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LETTERS OF CREDIT</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ectPr>
          <w:pgSz w:w="11900" w:h="16874" w:orient="portrait"/>
          <w:cols w:equalWidth="0" w:num="1">
            <w:col w:w="11360"/>
          </w:cols>
          <w:pgMar w:left="240" w:top="125" w:right="299" w:bottom="0" w:gutter="0" w:footer="0" w:header="0"/>
        </w:sectPr>
      </w:pPr>
    </w:p>
    <w:bookmarkStart w:id="52" w:name="page53"/>
    <w:bookmarkEnd w:id="52"/>
    <w:p>
      <w:pPr>
        <w:spacing w:after="0" w:line="89" w:lineRule="exact"/>
        <w:rPr>
          <w:sz w:val="20"/>
          <w:szCs w:val="20"/>
          <w:color w:val="auto"/>
        </w:rPr>
      </w:pPr>
    </w:p>
    <w:p>
      <w:pPr>
        <w:ind w:right="80" w:firstLine="1305"/>
        <w:spacing w:after="0" w:line="289" w:lineRule="auto"/>
        <w:tabs>
          <w:tab w:leader="none" w:pos="1942"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the terms and conditions set forth herein, any Borrower may request that any Issuing Bank issue Letters of Credit, denominated in Dollars or any Alternative Currency, for the account of such Borrower or, subject to </w:t>
      </w:r>
      <w:r>
        <w:rPr>
          <w:rFonts w:ascii="Arial" w:cs="Arial" w:eastAsia="Arial" w:hAnsi="Arial"/>
          <w:sz w:val="16"/>
          <w:szCs w:val="16"/>
          <w:u w:val="single" w:color="auto"/>
          <w:color w:val="auto"/>
        </w:rPr>
        <w:t>Section 3.01(m)</w:t>
      </w:r>
      <w:r>
        <w:rPr>
          <w:rFonts w:ascii="Arial" w:cs="Arial" w:eastAsia="Arial" w:hAnsi="Arial"/>
          <w:sz w:val="16"/>
          <w:szCs w:val="16"/>
          <w:color w:val="auto"/>
        </w:rPr>
        <w:t xml:space="preserve">, a Restricted Subsidiary of such Borrower, in a form reasonably acceptable to the Administrative Agent and such Issuing Bank, at any time and from time to time during the Availability Period applicable to Extending Lenders. The letters of credit identified on </w:t>
      </w:r>
      <w:r>
        <w:rPr>
          <w:rFonts w:ascii="Arial" w:cs="Arial" w:eastAsia="Arial" w:hAnsi="Arial"/>
          <w:sz w:val="16"/>
          <w:szCs w:val="16"/>
          <w:u w:val="single" w:color="auto"/>
          <w:color w:val="auto"/>
        </w:rPr>
        <w:t>Schedule 3.01</w:t>
      </w:r>
      <w:r>
        <w:rPr>
          <w:rFonts w:ascii="Arial" w:cs="Arial" w:eastAsia="Arial" w:hAnsi="Arial"/>
          <w:sz w:val="16"/>
          <w:szCs w:val="16"/>
          <w:color w:val="auto"/>
        </w:rPr>
        <w:t xml:space="preserve"> as of the Amendment No. 3 Effective Date (the “</w:t>
      </w:r>
      <w:r>
        <w:rPr>
          <w:rFonts w:ascii="Arial" w:cs="Arial" w:eastAsia="Arial" w:hAnsi="Arial"/>
          <w:sz w:val="16"/>
          <w:szCs w:val="16"/>
          <w:u w:val="single" w:color="auto"/>
          <w:color w:val="auto"/>
        </w:rPr>
        <w:t>Existing Letters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constitute all of the Letters of Credit issued hereunder as of the Amendment No. 3 Effective Date for all purposes of the Loan Documents. In the event of any inconsistency between the terms and conditions of this Agreement and the terms and conditions of any form of letter of credit application or other agreement submitted by any Borrower to, or entered into by any Borrower with, any Issuing Bank relating to any Letter of Credit, the terms and conditions of this Agreement shall control. Nothing contained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is intended to limit or restrict the rights of any Borrower or any Restricted Subsidiary to obtain letters of credit otherwise permitted by this Agreement from any Person, regardless of whether such Person is a party hereto.</w:t>
      </w:r>
    </w:p>
    <w:p>
      <w:pPr>
        <w:spacing w:after="0" w:line="166" w:lineRule="exact"/>
        <w:rPr>
          <w:rFonts w:ascii="Arial" w:cs="Arial" w:eastAsia="Arial" w:hAnsi="Arial"/>
          <w:sz w:val="16"/>
          <w:szCs w:val="16"/>
          <w:color w:val="auto"/>
        </w:rPr>
      </w:pPr>
    </w:p>
    <w:p>
      <w:pPr>
        <w:ind w:right="20" w:firstLine="1305"/>
        <w:spacing w:after="0" w:line="290" w:lineRule="auto"/>
        <w:tabs>
          <w:tab w:leader="none" w:pos="1952"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Extension; Certain Conditions</w:t>
      </w:r>
      <w:r>
        <w:rPr>
          <w:rFonts w:ascii="Arial" w:cs="Arial" w:eastAsia="Arial" w:hAnsi="Arial"/>
          <w:sz w:val="16"/>
          <w:szCs w:val="16"/>
          <w:color w:val="auto"/>
        </w:rPr>
        <w:t xml:space="preserve">. To request the issuance of a Letter of Credit by any Issuing Bank (or the amendment, renewal or extension of an outstanding Letter of Credit issued by any Issuing Bank), a Borrower shall hand deliver or transmit by facsimile (or transmit by electronic communication, if arrangements for doing so have been approved by such Issuing Bank) to such Issuing Bank and the Administrative Agent not later than 11:00 a.m., New York City time, (i) three Business Days before the proposed date such Letter of Credit is to be issued and (ii) one Business Day before the proposed date of any amendment, renewal or extension of a Letter of Credit, a Letter of Credit Request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6"/>
          <w:szCs w:val="16"/>
          <w:u w:val="single" w:color="auto"/>
          <w:color w:val="auto"/>
        </w:rPr>
        <w:t>Section 3.01(c)</w:t>
      </w:r>
      <w:r>
        <w:rPr>
          <w:rFonts w:ascii="Arial" w:cs="Arial" w:eastAsia="Arial" w:hAnsi="Arial"/>
          <w:sz w:val="16"/>
          <w:szCs w:val="16"/>
          <w:color w:val="auto"/>
        </w:rPr>
        <w:t>), the amount of such Letter of Credit, the name and address of the beneficiary thereof and such other information as shall be necessary to prepare, amend, renew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extend such Letter of Credit. If requested by the applicable Issuing Bank, the applicable Borrower also shall submit a letter of credit application on such Issuing Bank’s standard form in connection with any request for a Letter of Credit. A Letter of Credit shall be issued, amended, renewed or extended by an Issuing Bank only if (and upon issuance, amendment, renewal or extension of each Letter of Credit the applicable Borrower shall be deemed to represent and warrant that), after giving effect to such issuance, amendment, renewal or extension, (i) the Total LC Exposure shall not exceed the LC Sublimit, (ii) the Total Revolving Credit Exposure shall not exceed the Aggregate Commitments, and (iii) the portion of the Total LC Exposure attributable to Letters of Credit issued by such Issuing Bank will not, unless such Issuing Bank shall so agree in accordance with </w:t>
      </w:r>
      <w:r>
        <w:rPr>
          <w:rFonts w:ascii="Arial" w:cs="Arial" w:eastAsia="Arial" w:hAnsi="Arial"/>
          <w:sz w:val="16"/>
          <w:szCs w:val="16"/>
          <w:u w:val="single" w:color="auto"/>
          <w:color w:val="auto"/>
        </w:rPr>
        <w:t>Section 3.01(i)</w:t>
      </w:r>
      <w:r>
        <w:rPr>
          <w:rFonts w:ascii="Arial" w:cs="Arial" w:eastAsia="Arial" w:hAnsi="Arial"/>
          <w:sz w:val="16"/>
          <w:szCs w:val="16"/>
          <w:color w:val="auto"/>
        </w:rPr>
        <w:t xml:space="preserve">, exceed the Commitment of such Issuing Bank. Unless the applicable Issuing Bank has received written notice from any Lender, the Administrative Agent or any Obligor, before 4:30 p.m., New York City time, on the Business Day immediately prior to the requested date of issuance, amendment, renewal or extension of the applicable Letter of Credit that one or more applicable conditions contained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shall not then be satisfied, then, subject to the terms and conditions hereof, such Issuing Bank shall, on the requested date, issue, amend, renew or extend, as applicable, such Letter of Credit.</w:t>
      </w:r>
    </w:p>
    <w:p>
      <w:pPr>
        <w:spacing w:after="0" w:line="169" w:lineRule="exact"/>
        <w:rPr>
          <w:sz w:val="20"/>
          <w:szCs w:val="20"/>
          <w:color w:val="auto"/>
        </w:rPr>
      </w:pPr>
    </w:p>
    <w:p>
      <w:pPr>
        <w:ind w:right="20" w:firstLine="1305"/>
        <w:spacing w:after="0" w:line="291" w:lineRule="auto"/>
        <w:tabs>
          <w:tab w:leader="none" w:pos="1955"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Expiration Date</w:t>
      </w:r>
      <w:r>
        <w:rPr>
          <w:rFonts w:ascii="Arial" w:cs="Arial" w:eastAsia="Arial" w:hAnsi="Arial"/>
          <w:sz w:val="16"/>
          <w:szCs w:val="16"/>
          <w:color w:val="auto"/>
        </w:rPr>
        <w:t>. Each Letter of Credit shall expire on or prior to the date (the “</w:t>
      </w:r>
      <w:r>
        <w:rPr>
          <w:rFonts w:ascii="Arial" w:cs="Arial" w:eastAsia="Arial" w:hAnsi="Arial"/>
          <w:sz w:val="16"/>
          <w:szCs w:val="16"/>
          <w:u w:val="single" w:color="auto"/>
          <w:color w:val="auto"/>
        </w:rPr>
        <w:t>LC Expiration Date</w:t>
      </w:r>
      <w:r>
        <w:rPr>
          <w:rFonts w:ascii="Arial" w:cs="Arial" w:eastAsia="Arial" w:hAnsi="Arial"/>
          <w:sz w:val="16"/>
          <w:szCs w:val="16"/>
          <w:color w:val="auto"/>
        </w:rPr>
        <w:t xml:space="preserve">”) that is three Business Days prior to the Extended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the terms and conditions of </w:t>
      </w:r>
      <w:r>
        <w:rPr>
          <w:rFonts w:ascii="Arial" w:cs="Arial" w:eastAsia="Arial" w:hAnsi="Arial"/>
          <w:sz w:val="16"/>
          <w:szCs w:val="16"/>
          <w:u w:val="single" w:color="auto"/>
          <w:color w:val="auto"/>
        </w:rPr>
        <w:t>Section 3.01(j)</w:t>
      </w:r>
      <w:r>
        <w:rPr>
          <w:rFonts w:ascii="Arial" w:cs="Arial" w:eastAsia="Arial" w:hAnsi="Arial"/>
          <w:sz w:val="16"/>
          <w:szCs w:val="16"/>
          <w:color w:val="auto"/>
        </w:rPr>
        <w:t>, any Borrower may request that an Issuing Bank issue on or prior to the Stated Cash Collateralization Date a Letter of Credit with an expiration date that is not more than one year beyond the LC Expiration Date (including as a result of an automatic renewal of a Letter of Credit for an additional period that would end after the LC Expiration Date) (each such Letter of Credit, an “</w:t>
      </w:r>
      <w:r>
        <w:rPr>
          <w:rFonts w:ascii="Arial" w:cs="Arial" w:eastAsia="Arial" w:hAnsi="Arial"/>
          <w:sz w:val="16"/>
          <w:szCs w:val="16"/>
          <w:u w:val="single" w:color="auto"/>
          <w:color w:val="auto"/>
        </w:rPr>
        <w:t>Extended Expiration Letter of Credit</w:t>
      </w:r>
      <w:r>
        <w:rPr>
          <w:rFonts w:ascii="Arial" w:cs="Arial" w:eastAsia="Arial" w:hAnsi="Arial"/>
          <w:sz w:val="16"/>
          <w:szCs w:val="16"/>
          <w:color w:val="auto"/>
        </w:rPr>
        <w:t>”), and such Issuing Bank may in its sole discretion, without the consent of the Administrative Agent or any of the Lenders, agree to issue such Extended Expiration Letter of Credit (it being understood that no Issuing Bank shall be obligated to issue any Extended Expiration Letter of Credit). No Extended Expiration Letter of Credit may be issued after the Stated Cash Collateralization Date.</w:t>
      </w:r>
    </w:p>
    <w:p>
      <w:pPr>
        <w:spacing w:after="0" w:line="167" w:lineRule="exact"/>
        <w:rPr>
          <w:rFonts w:ascii="Arial" w:cs="Arial" w:eastAsia="Arial" w:hAnsi="Arial"/>
          <w:sz w:val="16"/>
          <w:szCs w:val="16"/>
          <w:color w:val="auto"/>
        </w:rPr>
      </w:pPr>
    </w:p>
    <w:p>
      <w:pPr>
        <w:ind w:right="60" w:firstLine="1305"/>
        <w:spacing w:after="0" w:line="284" w:lineRule="auto"/>
        <w:tabs>
          <w:tab w:leader="none" w:pos="1952"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Dollar Equivalent amount available to be drawn under such Letter of Credit. In consideration and in furtherance of the foregoing, each Lender hereby absolutely and unconditionally agrees to pay to the Administrative Agent, for the account of the applicable Issuing Bank, such Lender’s Applicable Percentage of the Dollar Equivalent Amount of each LC Disbursement made by such Issuing Bank and not reimbursed by the Borrowers on the date due as provided in</w:t>
      </w:r>
    </w:p>
    <w:p>
      <w:pPr>
        <w:spacing w:after="0" w:line="4" w:lineRule="exact"/>
        <w:rPr>
          <w:rFonts w:ascii="Arial" w:cs="Arial" w:eastAsia="Arial" w:hAnsi="Arial"/>
          <w:sz w:val="16"/>
          <w:szCs w:val="16"/>
          <w:color w:val="auto"/>
        </w:rPr>
      </w:pPr>
    </w:p>
    <w:p>
      <w:pPr>
        <w:ind w:right="720"/>
        <w:spacing w:after="0" w:line="271" w:lineRule="auto"/>
        <w:rPr>
          <w:rFonts w:ascii="Arial" w:cs="Arial" w:eastAsia="Arial" w:hAnsi="Arial"/>
          <w:sz w:val="16"/>
          <w:szCs w:val="16"/>
          <w:color w:val="auto"/>
        </w:rPr>
      </w:pP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(including any LC Disbursement made in respect of an Extended Expiration Letter of Credit after the LC Expiration Date), or of any reimbursement payment required to be refunded to a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made without any offset, abatement, withholding or reduction whatsoever. For the avoidance of doubt, no Non-Extending Lender shall have any obligation to participate in any Letter of Credit issued on or after the Existing Maturity Date.</w:t>
      </w:r>
    </w:p>
    <w:p>
      <w:pPr>
        <w:spacing w:after="0" w:line="170" w:lineRule="exact"/>
        <w:rPr>
          <w:sz w:val="20"/>
          <w:szCs w:val="20"/>
          <w:color w:val="auto"/>
        </w:rPr>
      </w:pPr>
    </w:p>
    <w:p>
      <w:pPr>
        <w:ind w:firstLine="1305"/>
        <w:spacing w:after="0" w:line="286" w:lineRule="auto"/>
        <w:tabs>
          <w:tab w:leader="none" w:pos="1955"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xml:space="preserve">. If any Issuing Bank shall make any LC Disbursement in respect of a Letter of Credit, the Borrowers, jointly and severally, shall reimburse such LC Disbursement by paying to the Administrative Agent an amount equal to such LC Disbursement in the same currency as the LC Disbursement not later than 12:00 noon, New York City time, on the Business Day immediately following the date that such LC Disbursement is made, if the Borrowers shall have received notice of such LC Disbursement on the date that such LC Disbursement is made, or, if such notice has not been received by the Borrowers on such date, then not later than 12:00 noon, New York City time, on the Business Day immediately following the date that the Borrowers receive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LC Disbursement is made during the Availability Period applicable to Extending Lenders and is not less than the minimum amount for an ABR Borrowing or a Swingline Loan as set forth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as applicable, any Borrower may, at its election and subject to the conditions to borrowing set forth herein, request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as applicable, that such payment be financed with an ABR Borrowing or a Swingline Loan in the Dollar Equivalent amount thereof and, to the extent so financed, the Borrowers’ obligation to make such payment shall be discharged and replaced by the resulting ABR Borrowing or Swingline Loan. If the Borrowers fail to make such payment when due, the Administrative Agent shall notify each Lender of the applicable LC Disbursement, the payment then due from the Borrowers in respect thereof and such Lender’s Applicable Percentage of the Dollar Equivalent thereof. Promptly following receipt of such notice, each Lender shall pay to the Administrative Agent its Applicable Percentage of the Dollar Equivalent of the payment then due from the Borrowers, in the same manner as provided in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with respect to Revolving Credit Loans made by such Lender (and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to the payment obligations of the Lenders), and the</w:t>
      </w:r>
    </w:p>
    <w:p>
      <w:pPr>
        <w:sectPr>
          <w:pgSz w:w="11900" w:h="16927" w:orient="portrait"/>
          <w:cols w:equalWidth="0" w:num="1">
            <w:col w:w="11420"/>
          </w:cols>
          <w:pgMar w:left="240" w:top="341" w:right="239" w:bottom="0" w:gutter="0" w:footer="0" w:header="0"/>
        </w:sectPr>
      </w:pPr>
    </w:p>
    <w:bookmarkStart w:id="53" w:name="page54"/>
    <w:bookmarkEnd w:id="53"/>
    <w:p>
      <w:pPr>
        <w:ind w:right="80"/>
        <w:spacing w:after="0" w:line="271" w:lineRule="auto"/>
        <w:rPr>
          <w:sz w:val="20"/>
          <w:szCs w:val="20"/>
          <w:color w:val="auto"/>
        </w:rPr>
      </w:pPr>
      <w:r>
        <w:rPr>
          <w:rFonts w:ascii="Arial" w:cs="Arial" w:eastAsia="Arial" w:hAnsi="Arial"/>
          <w:sz w:val="17"/>
          <w:szCs w:val="17"/>
          <w:color w:val="auto"/>
        </w:rPr>
        <w:t>Administrative Agent shall promptly pay to the applicable Issuing Bank the amounts so received by it from the Lenders. Promptly following receipt by the Administrative Agent of any payment from a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any Issuing Bank for any LC Disbursement (other than the funding of ABR Borrowings or a Swingline Loan as contemplated above) shall not constitute a Loan and shall not relieve any Borrower of its obligation to reimburse such LC Disbursement. Notwithstanding anything to the contrary contained herein, the Non-Extending Lenders shall not have any obligation to reimburse any Issuing Bank for any LC Disbursement made under any Carry-Over Letter of Credit that occurs on or after the Extended Maturity Date or in any Letter of Credit Issued on or after the Existing Maturity Date.</w:t>
      </w:r>
    </w:p>
    <w:p>
      <w:pPr>
        <w:spacing w:after="0" w:line="179" w:lineRule="exact"/>
        <w:rPr>
          <w:sz w:val="20"/>
          <w:szCs w:val="20"/>
          <w:color w:val="auto"/>
        </w:rPr>
      </w:pPr>
    </w:p>
    <w:p>
      <w:pPr>
        <w:ind w:left="1960" w:hanging="655"/>
        <w:spacing w:after="0"/>
        <w:tabs>
          <w:tab w:leader="none" w:pos="196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Borrowers’ joint and several obligations to reimburse LC Disbursements as provided in</w:t>
      </w:r>
    </w:p>
    <w:p>
      <w:pPr>
        <w:spacing w:after="0" w:line="2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respect or any statement therein being untrue or inaccurate in any respect, (iii) payment by an Issuing Bank under a Letter of Credit against presentation of a draft or other document that does not comply with the terms of such Letter of Credit, excluding payments by such Issuing Bank with respect to drafts or other documents that do not comply on their face with the express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any Issuing Bank, nor any of their Affiliates,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an Issuing Bank from liability to the Borrowers to the extent of any direct damages (as opposed to consequential damages, claims in respect of which are hereby waived by the Borrowers to the extent permitted by applicable law) suffered by a Borrower that are caused by such Issuing Bank’s failure to exercise care when determining whether drafts and other documents presented under a Letter of Credit comply with the terms thereof. The parties hereto expressly agree that, in the absence of gross negligence, willful misconduct or unlawful acts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3" w:lineRule="exact"/>
        <w:rPr>
          <w:sz w:val="20"/>
          <w:szCs w:val="20"/>
          <w:color w:val="auto"/>
        </w:rPr>
      </w:pPr>
    </w:p>
    <w:p>
      <w:pPr>
        <w:ind w:right="40" w:firstLine="1305"/>
        <w:spacing w:after="0" w:line="276" w:lineRule="auto"/>
        <w:tabs>
          <w:tab w:leader="none" w:pos="1965"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Disbursement Procedures</w:t>
      </w:r>
      <w:r>
        <w:rPr>
          <w:rFonts w:ascii="Arial" w:cs="Arial" w:eastAsia="Arial" w:hAnsi="Arial"/>
          <w:sz w:val="17"/>
          <w:szCs w:val="17"/>
          <w:color w:val="auto"/>
        </w:rPr>
        <w:t xml:space="preserve">. Each Issuing Bank shall, promptly following its receipt thereof, examine all documents purporting to represent a demand for payment under a Letter of Credit issued by such Issuing Bank. Such Issuing Bank shall promptly notify the Administrative Agent and the Borrower for whose account the Letter of Credit was issued by telephone (confirmed by facsimile) of such demand for payment and whether such Issuing Bank has made or shall make an LC Disbursement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delay in giving such notice shall not relieve the Borrowers of their obligation to reimburse such Issuing Bank and the Lenders with respect to any such LC Disbursement.</w:t>
      </w:r>
    </w:p>
    <w:p>
      <w:pPr>
        <w:spacing w:after="0" w:line="172" w:lineRule="exact"/>
        <w:rPr>
          <w:rFonts w:ascii="Arial" w:cs="Arial" w:eastAsia="Arial" w:hAnsi="Arial"/>
          <w:sz w:val="17"/>
          <w:szCs w:val="17"/>
          <w:color w:val="auto"/>
        </w:rPr>
      </w:pPr>
    </w:p>
    <w:p>
      <w:pPr>
        <w:ind w:right="160" w:firstLine="1305"/>
        <w:spacing w:after="0" w:line="297" w:lineRule="auto"/>
        <w:tabs>
          <w:tab w:leader="none" w:pos="1952"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any Issuing Bank shall make any LC Disbursement, then, unless such LC Disbursement is reimbursed by a Borrower in full on the date such LC Disbursement is made, the unpaid amount thereof shall bear interest, for each day from and including the date such LC Disbursement is made to but excluding the date that such LC Disbursement is reimbursed, at the rate per annum then applicable to ABR Borrowings;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Borrowers fail to reimburse such LC Disbursement when due pursuant to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then </w:t>
      </w:r>
      <w:r>
        <w:rPr>
          <w:rFonts w:ascii="Arial" w:cs="Arial" w:eastAsia="Arial" w:hAnsi="Arial"/>
          <w:sz w:val="16"/>
          <w:szCs w:val="16"/>
          <w:u w:val="single" w:color="auto"/>
          <w:color w:val="auto"/>
        </w:rPr>
        <w:t>Section 2.10(d)(ii)</w:t>
      </w:r>
      <w:r>
        <w:rPr>
          <w:rFonts w:ascii="Arial" w:cs="Arial" w:eastAsia="Arial" w:hAnsi="Arial"/>
          <w:sz w:val="16"/>
          <w:szCs w:val="16"/>
          <w:color w:val="auto"/>
        </w:rPr>
        <w:t xml:space="preserve"> shall apply. Interest accrued pursuant to this paragraph shall be for the account of the applicable Issuing Bank, except that interest accrued on and after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the date of payment by any Lender pursuant to </w:t>
      </w:r>
      <w:r>
        <w:rPr>
          <w:rFonts w:ascii="Arial" w:cs="Arial" w:eastAsia="Arial" w:hAnsi="Arial"/>
          <w:sz w:val="18"/>
          <w:szCs w:val="18"/>
          <w:u w:val="single" w:color="auto"/>
          <w:color w:val="auto"/>
        </w:rPr>
        <w:t>Section 3.01(d)</w:t>
      </w:r>
      <w:r>
        <w:rPr>
          <w:rFonts w:ascii="Arial" w:cs="Arial" w:eastAsia="Arial" w:hAnsi="Arial"/>
          <w:sz w:val="18"/>
          <w:szCs w:val="18"/>
          <w:color w:val="auto"/>
        </w:rPr>
        <w:t xml:space="preserve"> to reimburse such Issuing Bank shall be for the account of such Lender to the extent of such payment.</w:t>
      </w:r>
    </w:p>
    <w:p>
      <w:pPr>
        <w:spacing w:after="0" w:line="170" w:lineRule="exact"/>
        <w:rPr>
          <w:sz w:val="20"/>
          <w:szCs w:val="20"/>
          <w:color w:val="auto"/>
        </w:rPr>
      </w:pPr>
    </w:p>
    <w:p>
      <w:pPr>
        <w:ind w:left="1980" w:hanging="675"/>
        <w:spacing w:after="0"/>
        <w:tabs>
          <w:tab w:leader="none" w:pos="198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Modification and Termination of LC Commitments of Issuing Banks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60" w:firstLine="1293"/>
        <w:spacing w:after="0" w:line="293" w:lineRule="auto"/>
        <w:tabs>
          <w:tab w:leader="none" w:pos="2626"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The LC Commitment of any Issuing Bank may be terminated at any time by written notice by the Borrowers to the Administrative Agent and such Issuing Bank. From and after the effective date of any such termination, the Issuing Bank whose LC Commitment was terminated shall remain a party hereto and shall continue to have all the rights and obligations of an Issuing Bank under this Agreement with respect to Letters of Credit issued by it prior to such termination (and shall continue to be an “Issuing Bank” for purposes of this Agreement), but it shall not be required to issue any additional Letters of Credit hereunder. Following receipt by the Administrative Agent of the Borrowers’ written notice of termination, the Administrative Agent shall amend </w:t>
      </w:r>
      <w:r>
        <w:rPr>
          <w:rFonts w:ascii="Arial" w:cs="Arial" w:eastAsia="Arial" w:hAnsi="Arial"/>
          <w:sz w:val="16"/>
          <w:szCs w:val="16"/>
          <w:u w:val="single" w:color="auto"/>
          <w:color w:val="auto"/>
        </w:rPr>
        <w:t>Schedule 1.01B</w:t>
      </w:r>
      <w:r>
        <w:rPr>
          <w:rFonts w:ascii="Arial" w:cs="Arial" w:eastAsia="Arial" w:hAnsi="Arial"/>
          <w:sz w:val="16"/>
          <w:szCs w:val="16"/>
          <w:color w:val="auto"/>
        </w:rPr>
        <w:t xml:space="preserve"> to remove such Issuing Bank from </w:t>
      </w:r>
      <w:r>
        <w:rPr>
          <w:rFonts w:ascii="Arial" w:cs="Arial" w:eastAsia="Arial" w:hAnsi="Arial"/>
          <w:sz w:val="16"/>
          <w:szCs w:val="16"/>
          <w:u w:val="single" w:color="auto"/>
          <w:color w:val="auto"/>
        </w:rPr>
        <w:t>Schedule 1.01B</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660" w:firstLine="1293"/>
        <w:spacing w:after="0" w:line="254" w:lineRule="auto"/>
        <w:tabs>
          <w:tab w:leader="none" w:pos="263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By written notice to the Borrowers, each Issuing Bank may from time to time request that such Issuing Bank’s LC Commitment be increased, decreased or terminated. Within ten Business Days following receipt of such notice, the Borrowers shall provide such Issuing Bank with notice of their acceptance or rejection of such modification or termination, and if the Borrowers accept such modification or termination, the Borrowers shall also provide a copy of such notice to the Administrative Agent. With respect to a termination of such Issuing Bank’s LC Commitment, from and after the effective date of such termination, such Issuing Bank shall remain a party hereto and shall continue to have all the rights and obligations of an Issuing Bank under this Agreement with respect to Letters of Credit issued by it prior to such modification or termination (and shall continue to be an “Issuing Bank” for purposes of this Agreement), but shall not be required to issue any additional Letters of Credit hereunder.</w:t>
      </w:r>
    </w:p>
    <w:p>
      <w:pPr>
        <w:spacing w:after="0" w:line="192" w:lineRule="exact"/>
        <w:rPr>
          <w:sz w:val="20"/>
          <w:szCs w:val="20"/>
          <w:color w:val="auto"/>
        </w:rPr>
      </w:pPr>
    </w:p>
    <w:p>
      <w:pPr>
        <w:ind w:left="1960" w:hanging="655"/>
        <w:spacing w:after="0"/>
        <w:tabs>
          <w:tab w:leader="none" w:pos="196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Cash Collateralization</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54" w:name="page55"/>
    <w:bookmarkEnd w:id="54"/>
    <w:p>
      <w:pPr>
        <w:ind w:left="2600" w:hanging="667"/>
        <w:spacing w:after="0"/>
        <w:tabs>
          <w:tab w:leader="none" w:pos="26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sz w:val="20"/>
          <w:szCs w:val="20"/>
          <w:color w:val="auto"/>
        </w:rPr>
      </w:pPr>
    </w:p>
    <w:p>
      <w:pPr>
        <w:ind w:left="1940" w:right="180" w:hanging="7"/>
        <w:spacing w:after="0" w:line="312" w:lineRule="auto"/>
        <w:tabs>
          <w:tab w:leader="none" w:pos="223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any Event of Default shall occur and be continuing, on the Business Day that the Borrowers receive notice from the Administrative Agent or the Required Lenders (or, if the maturity of the Loans has been accelerated, Lenders with LC Exposures representing greater than 50% of the Total LC Exposure) demanding the deposit of cash collateral pursuant to this paragraph:</w:t>
      </w:r>
    </w:p>
    <w:p>
      <w:pPr>
        <w:spacing w:after="0" w:line="146" w:lineRule="exact"/>
        <w:rPr>
          <w:rFonts w:ascii="Arial" w:cs="Arial" w:eastAsia="Arial" w:hAnsi="Arial"/>
          <w:sz w:val="16"/>
          <w:szCs w:val="16"/>
          <w:color w:val="auto"/>
        </w:rPr>
      </w:pPr>
    </w:p>
    <w:p>
      <w:pPr>
        <w:ind w:left="1940" w:right="180" w:hanging="7"/>
        <w:spacing w:after="0" w:line="277" w:lineRule="auto"/>
        <w:tabs>
          <w:tab w:leader="none" w:pos="222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on the Existing Maturity Date the Borrowers are required to cash collateralize any portion of the Carry-Over LC Exposure as required by </w:t>
      </w:r>
      <w:r>
        <w:rPr>
          <w:rFonts w:ascii="Arial" w:cs="Arial" w:eastAsia="Arial" w:hAnsi="Arial"/>
          <w:sz w:val="18"/>
          <w:szCs w:val="18"/>
          <w:u w:val="single" w:color="auto"/>
          <w:color w:val="auto"/>
        </w:rPr>
        <w:t>Section 2.06(a)(ii);</w:t>
      </w:r>
    </w:p>
    <w:p>
      <w:pPr>
        <w:spacing w:after="0" w:line="170" w:lineRule="exact"/>
        <w:rPr>
          <w:rFonts w:ascii="Arial" w:cs="Arial" w:eastAsia="Arial" w:hAnsi="Arial"/>
          <w:sz w:val="18"/>
          <w:szCs w:val="18"/>
          <w:color w:val="auto"/>
        </w:rPr>
      </w:pPr>
    </w:p>
    <w:p>
      <w:pPr>
        <w:ind w:left="2220" w:hanging="287"/>
        <w:spacing w:after="0"/>
        <w:tabs>
          <w:tab w:leader="none" w:pos="22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Borrowers are required to cash collateralize LC Exposure pursuant to </w:t>
      </w:r>
      <w:r>
        <w:rPr>
          <w:rFonts w:ascii="Arial" w:cs="Arial" w:eastAsia="Arial" w:hAnsi="Arial"/>
          <w:sz w:val="18"/>
          <w:szCs w:val="18"/>
          <w:u w:val="single" w:color="auto"/>
          <w:color w:val="auto"/>
        </w:rPr>
        <w:t>Section 2.08</w:t>
      </w:r>
      <w:r>
        <w:rPr>
          <w:rFonts w:ascii="Arial" w:cs="Arial" w:eastAsia="Arial" w:hAnsi="Arial"/>
          <w:sz w:val="18"/>
          <w:szCs w:val="18"/>
          <w:color w:val="auto"/>
        </w:rPr>
        <w:t>; 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 any Extended Expiration Letters of Credit are issued and outstanding on the Stated Cash Collateralization Date;</w:t>
      </w:r>
    </w:p>
    <w:p>
      <w:pPr>
        <w:spacing w:after="0" w:line="225" w:lineRule="exact"/>
        <w:rPr>
          <w:sz w:val="20"/>
          <w:szCs w:val="20"/>
          <w:color w:val="auto"/>
        </w:rPr>
      </w:pPr>
    </w:p>
    <w:p>
      <w:pPr>
        <w:ind w:left="640"/>
        <w:spacing w:after="0" w:line="284" w:lineRule="auto"/>
        <w:rPr>
          <w:sz w:val="20"/>
          <w:szCs w:val="20"/>
          <w:color w:val="auto"/>
        </w:rPr>
      </w:pPr>
      <w:r>
        <w:rPr>
          <w:rFonts w:ascii="Arial" w:cs="Arial" w:eastAsia="Arial" w:hAnsi="Arial"/>
          <w:sz w:val="16"/>
          <w:szCs w:val="16"/>
          <w:color w:val="auto"/>
        </w:rPr>
        <w:t>then the Borrowers shall deposit in an account maintained with the Administrative Agent, in the name of the Administrative Agent and for the benefit of the Issuing Banks and the Lenders (the “</w:t>
      </w:r>
      <w:r>
        <w:rPr>
          <w:rFonts w:ascii="Arial" w:cs="Arial" w:eastAsia="Arial" w:hAnsi="Arial"/>
          <w:sz w:val="16"/>
          <w:szCs w:val="16"/>
          <w:u w:val="single" w:color="auto"/>
          <w:color w:val="auto"/>
        </w:rPr>
        <w:t>LC Collateral Account</w:t>
      </w:r>
      <w:r>
        <w:rPr>
          <w:rFonts w:ascii="Arial" w:cs="Arial" w:eastAsia="Arial" w:hAnsi="Arial"/>
          <w:sz w:val="16"/>
          <w:szCs w:val="16"/>
          <w:color w:val="auto"/>
        </w:rPr>
        <w:t xml:space="preserve">”), an amount in cash equal to (w) in the case of clause (A) immediately above, 105% of the Total LC Exposure as of such date plus any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joint and several obligation of the Borrowers to deposit such cash collateral shall become effective immediately, and such deposit shall become immediately due and payable, without demand or other notice of any kind, upon the occurrence of any Event of Default with respect to a Borrower described in clause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or (x) in the case of clause (B) immediately above, 105% of the aggregate amount of Carry-Over LC Exposure that could not be reallocated to the Extending Lenders issued by such Issuing Bank or (y) in the case of clause (C) immediately above, an amount necessary to satisfy the requirements of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or (z) in the case of clause (D) immediately above, 105% of the Total LC Exposure with respect to any Extended Expiration Letters of Credit on the Stated Cash Collateralization Date. Any such deposits pursuant to this </w:t>
      </w:r>
      <w:r>
        <w:rPr>
          <w:rFonts w:ascii="Arial" w:cs="Arial" w:eastAsia="Arial" w:hAnsi="Arial"/>
          <w:sz w:val="16"/>
          <w:szCs w:val="16"/>
          <w:u w:val="single" w:color="auto"/>
          <w:color w:val="auto"/>
        </w:rPr>
        <w:t>Section 3.01(j)(i)</w:t>
      </w:r>
      <w:r>
        <w:rPr>
          <w:rFonts w:ascii="Arial" w:cs="Arial" w:eastAsia="Arial" w:hAnsi="Arial"/>
          <w:sz w:val="16"/>
          <w:szCs w:val="16"/>
          <w:color w:val="auto"/>
        </w:rPr>
        <w:t xml:space="preserve"> shall be held by the Administrative Agent as collateral for the payment and performance of the Borrowers’ reimbursement and other obligations in respect of Letters of Credit under this Agreement. The Administrative Agent shall have exclusive dominion and control, as defined in the Uniform Commercial Code of the State of New York, including the exclusive right of withdrawal, over the LC Collateral Account, and each Borrower hereby grants the Administrative Agent a security interest in the LC Collateral Account. The Administrative Agent shall have no obligation to pay interest on the investment of such deposits, but the Administrative Agent shall invest such deposits in a manner consistent with the Administrative Agent’s management of its own overnight cash investments, which investments shall be made at the Borrowers’ risk and expense. Interest or profits, if any, on such investments shall accumulate in the LC Collateral Account. Moneys in the LC Collateral Account shall be applied by the Administrative Agent to reimburse the Issuing Banks for LC Disbursements made by the Issuing Banks for which they have not been reimbursed and, to the extent not so applied, shall be held for the satisfaction of the joint and several reimbursement obligations of the Borrowers pursuant to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or, if the maturity of the Loans has been accelerated (but subject to the consent of Lenders with LC Exposures representing greater than 50% of the Total LC Exposure), be applied to satisfy other obligations of the Borrowers under this Agreement. If the Borrowers are required to provide an amount of cash collateral (1) as a result of the occurrence of an Event of Default, such amount (to the extent not applied as provided in this </w:t>
      </w:r>
      <w:r>
        <w:rPr>
          <w:rFonts w:ascii="Arial" w:cs="Arial" w:eastAsia="Arial" w:hAnsi="Arial"/>
          <w:sz w:val="16"/>
          <w:szCs w:val="16"/>
          <w:u w:val="single" w:color="auto"/>
          <w:color w:val="auto"/>
        </w:rPr>
        <w:t>Section 3.01(j)(i)</w:t>
      </w:r>
      <w:r>
        <w:rPr>
          <w:rFonts w:ascii="Arial" w:cs="Arial" w:eastAsia="Arial" w:hAnsi="Arial"/>
          <w:sz w:val="16"/>
          <w:szCs w:val="16"/>
          <w:color w:val="auto"/>
        </w:rPr>
        <w:t xml:space="preserve">) shall be returned to the Borrowers within three Business Days after all Events of Default have been cured or waived, (2) as a result of Carry-Over LC Exposure that has not been reallocated to the Extending Lenders, such cash collateral (to the extent not applied as provided in this </w:t>
      </w:r>
      <w:r>
        <w:rPr>
          <w:rFonts w:ascii="Arial" w:cs="Arial" w:eastAsia="Arial" w:hAnsi="Arial"/>
          <w:sz w:val="16"/>
          <w:szCs w:val="16"/>
          <w:u w:val="single" w:color="auto"/>
          <w:color w:val="auto"/>
        </w:rPr>
        <w:t>Section 3.01(j)(i)</w:t>
      </w:r>
      <w:r>
        <w:rPr>
          <w:rFonts w:ascii="Arial" w:cs="Arial" w:eastAsia="Arial" w:hAnsi="Arial"/>
          <w:sz w:val="16"/>
          <w:szCs w:val="16"/>
          <w:color w:val="auto"/>
        </w:rPr>
        <w:t xml:space="preserve">) shall be returned to the Borrowers within three Business Days after the date described in </w:t>
      </w:r>
      <w:r>
        <w:rPr>
          <w:rFonts w:ascii="Arial" w:cs="Arial" w:eastAsia="Arial" w:hAnsi="Arial"/>
          <w:sz w:val="16"/>
          <w:szCs w:val="16"/>
          <w:u w:val="single" w:color="auto"/>
          <w:color w:val="auto"/>
        </w:rPr>
        <w:t>Section 2.06(a)(ii)</w:t>
      </w:r>
      <w:r>
        <w:rPr>
          <w:rFonts w:ascii="Arial" w:cs="Arial" w:eastAsia="Arial" w:hAnsi="Arial"/>
          <w:sz w:val="16"/>
          <w:szCs w:val="16"/>
          <w:color w:val="auto"/>
        </w:rPr>
        <w:t xml:space="preserve">, (3)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the Total Revolving Credit Exposure is subsequently reduced to an amount less than the Aggregate Commitments, such cash collateral (to the extent not applied as provided in this </w:t>
      </w:r>
      <w:r>
        <w:rPr>
          <w:rFonts w:ascii="Arial" w:cs="Arial" w:eastAsia="Arial" w:hAnsi="Arial"/>
          <w:sz w:val="16"/>
          <w:szCs w:val="16"/>
          <w:u w:val="single" w:color="auto"/>
          <w:color w:val="auto"/>
        </w:rPr>
        <w:t>Section 3.01(j)(i)</w:t>
      </w:r>
      <w:r>
        <w:rPr>
          <w:rFonts w:ascii="Arial" w:cs="Arial" w:eastAsia="Arial" w:hAnsi="Arial"/>
          <w:sz w:val="16"/>
          <w:szCs w:val="16"/>
          <w:color w:val="auto"/>
        </w:rPr>
        <w:t>) or a portion thereof shall be promptly returned to the Borrowers to the extent that the amount of the Total Revolving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00"/>
        <w:spacing w:after="0" w:line="312" w:lineRule="auto"/>
        <w:rPr>
          <w:sz w:val="20"/>
          <w:szCs w:val="20"/>
          <w:color w:val="auto"/>
        </w:rPr>
      </w:pPr>
      <w:r>
        <w:rPr>
          <w:rFonts w:ascii="Arial" w:cs="Arial" w:eastAsia="Arial" w:hAnsi="Arial"/>
          <w:sz w:val="16"/>
          <w:szCs w:val="16"/>
          <w:color w:val="auto"/>
        </w:rPr>
        <w:t xml:space="preserve">Credit Exposure is less than the amount of the Aggregate Commitments or (4) as a result of any Extended Expiration Letters of Credit, such amount (to the extent not applied as provided in this </w:t>
      </w:r>
      <w:r>
        <w:rPr>
          <w:rFonts w:ascii="Arial" w:cs="Arial" w:eastAsia="Arial" w:hAnsi="Arial"/>
          <w:sz w:val="16"/>
          <w:szCs w:val="16"/>
          <w:u w:val="single" w:color="auto"/>
          <w:color w:val="auto"/>
        </w:rPr>
        <w:t>Section 3.01(j)(i)</w:t>
      </w:r>
      <w:r>
        <w:rPr>
          <w:rFonts w:ascii="Arial" w:cs="Arial" w:eastAsia="Arial" w:hAnsi="Arial"/>
          <w:sz w:val="16"/>
          <w:szCs w:val="16"/>
          <w:color w:val="auto"/>
        </w:rPr>
        <w:t>) shall be returned to the Borrowers within three Business Days after each such Extended Expiration Letter of Credit has expired or terminated without any pending draw under such Extended Expiration Letter of Credit.</w:t>
      </w:r>
    </w:p>
    <w:p>
      <w:pPr>
        <w:spacing w:after="0" w:line="147" w:lineRule="exact"/>
        <w:rPr>
          <w:sz w:val="20"/>
          <w:szCs w:val="20"/>
          <w:color w:val="auto"/>
        </w:rPr>
      </w:pPr>
    </w:p>
    <w:p>
      <w:pPr>
        <w:jc w:val="both"/>
        <w:ind w:left="640" w:right="40" w:firstLine="1293"/>
        <w:spacing w:after="0" w:line="288" w:lineRule="auto"/>
        <w:tabs>
          <w:tab w:leader="none" w:pos="261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The obligations of each of the Borrowers and the Lenders under this Agreement and the other Loan Documents regarding Letters of Credit, including obligations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shall survive after the Extended Maturity Date and termination of this Agreement for so long as any LC Exposure exists (whether or not all or any portion of such LC Exposure has been cash collateralized as described in</w:t>
      </w:r>
    </w:p>
    <w:p>
      <w:pPr>
        <w:ind w:left="640"/>
        <w:spacing w:after="0"/>
        <w:rPr>
          <w:rFonts w:ascii="Arial" w:cs="Arial" w:eastAsia="Arial" w:hAnsi="Arial"/>
          <w:sz w:val="16"/>
          <w:szCs w:val="16"/>
          <w:color w:val="auto"/>
        </w:rPr>
      </w:pPr>
      <w:r>
        <w:rPr>
          <w:rFonts w:ascii="Arial" w:cs="Arial" w:eastAsia="Arial" w:hAnsi="Arial"/>
          <w:sz w:val="18"/>
          <w:szCs w:val="18"/>
          <w:u w:val="single" w:color="auto"/>
          <w:color w:val="auto"/>
        </w:rPr>
        <w:t>Section 3.01(j)</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2620" w:hanging="687"/>
        <w:spacing w:after="0"/>
        <w:tabs>
          <w:tab w:leader="none" w:pos="26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the avoidance of doubt, (x) each Non-Extending Lender confirms that its respective obligations under</w:t>
      </w:r>
    </w:p>
    <w:p>
      <w:pPr>
        <w:spacing w:after="0" w:line="23" w:lineRule="exact"/>
        <w:rPr>
          <w:sz w:val="20"/>
          <w:szCs w:val="20"/>
          <w:color w:val="auto"/>
        </w:rPr>
      </w:pPr>
    </w:p>
    <w:p>
      <w:pPr>
        <w:ind w:left="640"/>
        <w:spacing w:after="0" w:line="281" w:lineRule="auto"/>
        <w:rPr>
          <w:sz w:val="20"/>
          <w:szCs w:val="20"/>
          <w:color w:val="auto"/>
        </w:rPr>
      </w:pPr>
      <w:r>
        <w:rPr>
          <w:rFonts w:ascii="Arial" w:cs="Arial" w:eastAsia="Arial" w:hAnsi="Arial"/>
          <w:sz w:val="16"/>
          <w:szCs w:val="16"/>
          <w:u w:val="single" w:color="auto"/>
          <w:color w:val="auto"/>
        </w:rPr>
        <w:t>Section 3.01(d)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w:t>
      </w:r>
      <w:r>
        <w:rPr>
          <w:rFonts w:ascii="Arial" w:cs="Arial" w:eastAsia="Arial" w:hAnsi="Arial"/>
          <w:sz w:val="16"/>
          <w:szCs w:val="16"/>
          <w:color w:val="auto"/>
        </w:rPr>
        <w:t xml:space="preserve"> in respect of Letters of Credit other than Carry-Over Letters of Credit shall be reinstated in full and apply if the delivery of any cash collateral pursuant to this </w:t>
      </w:r>
      <w:r>
        <w:rPr>
          <w:rFonts w:ascii="Arial" w:cs="Arial" w:eastAsia="Arial" w:hAnsi="Arial"/>
          <w:sz w:val="16"/>
          <w:szCs w:val="16"/>
          <w:u w:val="single" w:color="auto"/>
          <w:color w:val="auto"/>
        </w:rPr>
        <w:t>Section 3.01(j)</w:t>
      </w:r>
      <w:r>
        <w:rPr>
          <w:rFonts w:ascii="Arial" w:cs="Arial" w:eastAsia="Arial" w:hAnsi="Arial"/>
          <w:sz w:val="16"/>
          <w:szCs w:val="16"/>
          <w:color w:val="auto"/>
        </w:rPr>
        <w:t xml:space="preserve"> in respect of such Letters of Credit is subsequently invalidated, declared to be fraudulent or preferential, set aside or required to be repaid to a trustee, receiver or any other party, in the case of any event with respect to any Borrower described in </w:t>
      </w:r>
      <w:r>
        <w:rPr>
          <w:rFonts w:ascii="Arial" w:cs="Arial" w:eastAsia="Arial" w:hAnsi="Arial"/>
          <w:sz w:val="16"/>
          <w:szCs w:val="16"/>
          <w:u w:val="single" w:color="auto"/>
          <w:color w:val="auto"/>
        </w:rPr>
        <w:t>Section 9.01(i)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9.01(j)</w:t>
      </w:r>
      <w:r>
        <w:rPr>
          <w:rFonts w:ascii="Arial" w:cs="Arial" w:eastAsia="Arial" w:hAnsi="Arial"/>
          <w:sz w:val="16"/>
          <w:szCs w:val="16"/>
          <w:color w:val="auto"/>
        </w:rPr>
        <w:t xml:space="preserve"> or otherwise and (y) each Extending Lender confirms that its respective obligations under </w:t>
      </w:r>
      <w:r>
        <w:rPr>
          <w:rFonts w:ascii="Arial" w:cs="Arial" w:eastAsia="Arial" w:hAnsi="Arial"/>
          <w:sz w:val="16"/>
          <w:szCs w:val="16"/>
          <w:u w:val="single" w:color="auto"/>
          <w:color w:val="auto"/>
        </w:rPr>
        <w:t>Section 3.01(d)</w:t>
      </w:r>
      <w:r>
        <w:rPr>
          <w:rFonts w:ascii="Arial" w:cs="Arial" w:eastAsia="Arial" w:hAnsi="Arial"/>
          <w:sz w:val="16"/>
          <w:szCs w:val="16"/>
          <w:color w:val="auto"/>
        </w:rPr>
        <w:t xml:space="preserve"> and</w:t>
      </w:r>
    </w:p>
    <w:p>
      <w:pPr>
        <w:spacing w:after="0" w:line="3" w:lineRule="exact"/>
        <w:rPr>
          <w:sz w:val="20"/>
          <w:szCs w:val="20"/>
          <w:color w:val="auto"/>
        </w:rPr>
      </w:pPr>
    </w:p>
    <w:p>
      <w:pPr>
        <w:ind w:left="640" w:right="180" w:hanging="4"/>
        <w:spacing w:after="0" w:line="302" w:lineRule="auto"/>
        <w:tabs>
          <w:tab w:leader="none" w:pos="885" w:val="left"/>
        </w:tabs>
        <w:numPr>
          <w:ilvl w:val="0"/>
          <w:numId w:val="127"/>
        </w:numPr>
        <w:rPr>
          <w:rFonts w:ascii="Arial" w:cs="Arial" w:eastAsia="Arial" w:hAnsi="Arial"/>
          <w:sz w:val="16"/>
          <w:szCs w:val="16"/>
          <w:u w:val="single" w:color="auto"/>
          <w:color w:val="auto"/>
        </w:rPr>
      </w:pPr>
      <w:r>
        <w:rPr>
          <w:rFonts w:ascii="Arial" w:cs="Arial" w:eastAsia="Arial" w:hAnsi="Arial"/>
          <w:sz w:val="16"/>
          <w:szCs w:val="16"/>
          <w:color w:val="auto"/>
        </w:rPr>
        <w:t xml:space="preserve">in respect of all Letters of Credit shall be reinstated in full and apply if the delivery of any cash collateral pursuant to this </w:t>
      </w:r>
      <w:r>
        <w:rPr>
          <w:rFonts w:ascii="Arial" w:cs="Arial" w:eastAsia="Arial" w:hAnsi="Arial"/>
          <w:sz w:val="16"/>
          <w:szCs w:val="16"/>
          <w:u w:val="single" w:color="auto"/>
          <w:color w:val="auto"/>
        </w:rPr>
        <w:t>Section 3.01(j)</w:t>
      </w:r>
      <w:r>
        <w:rPr>
          <w:rFonts w:ascii="Arial" w:cs="Arial" w:eastAsia="Arial" w:hAnsi="Arial"/>
          <w:sz w:val="16"/>
          <w:szCs w:val="16"/>
          <w:color w:val="auto"/>
        </w:rPr>
        <w:t xml:space="preserve"> in respect of such Letters of Credit is subsequently invalidated, declared to be fraudulent or preferential, set aside or required to be repaid to a trustee, receiver or any other party, in the case of any event with respect to any Borrower described in </w:t>
      </w:r>
      <w:r>
        <w:rPr>
          <w:rFonts w:ascii="Arial" w:cs="Arial" w:eastAsia="Arial" w:hAnsi="Arial"/>
          <w:sz w:val="16"/>
          <w:szCs w:val="16"/>
          <w:u w:val="single" w:color="auto"/>
          <w:color w:val="auto"/>
        </w:rPr>
        <w:t>Section 9.01(i)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9.01(j)</w:t>
      </w:r>
      <w:r>
        <w:rPr>
          <w:rFonts w:ascii="Arial" w:cs="Arial" w:eastAsia="Arial" w:hAnsi="Arial"/>
          <w:sz w:val="16"/>
          <w:szCs w:val="16"/>
          <w:color w:val="auto"/>
        </w:rPr>
        <w:t xml:space="preserve"> or otherwise.</w:t>
      </w:r>
    </w:p>
    <w:p>
      <w:pPr>
        <w:spacing w:after="0" w:line="155" w:lineRule="exact"/>
        <w:rPr>
          <w:rFonts w:ascii="Arial" w:cs="Arial" w:eastAsia="Arial" w:hAnsi="Arial"/>
          <w:sz w:val="16"/>
          <w:szCs w:val="16"/>
          <w:u w:val="single" w:color="auto"/>
          <w:color w:val="auto"/>
        </w:rPr>
      </w:pPr>
    </w:p>
    <w:p>
      <w:pPr>
        <w:ind w:left="-20" w:right="160" w:firstLine="1305"/>
        <w:spacing w:after="0" w:line="272" w:lineRule="auto"/>
        <w:tabs>
          <w:tab w:leader="none" w:pos="1932" w:val="left"/>
        </w:tabs>
        <w:numPr>
          <w:ilvl w:val="1"/>
          <w:numId w:val="127"/>
        </w:numPr>
        <w:rPr>
          <w:rFonts w:ascii="Arial" w:cs="Arial" w:eastAsia="Arial" w:hAnsi="Arial"/>
          <w:sz w:val="17"/>
          <w:szCs w:val="17"/>
          <w:color w:val="auto"/>
        </w:rPr>
      </w:pPr>
      <w:r>
        <w:rPr>
          <w:rFonts w:ascii="Arial" w:cs="Arial" w:eastAsia="Arial" w:hAnsi="Arial"/>
          <w:sz w:val="17"/>
          <w:szCs w:val="17"/>
          <w:u w:val="single" w:color="auto"/>
          <w:color w:val="auto"/>
        </w:rPr>
        <w:t>Designation of Additional Issuing Banks</w:t>
      </w:r>
      <w:r>
        <w:rPr>
          <w:rFonts w:ascii="Arial" w:cs="Arial" w:eastAsia="Arial" w:hAnsi="Arial"/>
          <w:sz w:val="17"/>
          <w:szCs w:val="17"/>
          <w:color w:val="auto"/>
        </w:rPr>
        <w:t>. From time to time, the Borrowers may by notice to the Administrative Agent and the Lenders designate as additional Issuing Banks one or more Lenders that agree to serve in such capacity as provided below. The acceptance by a Lender of any appointment as an Issuing Bank hereunder shall be evidenced by an agreement (an “</w:t>
      </w:r>
      <w:r>
        <w:rPr>
          <w:rFonts w:ascii="Arial" w:cs="Arial" w:eastAsia="Arial" w:hAnsi="Arial"/>
          <w:sz w:val="17"/>
          <w:szCs w:val="17"/>
          <w:u w:val="single" w:color="auto"/>
          <w:color w:val="auto"/>
        </w:rPr>
        <w:t>Issuing Bank Agreement</w:t>
      </w:r>
      <w:r>
        <w:rPr>
          <w:rFonts w:ascii="Arial" w:cs="Arial" w:eastAsia="Arial" w:hAnsi="Arial"/>
          <w:sz w:val="17"/>
          <w:szCs w:val="17"/>
          <w:color w:val="auto"/>
        </w:rPr>
        <w:t>”), which shall be in a form reasonably satisfactory to the Borrowers and the Administrative Agent, shall set forth the LC Commitment of such Lender and shall be executed by such Lender, the Borrowers and the Administrative Agent and, from and after the effective date of such Issuing Bank Agreement, (i) such Lender shall have all the rights and obligations of an Issuing Bank under this Agreement and the other Loan Documents and (ii) references herein and in the other Loan Documents to the term “Issuing Bank” shall be deemed to include such Lender in its capacity as an Issuing Bank.</w:t>
      </w:r>
    </w:p>
    <w:p>
      <w:pPr>
        <w:sectPr>
          <w:pgSz w:w="11900" w:h="16838" w:orient="portrait"/>
          <w:cols w:equalWidth="0" w:num="1">
            <w:col w:w="11400"/>
          </w:cols>
          <w:pgMar w:left="260" w:top="125" w:right="239" w:bottom="0" w:gutter="0" w:footer="0" w:header="0"/>
        </w:sectPr>
      </w:pPr>
    </w:p>
    <w:bookmarkStart w:id="55" w:name="page56"/>
    <w:bookmarkEnd w:id="55"/>
    <w:p>
      <w:pPr>
        <w:spacing w:after="0" w:line="86" w:lineRule="exact"/>
        <w:rPr>
          <w:sz w:val="20"/>
          <w:szCs w:val="20"/>
          <w:color w:val="auto"/>
        </w:rPr>
      </w:pPr>
    </w:p>
    <w:p>
      <w:pPr>
        <w:ind w:right="80" w:firstLine="1305"/>
        <w:spacing w:after="0" w:line="279" w:lineRule="auto"/>
        <w:tabs>
          <w:tab w:leader="none" w:pos="1966"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Classification of Letters of Credit</w:t>
      </w:r>
      <w:r>
        <w:rPr>
          <w:rFonts w:ascii="Arial" w:cs="Arial" w:eastAsia="Arial" w:hAnsi="Arial"/>
          <w:sz w:val="17"/>
          <w:szCs w:val="17"/>
          <w:color w:val="auto"/>
        </w:rPr>
        <w:t>. Notwithstanding anything to the contrary contained herein, the determination of whether a Letter of Credit shall be classified as a Financial Standby Letter of Credit or a Performance Standby Letter of Credit for purposes hereof shall be made by the Issuing Bank that has issued such Letter of Credit, and such determination shall be presumed correct, absent manifest error. Upon the issuance of a Letter or Credit by an Issuing Bank, such Issuing Bank shall notify the Administrative Agent as to whether such Letter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of Credit shall be classified a Financial Standby Letter of Credit or a Performance Standby Letter of Credit for purposes hereof.</w:t>
      </w:r>
    </w:p>
    <w:p>
      <w:pPr>
        <w:spacing w:after="0" w:line="225" w:lineRule="exact"/>
        <w:rPr>
          <w:sz w:val="20"/>
          <w:szCs w:val="20"/>
          <w:color w:val="auto"/>
        </w:rPr>
      </w:pPr>
    </w:p>
    <w:p>
      <w:pPr>
        <w:ind w:right="80" w:firstLine="1305"/>
        <w:spacing w:after="0" w:line="289" w:lineRule="auto"/>
        <w:tabs>
          <w:tab w:leader="none" w:pos="1948"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Letters of Credit Issued for Account of Restricted Subsidiaries</w:t>
      </w:r>
      <w:r>
        <w:rPr>
          <w:rFonts w:ascii="Arial" w:cs="Arial" w:eastAsia="Arial" w:hAnsi="Arial"/>
          <w:sz w:val="16"/>
          <w:szCs w:val="16"/>
          <w:color w:val="auto"/>
        </w:rPr>
        <w:t>. Notwithstanding that a Letter of Credit issued or outstanding hereunder supports any obligations of, or is for the account of, a Restricted Subsidiary, or states that a Restricted Subsidiary is the “account party,” “applicant,” “customer,” “instructing party,” or the like of or for such Letter of Credit, and without derogating from any rights of the applicable Issuing Bank (whether arising by contract, at law, in equity or otherwise) against such Restricted Subsidiary in respect of such Letter of Credit, (i) the Borrowers, jointly and severally, shall reimburse, indemnify and compensate the applicable Issuing Bank hereunder for such Letter of Credit (including to reimburse any and all drawings thereunder) as if such Letter of Credit had been issued solely for the account of a Borrower and (ii) each Borrower irrevocably waives any and all defenses that might otherwise be available to it as a guarantor or surety of any or all of the obligations of such Restricted Subsidiary in respect of such Letter of Credit. Each of the Borrowers hereby acknowledges that the issuance of such Letters of Credit for Restricted Subsidiaries inures to the benefit of such Borrower, and that such Borrower’s business derives substantial benefits from the businesses of the Restricted Subsidiaries.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PAYMENTS; PRO RATA TREATMENT; TAXES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84" w:lineRule="auto"/>
        <w:tabs>
          <w:tab w:leader="none" w:pos="1942" w:val="left"/>
        </w:tabs>
        <w:numPr>
          <w:ilvl w:val="1"/>
          <w:numId w:val="130"/>
        </w:numPr>
        <w:rPr>
          <w:rFonts w:ascii="Arial" w:cs="Arial" w:eastAsia="Arial" w:hAnsi="Arial"/>
          <w:sz w:val="16"/>
          <w:szCs w:val="16"/>
          <w:color w:val="auto"/>
        </w:rPr>
      </w:pPr>
      <w:r>
        <w:rPr>
          <w:rFonts w:ascii="Arial" w:cs="Arial" w:eastAsia="Arial" w:hAnsi="Arial"/>
          <w:sz w:val="16"/>
          <w:szCs w:val="16"/>
          <w:color w:val="auto"/>
        </w:rPr>
        <w:t xml:space="preserve">Each Borrower shall make each payment required to be made by it hereunder (whether of principal, interest, fees or reimbursement of LC Disbursements, or of amounts payable under </w:t>
      </w:r>
      <w:r>
        <w:rPr>
          <w:rFonts w:ascii="Arial" w:cs="Arial" w:eastAsia="Arial" w:hAnsi="Arial"/>
          <w:sz w:val="16"/>
          <w:szCs w:val="16"/>
          <w:u w:val="single" w:color="auto"/>
          <w:color w:val="auto"/>
        </w:rPr>
        <w:t>Sections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or otherwise) prior to 12:00 noon,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270 Park Avenue, New York,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payments to be made directly to an Issuing Bank or a Swingline Lender as expressly provided herein shall be made directly to such Issuing Bank or such Swingline Lender, as applicable, and</w:t>
      </w:r>
    </w:p>
    <w:p>
      <w:pPr>
        <w:spacing w:after="0" w:line="4" w:lineRule="exact"/>
        <w:rPr>
          <w:rFonts w:ascii="Arial" w:cs="Arial" w:eastAsia="Arial" w:hAnsi="Arial"/>
          <w:sz w:val="16"/>
          <w:szCs w:val="16"/>
          <w:color w:val="auto"/>
        </w:rPr>
      </w:pPr>
    </w:p>
    <w:p>
      <w:pPr>
        <w:ind w:right="60" w:firstLine="8"/>
        <w:spacing w:after="0" w:line="251" w:lineRule="auto"/>
        <w:tabs>
          <w:tab w:leader="none" w:pos="26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payments pursuant to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(or of any breakage indemnity in respect of any Loan) shall be made in Dollars; all other payments hereunder (except in connection with reimbursement of LC Disbursements, as specifically provided in </w:t>
      </w:r>
      <w:r>
        <w:rPr>
          <w:rFonts w:ascii="Arial" w:cs="Arial" w:eastAsia="Arial" w:hAnsi="Arial"/>
          <w:sz w:val="18"/>
          <w:szCs w:val="18"/>
          <w:u w:val="single" w:color="auto"/>
          <w:color w:val="auto"/>
        </w:rPr>
        <w:t>Section 3.01(e)</w:t>
      </w:r>
      <w:r>
        <w:rPr>
          <w:rFonts w:ascii="Arial" w:cs="Arial" w:eastAsia="Arial" w:hAnsi="Arial"/>
          <w:sz w:val="18"/>
          <w:szCs w:val="18"/>
          <w:color w:val="auto"/>
        </w:rPr>
        <w:t>) and under each other Loan Document shall be made in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system used by the Administrative Agent to make such payment. Notwithstanding the foregoing provisions of this Section, if, after the issuance of any Letter of Credit in any Alternative Currency, currency control or exchange regulations are imposed in the country which issues such currency with the result that the type of currency in which the Letter of Credit was issued (herein, the “</w:t>
      </w:r>
      <w:r>
        <w:rPr>
          <w:rFonts w:ascii="Arial" w:cs="Arial" w:eastAsia="Arial" w:hAnsi="Arial"/>
          <w:sz w:val="17"/>
          <w:szCs w:val="17"/>
          <w:u w:val="single" w:color="auto"/>
          <w:color w:val="auto"/>
        </w:rPr>
        <w:t>original currency</w:t>
      </w:r>
      <w:r>
        <w:rPr>
          <w:rFonts w:ascii="Arial" w:cs="Arial" w:eastAsia="Arial" w:hAnsi="Arial"/>
          <w:sz w:val="17"/>
          <w:szCs w:val="17"/>
          <w:color w:val="auto"/>
        </w:rPr>
        <w:t xml:space="preserve">”) no longer exists or for any reason the relevant Borrower is not able to make payment to the Issuing Bank in such original currency, or the terms of this Agreement require the conversion of such Letter of Credit or the related Letter of Credit Exposure into Dollars (including as required by </w:t>
      </w:r>
      <w:r>
        <w:rPr>
          <w:rFonts w:ascii="Arial" w:cs="Arial" w:eastAsia="Arial" w:hAnsi="Arial"/>
          <w:sz w:val="17"/>
          <w:szCs w:val="17"/>
          <w:u w:val="single" w:color="auto"/>
          <w:color w:val="auto"/>
        </w:rPr>
        <w:t>Sections 3.01(c)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3.01(d)</w:t>
      </w:r>
      <w:r>
        <w:rPr>
          <w:rFonts w:ascii="Arial" w:cs="Arial" w:eastAsia="Arial" w:hAnsi="Arial"/>
          <w:sz w:val="17"/>
          <w:szCs w:val="17"/>
          <w:color w:val="auto"/>
        </w:rPr>
        <w:t>), then all payments to be made by such Borrower hereunder in such currency shall instead be made when due in Dollars in an amount equal to the Dollar Equivalent (as of the date of repayment) of such payment due, it being the intention of the parties hereto that each Borrower takes all risks of the imposition of any such currency control or exchange regulations or conversion, and each Borrower agrees to indemnify and hold harmless the Issuing Banks, the Administrative Agent and the Lenders from and against any loss resulting from any Letter of Credit denominated in an Alternative Currency that is not repaid to the Issuing Banks, the Administrative Agent or the Lenders, as the case may be, in the original currency.</w:t>
      </w:r>
    </w:p>
    <w:p>
      <w:pPr>
        <w:spacing w:after="0" w:line="178" w:lineRule="exact"/>
        <w:rPr>
          <w:sz w:val="20"/>
          <w:szCs w:val="20"/>
          <w:color w:val="auto"/>
        </w:rPr>
      </w:pPr>
    </w:p>
    <w:p>
      <w:pPr>
        <w:ind w:right="200" w:firstLine="1305"/>
        <w:spacing w:after="0" w:line="257" w:lineRule="auto"/>
        <w:tabs>
          <w:tab w:leader="none" w:pos="19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If at any time insufficient funds are received by and available to the Administrative Agent to pay fully all amounts of principal, unreimbursed LC Disbursements, interest and fees then due hereunder, such funds shall be applied (i)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towards payment of interest and fees then due hereunder, ratably among the parties entitled thereto in accordance with the amounts of interest and fees then due to such parties, and (ii) </w:t>
      </w:r>
      <w:r>
        <w:rPr>
          <w:rFonts w:ascii="Arial" w:cs="Arial" w:eastAsia="Arial" w:hAnsi="Arial"/>
          <w:sz w:val="18"/>
          <w:szCs w:val="18"/>
          <w:i w:val="1"/>
          <w:iCs w:val="1"/>
          <w:color w:val="auto"/>
        </w:rPr>
        <w:t>second</w:t>
      </w:r>
      <w:r>
        <w:rPr>
          <w:rFonts w:ascii="Arial" w:cs="Arial" w:eastAsia="Arial" w:hAnsi="Arial"/>
          <w:sz w:val="18"/>
          <w:szCs w:val="18"/>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188" w:lineRule="exact"/>
        <w:rPr>
          <w:rFonts w:ascii="Arial" w:cs="Arial" w:eastAsia="Arial" w:hAnsi="Arial"/>
          <w:sz w:val="18"/>
          <w:szCs w:val="18"/>
          <w:color w:val="auto"/>
        </w:rPr>
      </w:pPr>
    </w:p>
    <w:p>
      <w:pPr>
        <w:ind w:firstLine="1305"/>
        <w:spacing w:after="0" w:line="286" w:lineRule="auto"/>
        <w:tabs>
          <w:tab w:leader="none" w:pos="195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 Borrower pursuant to and in accordance with the express terms of this Agreement or any payment obtained by a Lender as consideration for the assignment of or sale of a participation in any of its Loans or participations in LC Disbursements or Swingline Loans to any assignee or participant, other than to a Borrower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w:t>
      </w:r>
    </w:p>
    <w:p>
      <w:pPr>
        <w:sectPr>
          <w:pgSz w:w="11900" w:h="16924" w:orient="portrait"/>
          <w:cols w:equalWidth="0" w:num="1">
            <w:col w:w="11420"/>
          </w:cols>
          <w:pgMar w:left="240" w:top="125" w:right="239" w:bottom="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participation as fully as if such Lender were a direct creditor of such Borrower in the amount of such participation.</w:t>
      </w:r>
    </w:p>
    <w:p>
      <w:pPr>
        <w:spacing w:after="0" w:line="225" w:lineRule="exact"/>
        <w:rPr>
          <w:sz w:val="20"/>
          <w:szCs w:val="20"/>
          <w:color w:val="auto"/>
        </w:rPr>
      </w:pPr>
    </w:p>
    <w:p>
      <w:pPr>
        <w:ind w:right="60" w:firstLine="1305"/>
        <w:spacing w:after="0" w:line="271" w:lineRule="auto"/>
        <w:tabs>
          <w:tab w:leader="none" w:pos="1952" w:val="left"/>
        </w:tabs>
        <w:numPr>
          <w:ilvl w:val="0"/>
          <w:numId w:val="133"/>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a Borrower prior to the date on which any payment is due to the Administrative Agent for the account of the Lenders or any Issuing Bank hereunder that such Borrower shall not make such payment, the Administrative Agent may assume that such Borrower has made such payment on such date in accordance herewith and may, in reliance upon such assumption, distribute to the Lenders or such Issuing Bank, as the case may be, the amount due. In such event, if a Borrower has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If any Lender shall fail to make any payment required to be made by it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2.04(b)</w:t>
      </w:r>
      <w:r>
        <w:rPr>
          <w:rFonts w:ascii="Arial" w:cs="Arial" w:eastAsia="Arial" w:hAnsi="Arial"/>
          <w:sz w:val="18"/>
          <w:szCs w:val="18"/>
          <w:color w:val="auto"/>
        </w:rPr>
        <w:t>,</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u w:val="single" w:color="auto"/>
          <w:color w:val="auto"/>
        </w:rPr>
        <w:t>Section 3.01(d)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11.04(b)</w:t>
      </w:r>
      <w:r>
        <w:rPr>
          <w:rFonts w:ascii="Arial" w:cs="Arial" w:eastAsia="Arial" w:hAnsi="Arial"/>
          <w:sz w:val="18"/>
          <w:szCs w:val="18"/>
          <w:color w:val="auto"/>
        </w:rPr>
        <w:t>, then the Administrative Agent may, in its discretion and notwithstanding any contrary provision hereof, (i) apply any amounts thereafter received by the Administrative Agent for the account of such Lender for the benefit of the Administrative Agent, any Swingline Lender or any Issuing Bank to satisfy such Lender’s obligations to the Administrative Agent, such Swingline Lender or such Issuing Bank, as applicable, under such Section until all such unsatisfied obligations are fully paid, and/or (ii) hold any such amounts in a segregated account as cash collateral for, and application to, any future funding obligations of such Lender under any such Section, in the case of each of clauses (</w:t>
      </w:r>
      <w:r>
        <w:rPr>
          <w:rFonts w:ascii="Arial" w:cs="Arial" w:eastAsia="Arial" w:hAnsi="Arial"/>
          <w:sz w:val="18"/>
          <w:szCs w:val="18"/>
          <w:u w:val="single" w:color="auto"/>
          <w:color w:val="auto"/>
        </w:rPr>
        <w:t>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in any order as determined by the Administrative Agent in its discretion.</w:t>
      </w:r>
    </w:p>
    <w:p>
      <w:pPr>
        <w:spacing w:after="0" w:line="19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Taxes/Additional Payments</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273" w:lineRule="auto"/>
        <w:tabs>
          <w:tab w:leader="none" w:pos="1942"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Any and all payments by or on account of any obligation of the Borrowers hereunder shall be made free and clear of and without deduction for any Indemnified Taxes or Other Taxes;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Borrower shall be required to deduct any Indemnified Taxes or Other Taxes from such payments, then (i) the sum payable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such Borrower shall make such deductions and (iii) such Borrower shall pay the full amount deducted to the relevant Governmental Authority in accordance with applicable law.</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Borrowers, jointly and severally, shall indemnify the Administrative Agent, each Lender and each Issuing Bank, within</w:t>
      </w:r>
    </w:p>
    <w:p>
      <w:pPr>
        <w:spacing w:after="0" w:line="35"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20 days after written demand therefor, for the full amount of any Indemnified Taxes or Other Taxes paid by the Administrative Agent, such Lender or such Issuing Bank, as the case may be, on or with respect to any payment by or on account of any obligation of a Borrower hereunder (including Indemnified Taxes or Other Taxes imposed or asserted on or attributable to amounts payable under this Section) and any penalties,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interest and reasonable expenses arising therefrom or with respect thereto, whether or not such Indemnified Taxes or Other Taxes were correctly or legally imposed or asserted by the relevant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shall not be liable for any penalties, interest or expenses that result from the failure of the Administrative Agent, a Lender or an Issuing Bank to notify the Borrowers of the Indemnified Taxes or Other Taxes within a reasonable period of time after becoming aware of such Indemnified or Other Taxes. A certificate as to the amount of such payment or liability delivered to the Borrowers by a Lender or an Issuing Bank, or by the Administrative Agent on its own behalf or on behalf of a Lender or such Issuing Bank, shall be presumed correct absent manifest error.</w:t>
      </w:r>
    </w:p>
    <w:p>
      <w:pPr>
        <w:spacing w:after="0" w:line="193" w:lineRule="exact"/>
        <w:rPr>
          <w:sz w:val="20"/>
          <w:szCs w:val="20"/>
          <w:color w:val="auto"/>
        </w:rPr>
      </w:pPr>
    </w:p>
    <w:p>
      <w:pPr>
        <w:ind w:right="100" w:firstLine="1305"/>
        <w:spacing w:after="0" w:line="257" w:lineRule="auto"/>
        <w:tabs>
          <w:tab w:leader="none" w:pos="19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Lender that is entitled to an exemption from or reduction of withholding tax under the law of the jurisdiction in which a Borrower is organized, tax resident or otherwise located, or any treaty to which any such jurisdiction is a party, with respect to payments under this Agreement shall deliver to such Borrower (with a copy to the Administrative Agent), at the time or times prescribed by applicable law, such properly completed and executed documentation prescribed by applicable law (or otherwise reasonably requested by such Borrower) as shall permit such payments to be made without withholding or at a reduced rate.</w:t>
      </w:r>
    </w:p>
    <w:p>
      <w:pPr>
        <w:spacing w:after="0" w:line="188" w:lineRule="exact"/>
        <w:rPr>
          <w:rFonts w:ascii="Arial" w:cs="Arial" w:eastAsia="Arial" w:hAnsi="Arial"/>
          <w:sz w:val="18"/>
          <w:szCs w:val="18"/>
          <w:color w:val="auto"/>
        </w:rPr>
      </w:pPr>
    </w:p>
    <w:p>
      <w:pPr>
        <w:ind w:firstLine="1305"/>
        <w:spacing w:after="0" w:line="268" w:lineRule="auto"/>
        <w:tabs>
          <w:tab w:leader="none" w:pos="1952"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If the Administrative Agent or a Lender determines, in its sole discretion, that it has received a refund of any Taxes paid by a Borrower or with respect to which a Borrower has paid additional amounts pursuant to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it shall pay over such refund to such Borrower (but only to the extent of indemnity payments made, or additional amounts paid, by such Borrower under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with respect to the Taxes giving rise to such refund), net of all out-of-pocket expenses of the Administrative Agent or such Lender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Borrower, upon the request of the Administrative Agent or such Lender, agrees to repay promptly the amount paid over to such Borrower (plus any penalties, interest or other charges imposed by the relevant Governmental Authority with respect to such amount)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Borrower or any other Person. Notwithstanding anything to the contrary in this paragraph (d), in no event will the indemnified party be required to pay any amount to an indemnifying party pursuant to this paragraph (d)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87" w:lineRule="exact"/>
        <w:rPr>
          <w:rFonts w:ascii="Arial" w:cs="Arial" w:eastAsia="Arial" w:hAnsi="Arial"/>
          <w:sz w:val="17"/>
          <w:szCs w:val="17"/>
          <w:color w:val="auto"/>
        </w:rPr>
      </w:pPr>
    </w:p>
    <w:p>
      <w:pPr>
        <w:ind w:right="20" w:firstLine="1305"/>
        <w:spacing w:after="0" w:line="259" w:lineRule="auto"/>
        <w:tabs>
          <w:tab w:leader="none" w:pos="19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the foregoing, each Lender shall deliver to each Borrower and the Administrative Agent on the Effective Date or upon the effectiveness of any Assignment and Assumption by which it becomes a party to this Agreement (unless an Event of Default under </w:t>
      </w:r>
      <w:r>
        <w:rPr>
          <w:rFonts w:ascii="Arial" w:cs="Arial" w:eastAsia="Arial" w:hAnsi="Arial"/>
          <w:sz w:val="18"/>
          <w:szCs w:val="18"/>
          <w:u w:val="single" w:color="auto"/>
          <w:color w:val="auto"/>
        </w:rPr>
        <w:t>Section 9.01(a)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9.01(i)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9.01(j)</w:t>
      </w:r>
      <w:r>
        <w:rPr>
          <w:rFonts w:ascii="Arial" w:cs="Arial" w:eastAsia="Arial" w:hAnsi="Arial"/>
          <w:sz w:val="18"/>
          <w:szCs w:val="18"/>
          <w:color w:val="auto"/>
        </w:rPr>
        <w:t xml:space="preserve"> has occurred and is continuing on the effective date of such Assignment and Assumption) (i) two duly completed copies of United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57" w:name="page58"/>
    <w:bookmarkEnd w:id="57"/>
    <w:p>
      <w:pPr>
        <w:spacing w:after="0" w:line="283" w:lineRule="auto"/>
        <w:rPr>
          <w:sz w:val="20"/>
          <w:szCs w:val="20"/>
          <w:color w:val="auto"/>
        </w:rPr>
      </w:pPr>
      <w:r>
        <w:rPr>
          <w:rFonts w:ascii="Arial" w:cs="Arial" w:eastAsia="Arial" w:hAnsi="Arial"/>
          <w:sz w:val="16"/>
          <w:szCs w:val="16"/>
          <w:color w:val="auto"/>
        </w:rPr>
        <w:t>States Internal Revenue Service Form W-8ECI, W-8BEN, W-8BEN-E, W-8EXP, W-8IMY or W-9, or other applicable governmental form, as the case may be, certifying in each case that such Lender is entitled to receive payments under this Agreement and the Notes payable to it without deduction or withholding of any United States federal income Taxes, as if each Borrower were incorporated under the laws of the United States or a State thereof and (ii) any other governmental forms (including tax residency certificates) which are necessary or required under an applicable Tax treaty or otherwise by law to eliminate any withholding Tax or which have been reasonably requested by the Borrowers. Each Lender which delivers to the Borrowers and the Administrative Agent a Form W-8ECI, W-8BEN, W-8BEN-E, W-8EXP, W-8IMY or W-9, or other applicable governmental form pursuant to the preceding sentence further undertakes to deliver to the Borrowers and the Administrative Agent two further copies of such form on or before the date that any such form expires (currently, three successive calendar years for Form W-8BEN, W-8BEN-E or Form W-8ECI) or becomes obsolete or after the occurrence of any event requiring a change in the most recent form so delivered by it, and such amendments thereto or extensions or renewals thereof as may reasonably be requested by a Borrower and the Administrative Agent, in each case certifying that such Lender is entitled to receive payments under this Agreement without deduction or withholding of any United States federal income Taxes, unless Change in Law has occurred prior to the date on which any such delivery would otherwise be required which renders all such forms inapplicable or which would prevent such Lender from duly completing and delivering any such form with respect to it and such Lender advises the Borrowers and the Administrative Agent that it is not capable of receiving payments without any deduction or withholding of United States federal income Taxes. If a payment made to a Lender under any Loan Document would be subject to United States federal withholding Tax imposed by FATCA if such Lender were to fail to comply with the applicable reporting requirements of FATCA (including those contained in</w:t>
      </w:r>
    </w:p>
    <w:p>
      <w:pPr>
        <w:spacing w:after="0" w:line="1"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Section 1471(b) or 1472(b) of the Code, as applicable), such Lender shall deliver to the Borrowers and the Administrative Agent at the time or times prescribed by law and at such time or times reasonably requested by the Borrowers and the Administrative Agent such documentation prescribed by applicable law (including as prescribed by Section 1471(b)(3)(C)(i) of the Code) and such additional documentation reasonably requested by the Borrowers and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Section, “FATCA” shall include any amendments made to FATCA after the date of this Agreement.</w:t>
      </w:r>
    </w:p>
    <w:p>
      <w:pPr>
        <w:spacing w:after="0" w:line="164" w:lineRule="exact"/>
        <w:rPr>
          <w:sz w:val="20"/>
          <w:szCs w:val="20"/>
          <w:color w:val="auto"/>
        </w:rPr>
      </w:pPr>
    </w:p>
    <w:p>
      <w:pPr>
        <w:ind w:right="80" w:firstLine="1305"/>
        <w:spacing w:after="0" w:line="259" w:lineRule="auto"/>
        <w:tabs>
          <w:tab w:leader="none" w:pos="194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Borrowers, jointly and severally, will remit to the appropriate Governmental Authority, prior to delinquency, all Indemnified Taxes and Other Taxes payable in respect of any payment. Within 30 days after the date of any payment of Indemnified Taxes or Other Taxes, the applicable Borrower will furnish to the Administrative Agent the original or a certified copy of a receipt evidencing payment of such Indemnified Taxes or Other Taxes or such other evidence thereof as may be reasonably satisfactory to the Administrative Agent.</w:t>
      </w:r>
    </w:p>
    <w:p>
      <w:pPr>
        <w:spacing w:after="0" w:line="186" w:lineRule="exact"/>
        <w:rPr>
          <w:rFonts w:ascii="Arial" w:cs="Arial" w:eastAsia="Arial" w:hAnsi="Arial"/>
          <w:sz w:val="18"/>
          <w:szCs w:val="18"/>
          <w:color w:val="auto"/>
        </w:rPr>
      </w:pPr>
    </w:p>
    <w:p>
      <w:pPr>
        <w:ind w:right="280" w:firstLine="1305"/>
        <w:spacing w:after="0" w:line="308" w:lineRule="auto"/>
        <w:tabs>
          <w:tab w:leader="none" w:pos="196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For purposes of determining withholding Taxes imposed under FATCA, from and after the effective date of the Agreement, the Borrowers and the Administrative Agent shall treat (and the Lenders hereby authorize the Administrative Agent to treat) the Loan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Agreement as not qualifying as a “grandfathered obligation” within the meaning of Treasury Regulation Section 1.1471-2(b)(2)(i).</w:t>
      </w:r>
    </w:p>
    <w:p>
      <w:pPr>
        <w:spacing w:after="0" w:line="225" w:lineRule="exact"/>
        <w:rPr>
          <w:sz w:val="20"/>
          <w:szCs w:val="20"/>
          <w:color w:val="auto"/>
        </w:rPr>
      </w:pPr>
    </w:p>
    <w:p>
      <w:pPr>
        <w:ind w:right="40" w:firstLine="1305"/>
        <w:spacing w:after="0" w:line="271" w:lineRule="auto"/>
        <w:tabs>
          <w:tab w:leader="none" w:pos="1952" w:val="left"/>
        </w:tabs>
        <w:numPr>
          <w:ilvl w:val="0"/>
          <w:numId w:val="137"/>
        </w:numPr>
        <w:rPr>
          <w:rFonts w:ascii="Arial" w:cs="Arial" w:eastAsia="Arial" w:hAnsi="Arial"/>
          <w:sz w:val="17"/>
          <w:szCs w:val="17"/>
          <w:color w:val="auto"/>
        </w:rPr>
      </w:pPr>
      <w:r>
        <w:rPr>
          <w:rFonts w:ascii="Arial" w:cs="Arial" w:eastAsia="Arial" w:hAnsi="Arial"/>
          <w:sz w:val="17"/>
          <w:szCs w:val="17"/>
          <w:color w:val="auto"/>
        </w:rPr>
        <w:t>Each Lender shall severally indemnify the Administrative Agent, within 10 days after demand therefor, for (i) any Indemnified Taxes attributable to such Lender (but only to the extent that the Borrowers has not already indemnified the Administrative Agent for such Indemnified Taxes and without limiting the obligation of the Borrowers to do so), (ii) any Taxes attributable to such Lender’s failure to comply with the provisions of</w:t>
      </w:r>
    </w:p>
    <w:p>
      <w:pPr>
        <w:ind w:right="100"/>
        <w:spacing w:after="0" w:line="290" w:lineRule="auto"/>
        <w:rPr>
          <w:rFonts w:ascii="Arial" w:cs="Arial" w:eastAsia="Arial" w:hAnsi="Arial"/>
          <w:sz w:val="17"/>
          <w:szCs w:val="17"/>
          <w:color w:val="auto"/>
        </w:rPr>
      </w:pPr>
      <w:r>
        <w:rPr>
          <w:rFonts w:ascii="Arial" w:cs="Arial" w:eastAsia="Arial" w:hAnsi="Arial"/>
          <w:sz w:val="16"/>
          <w:szCs w:val="16"/>
          <w:u w:val="single" w:color="auto"/>
          <w:color w:val="auto"/>
        </w:rPr>
        <w:t>Section 11.05(c)</w:t>
      </w:r>
      <w:r>
        <w:rPr>
          <w:rFonts w:ascii="Arial" w:cs="Arial" w:eastAsia="Arial" w:hAnsi="Arial"/>
          <w:sz w:val="16"/>
          <w:szCs w:val="16"/>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(h).</w:t>
      </w:r>
    </w:p>
    <w:p>
      <w:pPr>
        <w:spacing w:after="0" w:line="164" w:lineRule="exact"/>
        <w:rPr>
          <w:rFonts w:ascii="Arial" w:cs="Arial" w:eastAsia="Arial" w:hAnsi="Arial"/>
          <w:sz w:val="17"/>
          <w:szCs w:val="17"/>
          <w:color w:val="auto"/>
        </w:rPr>
      </w:pPr>
    </w:p>
    <w:p>
      <w:pPr>
        <w:ind w:right="20" w:firstLine="1305"/>
        <w:spacing w:after="0" w:line="288" w:lineRule="auto"/>
        <w:tabs>
          <w:tab w:leader="none" w:pos="196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(including </w:t>
      </w:r>
      <w:r>
        <w:rPr>
          <w:rFonts w:ascii="Arial" w:cs="Arial" w:eastAsia="Arial" w:hAnsi="Arial"/>
          <w:sz w:val="16"/>
          <w:szCs w:val="16"/>
          <w:u w:val="single" w:color="auto"/>
          <w:color w:val="auto"/>
        </w:rPr>
        <w:t>Section 2.10(g)</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 Swiss Obligor shall not be required to make a tax gross up, a tax indemnity payment or an increased interest payment under any Loan Document to a specific Lender or Participant (but, for the avoidance of doubt, shall remain required to make a tax gross up, a tax indemnity payment, or an increased interest payment to all other Lenders) in respect of Swiss Withholding Tax due on interest payments by a Swiss Obligor under this Agreement as a direct result of such Lender or Participant (i) making an incorrect declaration of its status as to whether or not it is a Swiss Qualifying Lender or a single Swiss Non-Qualifying Lender, (ii) breaching the restrictions regarding transfers, assignments, participations, sub-participation and exposure transfers set forth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Specified Event of Default occurs within 90 days following any such transfer, assignment, participation or sub-participation, the Swiss Obligors shall be required to make such tax gross up, tax indemnity payment or increased interest payment) or (iii) ceasing to be a Swiss Qualifying Lender other than as a result of any change after the date it became a Lender or Participant under this Agreement in (or in the interpretation, administration or application of) any law or double taxation treaty, or any published practice or published concession of any relevant taxing authority.</w:t>
      </w:r>
    </w:p>
    <w:p>
      <w:pPr>
        <w:spacing w:after="0" w:line="16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97" w:lineRule="auto"/>
        <w:tabs>
          <w:tab w:leader="none" w:pos="194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If any Lender requests compensation under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or if a Borrower is required to pay any Indemnified Taxes or additional amounts to any Lender or any Governmental Authority for the account of any Lender pursuant to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4.02</w:t>
      </w:r>
      <w:r>
        <w:rPr>
          <w:rFonts w:ascii="Arial" w:cs="Arial" w:eastAsia="Arial" w:hAnsi="Arial"/>
          <w:sz w:val="16"/>
          <w:szCs w:val="16"/>
          <w:color w:val="auto"/>
        </w:rPr>
        <w:t>, as the case may be, in the future and (ii) would not subject such Lender to any unreimbursed cost or expense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would not otherwise be disadvantageous to such Lender. The Borrowers hereby, jointly and severally, agree to pay all reasonable costs and expenses incurred by any Lender in connection with any such designation or assignment.</w:t>
      </w:r>
    </w:p>
    <w:p>
      <w:pPr>
        <w:sectPr>
          <w:pgSz w:w="11900" w:h="16838" w:orient="portrait"/>
          <w:cols w:equalWidth="0" w:num="1">
            <w:col w:w="11400"/>
          </w:cols>
          <w:pgMar w:left="240" w:top="584" w:right="259" w:bottom="166" w:gutter="0" w:footer="0" w:header="0"/>
        </w:sectPr>
      </w:pPr>
    </w:p>
    <w:bookmarkStart w:id="58" w:name="page59"/>
    <w:bookmarkEnd w:id="58"/>
    <w:p>
      <w:pPr>
        <w:ind w:right="40" w:firstLine="1305"/>
        <w:spacing w:after="0" w:line="284" w:lineRule="auto"/>
        <w:tabs>
          <w:tab w:leader="none" w:pos="1952"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If (i) any Lender requests compensation under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(including for Taxes under </w:t>
      </w:r>
      <w:r>
        <w:rPr>
          <w:rFonts w:ascii="Arial" w:cs="Arial" w:eastAsia="Arial" w:hAnsi="Arial"/>
          <w:sz w:val="16"/>
          <w:szCs w:val="16"/>
          <w:u w:val="single" w:color="auto"/>
          <w:color w:val="auto"/>
        </w:rPr>
        <w:t>Section 2.12(a)(iii)</w:t>
      </w:r>
      <w:r>
        <w:rPr>
          <w:rFonts w:ascii="Arial" w:cs="Arial" w:eastAsia="Arial" w:hAnsi="Arial"/>
          <w:sz w:val="16"/>
          <w:szCs w:val="16"/>
          <w:color w:val="auto"/>
        </w:rPr>
        <w:t xml:space="preserve">), or (ii) a Borrower is required to pay any Indemnified Taxes or additional amounts to any Lender or any Governmental Authority for the account of any Lender pursuant to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or (iii) any Lender becomes a Defaulting Lender, or (iv) any Lender becomes a Swiss Non-Qualifying Lender (but only if such event causes a breach of the Swiss Non-Bank Rules), or (v) any Lender fails to provide its consent to a Redomestication under the laws of a jurisdiction (other than the United Kingdom, The Kingdom of the Netherlands, Luxembourg or Switzerland) outside of the United States, or (vi) any Lender is a Non-Consenting Lender, then the Borrowers may, at their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ind w:firstLine="8"/>
        <w:spacing w:after="0" w:line="286" w:lineRule="auto"/>
        <w:tabs>
          <w:tab w:leader="none" w:pos="25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the Borrowers shall have received the prior written consent of each Issuing Bank and, if such assignee is not already a Lender hereunder, the Administrative Agent, which consent of the Issuing Banks and the Administrative Agent (if applicable) shall not be unreasonably withheld, conditioned or delayed, (2)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(3) in the case of any such assignment resulting from a claim for compensation under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such assignment shall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and such Lender neither received nor continued to claim any such compensation or payment. Notwithstanding anything to the contrary herein, any Non-Consenting Lender shall be deemed to have consented to the assignment and delegation of its interests, rights and obligations to any proposed assignee pursuant to this </w:t>
      </w:r>
      <w:r>
        <w:rPr>
          <w:rFonts w:ascii="Arial" w:cs="Arial" w:eastAsia="Arial" w:hAnsi="Arial"/>
          <w:sz w:val="16"/>
          <w:szCs w:val="16"/>
          <w:u w:val="single" w:color="auto"/>
          <w:color w:val="auto"/>
        </w:rPr>
        <w:t>Section 4.03(b)</w:t>
      </w:r>
      <w:r>
        <w:rPr>
          <w:rFonts w:ascii="Arial" w:cs="Arial" w:eastAsia="Arial" w:hAnsi="Arial"/>
          <w:sz w:val="16"/>
          <w:szCs w:val="16"/>
          <w:color w:val="auto"/>
        </w:rPr>
        <w:t xml:space="preserve"> if it does not execute and deliver an Assignment and Assumption to the Administrative Agent within one Business Day after having received a written request therefor.</w:t>
      </w:r>
    </w:p>
    <w:p>
      <w:pPr>
        <w:spacing w:after="0" w:line="16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u w:val="single" w:color="auto"/>
          <w:color w:val="auto"/>
        </w:rPr>
        <w:t>Financial Assistance</w:t>
      </w:r>
      <w:r>
        <w:rPr>
          <w:rFonts w:ascii="Arial" w:cs="Arial" w:eastAsia="Arial" w:hAnsi="Arial"/>
          <w:sz w:val="16"/>
          <w:szCs w:val="16"/>
          <w:color w:val="auto"/>
        </w:rPr>
        <w:t>.</w:t>
      </w:r>
    </w:p>
    <w:p>
      <w:pPr>
        <w:spacing w:after="0" w:line="225" w:lineRule="exact"/>
        <w:rPr>
          <w:sz w:val="20"/>
          <w:szCs w:val="20"/>
          <w:color w:val="auto"/>
        </w:rPr>
      </w:pPr>
    </w:p>
    <w:p>
      <w:pPr>
        <w:ind w:right="200" w:firstLine="1305"/>
        <w:spacing w:after="0" w:line="297" w:lineRule="auto"/>
        <w:tabs>
          <w:tab w:leader="none" w:pos="194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If and to the extent that a payment in fulfilling a liability of any Swiss Obligor under this Agreement other than such Swiss Obligor’s own liabilities or liabilities of one of its Wholly-Owned Subsidiaries would, at the time payment is due, under Swiss law and practice (inter alia, prohibiting capital repayments or restricting profit distributions) not be permitted (such obligations, “</w:t>
      </w:r>
      <w:r>
        <w:rPr>
          <w:rFonts w:ascii="Arial" w:cs="Arial" w:eastAsia="Arial" w:hAnsi="Arial"/>
          <w:sz w:val="16"/>
          <w:szCs w:val="16"/>
          <w:u w:val="single" w:color="auto"/>
          <w:color w:val="auto"/>
        </w:rPr>
        <w:t>Restricted Obligations</w:t>
      </w:r>
      <w:r>
        <w:rPr>
          <w:rFonts w:ascii="Arial" w:cs="Arial" w:eastAsia="Arial" w:hAnsi="Arial"/>
          <w:sz w:val="16"/>
          <w:szCs w:val="16"/>
          <w:color w:val="auto"/>
        </w:rPr>
        <w:t xml:space="preserve">”), then such obligations and payment amount shall from time to time be limited to the amount permitted to be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limited amount shall at no time be less than such Swiss Obligor’s profits and reserves available for distribution as dividends (being the balance sheet profits and any reserves available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for this purpose, in each case in accordance with Article 798 of the Swiss Federal Code of Obligations) at the time or times the relevant payment is requested from such Swiss Obligor;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limitation (as may apply from time to time or not) shall not (generally or definitively) free such Swiss Obligor from payment obligations hereunder in excess thereof, but merely postpone the payment date therefor until such times as payment is again permitted notwithstanding such limitation. Any and all indemnities and guarantees contained in the Loan Documents including, in particular, </w:t>
      </w:r>
      <w:r>
        <w:rPr>
          <w:rFonts w:ascii="Arial" w:cs="Arial" w:eastAsia="Arial" w:hAnsi="Arial"/>
          <w:sz w:val="18"/>
          <w:szCs w:val="18"/>
          <w:u w:val="single" w:color="auto"/>
          <w:color w:val="auto"/>
        </w:rPr>
        <w:t>Sections 4.02(b)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9.02</w:t>
      </w:r>
      <w:r>
        <w:rPr>
          <w:rFonts w:ascii="Arial" w:cs="Arial" w:eastAsia="Arial" w:hAnsi="Arial"/>
          <w:sz w:val="18"/>
          <w:szCs w:val="18"/>
          <w:color w:val="auto"/>
        </w:rPr>
        <w:t xml:space="preserve"> shall be construed in a manner consistent with the provisions herein contained.</w:t>
      </w:r>
    </w:p>
    <w:p>
      <w:pPr>
        <w:spacing w:after="0" w:line="188" w:lineRule="exact"/>
        <w:rPr>
          <w:sz w:val="20"/>
          <w:szCs w:val="20"/>
          <w:color w:val="auto"/>
        </w:rPr>
      </w:pPr>
    </w:p>
    <w:p>
      <w:pPr>
        <w:ind w:left="1960" w:hanging="655"/>
        <w:spacing w:after="0"/>
        <w:tabs>
          <w:tab w:leader="none" w:pos="19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respect of Restricted Obligations, each Swiss Obligor shall:</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if and to the extent required by applicable law in force at the relevant time:</w:t>
      </w:r>
    </w:p>
    <w:p>
      <w:pPr>
        <w:spacing w:after="0" w:line="225" w:lineRule="exact"/>
        <w:rPr>
          <w:rFonts w:ascii="Arial" w:cs="Arial" w:eastAsia="Arial" w:hAnsi="Arial"/>
          <w:sz w:val="18"/>
          <w:szCs w:val="18"/>
          <w:color w:val="auto"/>
        </w:rPr>
      </w:pPr>
    </w:p>
    <w:p>
      <w:pPr>
        <w:ind w:left="1960" w:firstLine="641"/>
        <w:spacing w:after="0" w:line="342" w:lineRule="auto"/>
        <w:tabs>
          <w:tab w:leader="none" w:pos="3277" w:val="left"/>
        </w:tabs>
        <w:numPr>
          <w:ilvl w:val="2"/>
          <w:numId w:val="142"/>
        </w:numPr>
        <w:rPr>
          <w:rFonts w:ascii="Arial" w:cs="Arial" w:eastAsia="Arial" w:hAnsi="Arial"/>
          <w:sz w:val="16"/>
          <w:szCs w:val="16"/>
          <w:color w:val="auto"/>
        </w:rPr>
      </w:pPr>
      <w:r>
        <w:rPr>
          <w:rFonts w:ascii="Arial" w:cs="Arial" w:eastAsia="Arial" w:hAnsi="Arial"/>
          <w:sz w:val="16"/>
          <w:szCs w:val="16"/>
          <w:color w:val="auto"/>
        </w:rPr>
        <w:t>subject to any applicable double taxation treaty, deduct Swiss anticipatory tax (</w:t>
      </w:r>
      <w:r>
        <w:rPr>
          <w:rFonts w:ascii="Arial" w:cs="Arial" w:eastAsia="Arial" w:hAnsi="Arial"/>
          <w:sz w:val="16"/>
          <w:szCs w:val="16"/>
          <w:i w:val="1"/>
          <w:iCs w:val="1"/>
          <w:color w:val="auto"/>
        </w:rPr>
        <w:t>Verrechnungssteuer</w:t>
      </w:r>
      <w:r>
        <w:rPr>
          <w:rFonts w:ascii="Arial" w:cs="Arial" w:eastAsia="Arial" w:hAnsi="Arial"/>
          <w:sz w:val="16"/>
          <w:szCs w:val="16"/>
          <w:color w:val="auto"/>
        </w:rPr>
        <w:t>) at the rate of 35% (or such other rate as in force from time to time) from any payment made by it in respect of Restricted Obligations;</w:t>
      </w:r>
    </w:p>
    <w:p>
      <w:pPr>
        <w:spacing w:after="0" w:line="123" w:lineRule="exact"/>
        <w:rPr>
          <w:rFonts w:ascii="Arial" w:cs="Arial" w:eastAsia="Arial" w:hAnsi="Arial"/>
          <w:sz w:val="16"/>
          <w:szCs w:val="16"/>
          <w:color w:val="auto"/>
        </w:rPr>
      </w:pPr>
    </w:p>
    <w:p>
      <w:pPr>
        <w:ind w:left="3260" w:hanging="659"/>
        <w:spacing w:after="0"/>
        <w:tabs>
          <w:tab w:leader="none" w:pos="326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pay any such deduction to the Swiss Federal Tax Administration; and</w:t>
      </w:r>
    </w:p>
    <w:p>
      <w:pPr>
        <w:spacing w:after="0" w:line="225" w:lineRule="exact"/>
        <w:rPr>
          <w:rFonts w:ascii="Arial" w:cs="Arial" w:eastAsia="Arial" w:hAnsi="Arial"/>
          <w:sz w:val="18"/>
          <w:szCs w:val="18"/>
          <w:color w:val="auto"/>
        </w:rPr>
      </w:pPr>
    </w:p>
    <w:p>
      <w:pPr>
        <w:ind w:left="1960" w:right="20" w:firstLine="641"/>
        <w:spacing w:after="0" w:line="264" w:lineRule="auto"/>
        <w:tabs>
          <w:tab w:leader="none" w:pos="3267" w:val="left"/>
        </w:tabs>
        <w:numPr>
          <w:ilvl w:val="2"/>
          <w:numId w:val="142"/>
        </w:numPr>
        <w:rPr>
          <w:rFonts w:ascii="Arial" w:cs="Arial" w:eastAsia="Arial" w:hAnsi="Arial"/>
          <w:sz w:val="18"/>
          <w:szCs w:val="18"/>
          <w:color w:val="auto"/>
        </w:rPr>
      </w:pPr>
      <w:r>
        <w:rPr>
          <w:rFonts w:ascii="Arial" w:cs="Arial" w:eastAsia="Arial" w:hAnsi="Arial"/>
          <w:sz w:val="18"/>
          <w:szCs w:val="18"/>
          <w:color w:val="auto"/>
        </w:rPr>
        <w:t xml:space="preserve">notify the Administrative Agent that such a deduction has been made and provide the Administrative Agent with evidence that such a deduction has been paid to the Swiss Federal Tax Administration, all in accordance with </w:t>
      </w:r>
      <w:r>
        <w:rPr>
          <w:rFonts w:ascii="Arial" w:cs="Arial" w:eastAsia="Arial" w:hAnsi="Arial"/>
          <w:sz w:val="18"/>
          <w:szCs w:val="18"/>
          <w:u w:val="single" w:color="auto"/>
          <w:color w:val="auto"/>
        </w:rPr>
        <w:t>Section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4.02(f)</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ind w:left="660" w:right="80" w:firstLine="1293"/>
        <w:spacing w:after="0" w:line="264" w:lineRule="auto"/>
        <w:tabs>
          <w:tab w:leader="none" w:pos="2636" w:val="left"/>
        </w:tabs>
        <w:numPr>
          <w:ilvl w:val="1"/>
          <w:numId w:val="142"/>
        </w:numPr>
        <w:rPr>
          <w:rFonts w:ascii="Arial" w:cs="Arial" w:eastAsia="Arial" w:hAnsi="Arial"/>
          <w:sz w:val="18"/>
          <w:szCs w:val="18"/>
          <w:color w:val="auto"/>
        </w:rPr>
      </w:pPr>
      <w:r>
        <w:rPr>
          <w:rFonts w:ascii="Arial" w:cs="Arial" w:eastAsia="Arial" w:hAnsi="Arial"/>
          <w:sz w:val="18"/>
          <w:szCs w:val="18"/>
          <w:color w:val="auto"/>
        </w:rPr>
        <w:t xml:space="preserve">to the extent such a deduction is made, not be obliged to either gross-up in accordance with </w:t>
      </w:r>
      <w:r>
        <w:rPr>
          <w:rFonts w:ascii="Arial" w:cs="Arial" w:eastAsia="Arial" w:hAnsi="Arial"/>
          <w:sz w:val="18"/>
          <w:szCs w:val="18"/>
          <w:u w:val="single" w:color="auto"/>
          <w:color w:val="auto"/>
        </w:rPr>
        <w:t>Section 4.02(a)</w:t>
      </w:r>
      <w:r>
        <w:rPr>
          <w:rFonts w:ascii="Arial" w:cs="Arial" w:eastAsia="Arial" w:hAnsi="Arial"/>
          <w:sz w:val="18"/>
          <w:szCs w:val="18"/>
          <w:color w:val="auto"/>
        </w:rPr>
        <w:t xml:space="preserve"> or indemnify the Administrative Agent, each Lender and each Issuing Bank in accordance with </w:t>
      </w:r>
      <w:r>
        <w:rPr>
          <w:rFonts w:ascii="Arial" w:cs="Arial" w:eastAsia="Arial" w:hAnsi="Arial"/>
          <w:sz w:val="18"/>
          <w:szCs w:val="18"/>
          <w:u w:val="single" w:color="auto"/>
          <w:color w:val="auto"/>
        </w:rPr>
        <w:t>Section 4.02(b)</w:t>
      </w:r>
      <w:r>
        <w:rPr>
          <w:rFonts w:ascii="Arial" w:cs="Arial" w:eastAsia="Arial" w:hAnsi="Arial"/>
          <w:sz w:val="18"/>
          <w:szCs w:val="18"/>
          <w:color w:val="auto"/>
        </w:rPr>
        <w:t xml:space="preserve"> in relation to any such payment made by it in respect of Restricted Obligations unless grossing-up is permitted under the laws of Switzerland then in force.</w:t>
      </w:r>
    </w:p>
    <w:p>
      <w:pPr>
        <w:spacing w:after="0" w:line="181" w:lineRule="exact"/>
        <w:rPr>
          <w:rFonts w:ascii="Arial" w:cs="Arial" w:eastAsia="Arial" w:hAnsi="Arial"/>
          <w:sz w:val="18"/>
          <w:szCs w:val="18"/>
          <w:color w:val="auto"/>
        </w:rPr>
      </w:pPr>
    </w:p>
    <w:p>
      <w:pPr>
        <w:jc w:val="both"/>
        <w:ind w:right="80" w:firstLine="1305"/>
        <w:spacing w:after="0" w:line="302" w:lineRule="auto"/>
        <w:tabs>
          <w:tab w:leader="none" w:pos="195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If and to the extent requested by the Administrative Agent and if and to the extent this is from time to time required under Swiss law (restricting profit distributions), in order to allow the Administrative Agent, each Lender and each Issuing Bank to obtain a maximum benefit from the relevant Swiss Obligor’s liabilities under this Agreement, each Swiss Obligor undertakes to promptly implement all such measures and/or to promptly obtain the fulfillment of all prerequisites allowing it to promptly make the requested payment(s) hereunder from time to time, including the following:</w:t>
      </w:r>
    </w:p>
    <w:p>
      <w:pPr>
        <w:spacing w:after="0" w:line="154" w:lineRule="exact"/>
        <w:rPr>
          <w:rFonts w:ascii="Arial" w:cs="Arial" w:eastAsia="Arial" w:hAnsi="Arial"/>
          <w:sz w:val="16"/>
          <w:szCs w:val="16"/>
          <w:color w:val="auto"/>
        </w:rPr>
      </w:pPr>
    </w:p>
    <w:p>
      <w:pPr>
        <w:ind w:left="2620" w:hanging="667"/>
        <w:spacing w:after="0"/>
        <w:tabs>
          <w:tab w:leader="none" w:pos="26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preparation of an up-to-date audited balance sheet of such Swiss Obligor;</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confirmation of the auditors of such Swiss Obligor that the relevant amount represents the maximum freely distributable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profits;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40" w:hanging="687"/>
        <w:spacing w:after="0"/>
        <w:tabs>
          <w:tab w:leader="none" w:pos="26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approval by a quotaholders’ meeting of the relevant Swiss Obligor of the resulting profit distribution; and</w:t>
      </w:r>
    </w:p>
    <w:p>
      <w:pPr>
        <w:spacing w:after="0" w:line="225" w:lineRule="exact"/>
        <w:rPr>
          <w:rFonts w:ascii="Arial" w:cs="Arial" w:eastAsia="Arial" w:hAnsi="Arial"/>
          <w:sz w:val="18"/>
          <w:szCs w:val="18"/>
          <w:color w:val="auto"/>
        </w:rPr>
      </w:pPr>
    </w:p>
    <w:p>
      <w:pPr>
        <w:ind w:left="660" w:right="300" w:firstLine="1293"/>
        <w:spacing w:after="0" w:line="264" w:lineRule="auto"/>
        <w:tabs>
          <w:tab w:leader="none" w:pos="262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the extent permitted by applicable law, write up any of the assets of the relevant Swiss Obligor that are shown in its balance sheet with a book value that is significantly lower than the market value of the assets and provided that such write up would not have materially adverse tax consequences for such Swiss Obligor or any of its Affiliates.</w:t>
      </w:r>
    </w:p>
    <w:p>
      <w:pPr>
        <w:sectPr>
          <w:pgSz w:w="11900" w:h="16838" w:orient="portrait"/>
          <w:cols w:equalWidth="0" w:num="1">
            <w:col w:w="11400"/>
          </w:cols>
          <w:pgMar w:left="240" w:top="125" w:right="259" w:bottom="0" w:gutter="0" w:footer="0" w:header="0"/>
        </w:sectPr>
      </w:pPr>
    </w:p>
    <w:bookmarkStart w:id="59" w:name="page60"/>
    <w:bookmarkEnd w:id="59"/>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PRECEDENT</w:t>
      </w:r>
    </w:p>
    <w:p>
      <w:pPr>
        <w:spacing w:after="0" w:line="21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Conditions Precedent to the Effective Date</w:t>
      </w:r>
      <w:r>
        <w:rPr>
          <w:rFonts w:ascii="Arial" w:cs="Arial" w:eastAsia="Arial" w:hAnsi="Arial"/>
          <w:sz w:val="18"/>
          <w:szCs w:val="18"/>
          <w:color w:val="auto"/>
        </w:rPr>
        <w:t>. The obligation of each Lender to make any Loan on or after Effective Date and the obligation of each Issuing Bank to issue any Letter of Credit on or after the Effective Date for the account of any Borrower is subject to satisfaction of the following conditions:</w:t>
      </w:r>
    </w:p>
    <w:p>
      <w:pPr>
        <w:spacing w:after="0" w:line="181" w:lineRule="exact"/>
        <w:rPr>
          <w:sz w:val="20"/>
          <w:szCs w:val="20"/>
          <w:color w:val="auto"/>
        </w:rPr>
      </w:pPr>
    </w:p>
    <w:p>
      <w:pPr>
        <w:ind w:left="1940" w:hanging="635"/>
        <w:spacing w:after="0"/>
        <w:tabs>
          <w:tab w:leader="none" w:pos="19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Administrative Agent shall have received the following, all in form and substance reasonably satisfactory to the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Administrative Agent:</w:t>
      </w:r>
    </w:p>
    <w:p>
      <w:pPr>
        <w:spacing w:after="0" w:line="210" w:lineRule="exact"/>
        <w:rPr>
          <w:rFonts w:ascii="Arial" w:cs="Arial" w:eastAsia="Arial" w:hAnsi="Arial"/>
          <w:sz w:val="18"/>
          <w:szCs w:val="18"/>
          <w:color w:val="auto"/>
        </w:rPr>
      </w:pPr>
    </w:p>
    <w:p>
      <w:pPr>
        <w:ind w:left="2620" w:hanging="667"/>
        <w:spacing w:after="0"/>
        <w:tabs>
          <w:tab w:leader="none" w:pos="26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Amendment and Restatement Agreement executed by each Person listed on the signature pages thereof;</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Affiliate Guaranty executed by each Guarantor existing as of Effective Date;</w:t>
      </w:r>
    </w:p>
    <w:p>
      <w:pPr>
        <w:spacing w:after="0" w:line="225" w:lineRule="exact"/>
        <w:rPr>
          <w:rFonts w:ascii="Arial" w:cs="Arial" w:eastAsia="Arial" w:hAnsi="Arial"/>
          <w:sz w:val="18"/>
          <w:szCs w:val="18"/>
          <w:color w:val="auto"/>
        </w:rPr>
      </w:pPr>
    </w:p>
    <w:p>
      <w:pPr>
        <w:ind w:left="660" w:right="480" w:firstLine="1293"/>
        <w:spacing w:after="0" w:line="277" w:lineRule="auto"/>
        <w:tabs>
          <w:tab w:leader="none" w:pos="2645" w:val="left"/>
        </w:tabs>
        <w:numPr>
          <w:ilvl w:val="1"/>
          <w:numId w:val="144"/>
        </w:numPr>
        <w:rPr>
          <w:rFonts w:ascii="Arial" w:cs="Arial" w:eastAsia="Arial" w:hAnsi="Arial"/>
          <w:sz w:val="18"/>
          <w:szCs w:val="18"/>
          <w:color w:val="auto"/>
        </w:rPr>
      </w:pPr>
      <w:r>
        <w:rPr>
          <w:rFonts w:ascii="Arial" w:cs="Arial" w:eastAsia="Arial" w:hAnsi="Arial"/>
          <w:sz w:val="18"/>
          <w:szCs w:val="18"/>
          <w:color w:val="auto"/>
        </w:rPr>
        <w:t>Revolving Credit Notes payable to each Lender requesting (at least one Business Day prior to the Effective Date) a Revolving Credit Note, duly completed and executed by the Borrowers and dated the Effective Date;</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Swingline Notes payable to each Swingline Lender, duly completed and executed by the Borrowers and dated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Effective Date;</w:t>
      </w:r>
    </w:p>
    <w:p>
      <w:pPr>
        <w:spacing w:after="0" w:line="210" w:lineRule="exact"/>
        <w:rPr>
          <w:rFonts w:ascii="Arial" w:cs="Arial" w:eastAsia="Arial" w:hAnsi="Arial"/>
          <w:sz w:val="17"/>
          <w:szCs w:val="17"/>
          <w:color w:val="auto"/>
        </w:rPr>
      </w:pPr>
    </w:p>
    <w:p>
      <w:pPr>
        <w:ind w:left="660" w:firstLine="1293"/>
        <w:spacing w:after="0" w:line="255" w:lineRule="auto"/>
        <w:tabs>
          <w:tab w:leader="none" w:pos="261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 certificate of a Responsible Officer of WIL-Ireland, dated the Effective Date and certifying (A) that the representations and warranties made by each Obligor in any Loan Document delivered at or prior to the Effective Date are true and correct in all material respects (except to the extent qualified by materiality or reference to Material Adverse Effect, in which case such applicable representation and warranty shall be true and correct in all respects) as of the Effective Date, except for those that by their express terms apply to an earlier date which shall be true and correct in all material respects as of such earlier date, and (B) as to the absence of the occurrence and continuance of any Default or Event of Default;</w:t>
      </w:r>
    </w:p>
    <w:p>
      <w:pPr>
        <w:spacing w:after="0" w:line="193" w:lineRule="exact"/>
        <w:rPr>
          <w:rFonts w:ascii="Arial" w:cs="Arial" w:eastAsia="Arial" w:hAnsi="Arial"/>
          <w:sz w:val="18"/>
          <w:szCs w:val="18"/>
          <w:color w:val="auto"/>
        </w:rPr>
      </w:pPr>
    </w:p>
    <w:p>
      <w:pPr>
        <w:ind w:left="660" w:firstLine="1293"/>
        <w:spacing w:after="0" w:line="312" w:lineRule="auto"/>
        <w:tabs>
          <w:tab w:leader="none" w:pos="2622"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 certificate of the secretary or an assistant secretary or other Responsible Officer of each Obligor, dated the Effective Date and certifying (A) true and complete copies of the constitution or memorandum of association and bye-laws, the certificate of incorporation and bylaws or the other organizational documents, each as amended and in effect on the Effective Date, of such Obligor, (B) the resolutions adopted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73" w:lineRule="auto"/>
        <w:rPr>
          <w:sz w:val="20"/>
          <w:szCs w:val="20"/>
          <w:color w:val="auto"/>
        </w:rPr>
      </w:pPr>
      <w:r>
        <w:rPr>
          <w:rFonts w:ascii="Arial" w:cs="Arial" w:eastAsia="Arial" w:hAnsi="Arial"/>
          <w:sz w:val="17"/>
          <w:szCs w:val="17"/>
          <w:color w:val="auto"/>
        </w:rPr>
        <w:t>by the Board of Directors of such Obligor (1) authorizing the execution, delivery and performance by such Obligor of the Loan Documents to which it is or shall be a party and, in the case of a Borrower, the borrowing of Loans by such Borrower and the issuance of Letters of Credit for the account of such Borrower hereunder and (2) authorizing officers or other representatives of such Obligor to execute and deliver the Loan Documents to which it is or shall be a party and any related documents, including any agreement contemplated by this Agreement, (C) the absence of any proceedings for the dissolution, liquidation or winding up of such Obligor and (D) the incumbency and specimen signatures of the officers or other authorized representatives of such Obligor executing any documents on its behalf;</w:t>
      </w:r>
    </w:p>
    <w:p>
      <w:pPr>
        <w:spacing w:after="0" w:line="178" w:lineRule="exact"/>
        <w:rPr>
          <w:sz w:val="20"/>
          <w:szCs w:val="20"/>
          <w:color w:val="auto"/>
        </w:rPr>
      </w:pPr>
    </w:p>
    <w:p>
      <w:pPr>
        <w:jc w:val="both"/>
        <w:ind w:left="660" w:right="80" w:firstLine="1293"/>
        <w:spacing w:after="0" w:line="291" w:lineRule="auto"/>
        <w:tabs>
          <w:tab w:leader="none" w:pos="2631" w:val="left"/>
        </w:tabs>
        <w:numPr>
          <w:ilvl w:val="1"/>
          <w:numId w:val="145"/>
        </w:numPr>
        <w:rPr>
          <w:rFonts w:ascii="Arial" w:cs="Arial" w:eastAsia="Arial" w:hAnsi="Arial"/>
          <w:sz w:val="16"/>
          <w:szCs w:val="16"/>
          <w:color w:val="auto"/>
        </w:rPr>
      </w:pPr>
      <w:r>
        <w:rPr>
          <w:rFonts w:ascii="Arial" w:cs="Arial" w:eastAsia="Arial" w:hAnsi="Arial"/>
          <w:sz w:val="16"/>
          <w:szCs w:val="16"/>
          <w:color w:val="auto"/>
        </w:rPr>
        <w:t>favorable, signed opinions addressed to the Administrative Agent and the Lenders dated the Effective Date, each in form and substance reasonably satisfactory to the Administrative Agent, from (A) Latham &amp; Watkins LLP, special United States counsel to the Obligors,</w:t>
      </w:r>
    </w:p>
    <w:p>
      <w:pPr>
        <w:ind w:left="660" w:right="80" w:hanging="4"/>
        <w:spacing w:after="0" w:line="287" w:lineRule="auto"/>
        <w:tabs>
          <w:tab w:leader="none" w:pos="94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Conyers Dill &amp; Pearman Limited, special Bermuda counsel to WIL-Bermuda, (C) Baker &amp; McKenzie LLP, special Swiss counsel to certain of the Obligors, (D) Matheson, special Irish counsel to WIL-Ireland, (E) Dentons, special Canadian counsel to certain of the Obligors, (F) Baker &amp; McKenzie LLP, special Luxembourg counsel to certain of the Obligors, (G) Arendt &amp; Medernach SA, special Luxembourg counsel to the Administrative Agent, (H) Conyers Dill &amp; Pearman Limited, special British Virgin Islands counsel to certain of the Obligors, (I) Sidley Austin LLP, special English counsel to the Administrative Agent, (J) Jones Walker LLP, special Louisiana counsel to Weatherford U.S., L.P., (K) Allens, special Australian counsel to the Administrative Agent, (L) Selmer, special Norwegian counsel to the Administrative Agent, (M) Baker &amp; McKenzie Amersterdam N.V., special Dutch counsel to certain of the Obligors and (N) Szakaly Law Firm, special Hungarian counsel to Weatherford Capital Management Services Limited Liability Company, in each case, given upon the express instruction of the applicable Obligor(s), as applicable;</w:t>
      </w:r>
    </w:p>
    <w:p>
      <w:pPr>
        <w:spacing w:after="0" w:line="170" w:lineRule="exact"/>
        <w:rPr>
          <w:rFonts w:ascii="Arial" w:cs="Arial" w:eastAsia="Arial" w:hAnsi="Arial"/>
          <w:sz w:val="16"/>
          <w:szCs w:val="16"/>
          <w:color w:val="auto"/>
        </w:rPr>
      </w:pPr>
    </w:p>
    <w:p>
      <w:pPr>
        <w:ind w:left="660" w:right="80" w:firstLine="1293"/>
        <w:spacing w:after="0" w:line="291" w:lineRule="auto"/>
        <w:tabs>
          <w:tab w:leader="none" w:pos="2641"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 a certificate of a Principal Financial Officer of WIL-Ireland certifying that, after giving effect to the Transactions (as defined in this Agreement on the Effective Date), WIL-Ireland and its Subsidiaries on a consolidated basis are Solvent as of the Effective Date and</w:t>
      </w:r>
    </w:p>
    <w:p>
      <w:pPr>
        <w:ind w:left="660" w:hanging="4"/>
        <w:spacing w:after="0" w:line="261" w:lineRule="auto"/>
        <w:tabs>
          <w:tab w:leader="none" w:pos="94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certificate of a Principal Financial Officer of WIL-Bermuda certifying that, after giving effect to the Transactions (as defined in this Agreement on the Effective Date), WIL-Bermuda and its Subsidiaries on a consolidated basis are Solvent as of the Effective Date;</w:t>
      </w:r>
    </w:p>
    <w:p>
      <w:pPr>
        <w:spacing w:after="0" w:line="183" w:lineRule="exact"/>
        <w:rPr>
          <w:rFonts w:ascii="Arial" w:cs="Arial" w:eastAsia="Arial" w:hAnsi="Arial"/>
          <w:sz w:val="18"/>
          <w:szCs w:val="18"/>
          <w:color w:val="auto"/>
        </w:rPr>
      </w:pPr>
    </w:p>
    <w:p>
      <w:pPr>
        <w:jc w:val="both"/>
        <w:ind w:left="660" w:right="380" w:firstLine="1293"/>
        <w:spacing w:after="0" w:line="264" w:lineRule="auto"/>
        <w:tabs>
          <w:tab w:leader="none" w:pos="262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 certificate of a Principal Financial Officer of WIL-Ireland demonstrating, after giving effect to the Transactions (as defined in this Agreement on the Effective Date), that WIL-Ireland is in compliance on a pro forma basis with the Financial Covenants as of the Effective Date;</w:t>
      </w:r>
    </w:p>
    <w:p>
      <w:pPr>
        <w:spacing w:after="0" w:line="181" w:lineRule="exact"/>
        <w:rPr>
          <w:rFonts w:ascii="Arial" w:cs="Arial" w:eastAsia="Arial" w:hAnsi="Arial"/>
          <w:sz w:val="18"/>
          <w:szCs w:val="18"/>
          <w:color w:val="auto"/>
        </w:rPr>
      </w:pPr>
    </w:p>
    <w:p>
      <w:pPr>
        <w:ind w:left="660" w:right="320" w:firstLine="1293"/>
        <w:spacing w:after="0" w:line="312" w:lineRule="auto"/>
        <w:tabs>
          <w:tab w:leader="none" w:pos="2612"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 certificate of a Principal Financial Officer of WIL-Ireland with supporting information certifying as to (A) the calculation of WIL-Bermuda’s Consolidated Net Worth (as defined in each of the Existing Senior Notes Indentures and in each of the Citi Credit Documents) as of March 31, 2016 in accordance with each of the Senior Notes Indentures and each of the Citi Credit Documents and (B) WIL-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86" w:lineRule="auto"/>
        <w:rPr>
          <w:sz w:val="20"/>
          <w:szCs w:val="20"/>
          <w:color w:val="auto"/>
        </w:rPr>
      </w:pPr>
      <w:r>
        <w:rPr>
          <w:rFonts w:ascii="Arial" w:cs="Arial" w:eastAsia="Arial" w:hAnsi="Arial"/>
          <w:sz w:val="17"/>
          <w:szCs w:val="17"/>
          <w:color w:val="auto"/>
        </w:rPr>
        <w:t>Bermuda’s ability to incur indebtedness under the Term Loan Facility on the Effective Date and to secure such indebtedness and other obligations in respect thereof without having to share the Liens on the collateral securing the Term Loan Facility equally and ratably with any series of the issued and outstanding Existing Senior Notes or any of the obligations under the Citi Credit Documents; and</w:t>
      </w:r>
    </w:p>
    <w:p>
      <w:pPr>
        <w:spacing w:after="0" w:line="166" w:lineRule="exact"/>
        <w:rPr>
          <w:sz w:val="20"/>
          <w:szCs w:val="20"/>
          <w:color w:val="auto"/>
        </w:rPr>
      </w:pPr>
    </w:p>
    <w:p>
      <w:pPr>
        <w:ind w:left="660" w:right="140" w:firstLine="1293"/>
        <w:spacing w:after="0" w:line="342" w:lineRule="auto"/>
        <w:tabs>
          <w:tab w:leader="none" w:pos="262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to the extent available in the applicable jurisdiction(s), (A) copies of the memorandum of association, articles or certificates of incorporation or other similar organizational documents of each Obligor (other than WIL-Bermuda) certified as of a recent date prior</w:t>
      </w:r>
    </w:p>
    <w:p>
      <w:pPr>
        <w:sectPr>
          <w:pgSz w:w="11900" w:h="16975" w:orient="portrait"/>
          <w:cols w:equalWidth="0" w:num="1">
            <w:col w:w="11400"/>
          </w:cols>
          <w:pgMar w:left="240" w:top="125" w:right="259" w:bottom="0" w:gutter="0" w:footer="0" w:header="0"/>
        </w:sectPr>
      </w:pPr>
    </w:p>
    <w:bookmarkStart w:id="60" w:name="page61"/>
    <w:bookmarkEnd w:id="60"/>
    <w:p>
      <w:pPr>
        <w:ind w:left="660" w:right="20"/>
        <w:spacing w:after="0" w:line="254" w:lineRule="auto"/>
        <w:rPr>
          <w:sz w:val="20"/>
          <w:szCs w:val="20"/>
          <w:color w:val="auto"/>
        </w:rPr>
      </w:pPr>
      <w:r>
        <w:rPr>
          <w:rFonts w:ascii="Arial" w:cs="Arial" w:eastAsia="Arial" w:hAnsi="Arial"/>
          <w:sz w:val="18"/>
          <w:szCs w:val="18"/>
          <w:color w:val="auto"/>
        </w:rPr>
        <w:t>to the Effective Date by the appropriate Governmental Authority or by a Responsible Officer with respect to Obligors organized under the laws of the British Virgin Islands, (B) certificates of appropriate public officials or bodies as to the existence, good standing and qualification to do business as a foreign entity, of each Obligor in each jurisdiction in which the ownership of its properties or the conduct of its business requires such qualification and where the failure to so qualify would, individually or collectively, have a Material Adverse Effect and (C) to the extent not covered by clauses (A) and (B) immediately above, and only with respect any Obligor organized outside of the United States of America, Bermuda, the British Virgin Islands, Ireland or Switzerland, documents, excerpts or certificates issued by appropriate public officials or bodies with respect to such Obligor that are customarily delivered by entities organized in the same jurisdiction as such Obligor in connection with transactions similar to the Transactions.</w:t>
      </w:r>
    </w:p>
    <w:p>
      <w:pPr>
        <w:spacing w:after="0" w:line="192" w:lineRule="exact"/>
        <w:rPr>
          <w:sz w:val="20"/>
          <w:szCs w:val="20"/>
          <w:color w:val="auto"/>
        </w:rPr>
      </w:pPr>
    </w:p>
    <w:p>
      <w:pPr>
        <w:ind w:right="260" w:firstLine="1305"/>
        <w:spacing w:after="0" w:line="259" w:lineRule="auto"/>
        <w:tabs>
          <w:tab w:leader="none" w:pos="195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Administrative Agent shall have received evidence reasonably satisfactory to it that all material consents of each Governmental Authority and of each other Person, if any, required to be received by the Obligors in connection with (i) the Loans, (ii) the Letters of Credit and (iii) the execution, delivery and performance of this Agreement and the other Loan Documents to which any Obligor is a party have been satisfactorily obtained.</w:t>
      </w:r>
    </w:p>
    <w:p>
      <w:pPr>
        <w:spacing w:after="0" w:line="186" w:lineRule="exact"/>
        <w:rPr>
          <w:rFonts w:ascii="Arial" w:cs="Arial" w:eastAsia="Arial" w:hAnsi="Arial"/>
          <w:sz w:val="18"/>
          <w:szCs w:val="18"/>
          <w:color w:val="auto"/>
        </w:rPr>
      </w:pPr>
    </w:p>
    <w:p>
      <w:pPr>
        <w:ind w:right="100" w:firstLine="1305"/>
        <w:spacing w:after="0" w:line="255" w:lineRule="auto"/>
        <w:tabs>
          <w:tab w:leader="none" w:pos="19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Lenders shall have received (i) audited consolidated financial statements of WIL-Ireland for the Fiscal Year ended December 31, 2015, including condensed consolidating financial information with respect to the Guarantors to the extent required to be presented in the periodic reports of WIL-Ireland filed with the SEC pursuant to the Exchange Act and (ii) unaudited interim consolidated financial statements of WIL-Ireland for each quarterly period ended subsequent to December 31, 2015 to the extent such financial statements are available, including condensed consolidating financial information with respect to the Guarantors to the extent required to be presented in the periodic reports of WIL-Ireland filed with the SEC pursuant to the Exchange Act.</w:t>
      </w:r>
    </w:p>
    <w:p>
      <w:pPr>
        <w:spacing w:after="0" w:line="193" w:lineRule="exact"/>
        <w:rPr>
          <w:rFonts w:ascii="Arial" w:cs="Arial" w:eastAsia="Arial" w:hAnsi="Arial"/>
          <w:sz w:val="18"/>
          <w:szCs w:val="18"/>
          <w:color w:val="auto"/>
        </w:rPr>
      </w:pPr>
    </w:p>
    <w:p>
      <w:pPr>
        <w:ind w:right="60" w:firstLine="1305"/>
        <w:spacing w:after="0" w:line="259" w:lineRule="auto"/>
        <w:tabs>
          <w:tab w:leader="none" w:pos="195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The Borrowers shall have paid (i) to the Administrative Agent, the Lead Arrangers and the Lenders, as applicable, all fees and other amounts agreed upon by such parties to be paid on or prior to the Effective Date, and (ii) to the extent invoiced at or before 1:00 p.m., New York City time, on the Business Day immediately prior to the Effective Date, all out-of-pocket expenses required to be reimbursed or paid by the Borrowers pursuant to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or any other Loan Document.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1305"/>
        <w:spacing w:after="0" w:line="312" w:lineRule="auto"/>
        <w:tabs>
          <w:tab w:leader="none" w:pos="195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Term Loan Facility shall be closed and effective, the Specified Prepayment (as defined in the Amendment and Restatement Agreement) and Commitment Reduction (as defined in the Amendment and Restatement Agreement) shall have occurred, and there shall be Extending Lenders representing Extended Commitments and commitments under the Term Loan Facility of at least $1,600,000,000 in the aggregate.</w:t>
      </w:r>
    </w:p>
    <w:p>
      <w:pPr>
        <w:spacing w:after="0" w:line="146" w:lineRule="exact"/>
        <w:rPr>
          <w:rFonts w:ascii="Arial" w:cs="Arial" w:eastAsia="Arial" w:hAnsi="Arial"/>
          <w:sz w:val="16"/>
          <w:szCs w:val="16"/>
          <w:color w:val="auto"/>
        </w:rPr>
      </w:pPr>
    </w:p>
    <w:p>
      <w:pPr>
        <w:ind w:firstLine="1305"/>
        <w:spacing w:after="0" w:line="264" w:lineRule="auto"/>
        <w:tabs>
          <w:tab w:leader="none" w:pos="194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Obligor shall have provided to the Administrative Agent and the Lenders if requested at least three Business Days prior to the Effective Date, the documentation and other information requested by the Administrative Agent or any Lender in order to comply with requirements of the PATRIOT Act and applicable “know your customer” and anti-money laundering rules and regulations.</w:t>
      </w:r>
    </w:p>
    <w:p>
      <w:pPr>
        <w:spacing w:after="0" w:line="181" w:lineRule="exact"/>
        <w:rPr>
          <w:rFonts w:ascii="Arial" w:cs="Arial" w:eastAsia="Arial" w:hAnsi="Arial"/>
          <w:sz w:val="18"/>
          <w:szCs w:val="18"/>
          <w:color w:val="auto"/>
        </w:rPr>
      </w:pPr>
    </w:p>
    <w:p>
      <w:pPr>
        <w:ind w:right="280" w:firstLine="1305"/>
        <w:spacing w:after="0" w:line="277" w:lineRule="auto"/>
        <w:tabs>
          <w:tab w:leader="none" w:pos="196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Administrative Agent and the Lenders are satisfied with the description and scope of the Designated Assets as described in writing to the Administrative Agent and the Lenders prior to the Effective Date.</w:t>
      </w:r>
    </w:p>
    <w:p>
      <w:pPr>
        <w:spacing w:after="0" w:line="170" w:lineRule="exact"/>
        <w:rPr>
          <w:rFonts w:ascii="Arial" w:cs="Arial" w:eastAsia="Arial" w:hAnsi="Arial"/>
          <w:sz w:val="18"/>
          <w:szCs w:val="18"/>
          <w:color w:val="auto"/>
        </w:rPr>
      </w:pPr>
    </w:p>
    <w:p>
      <w:pPr>
        <w:ind w:right="240" w:firstLine="1305"/>
        <w:spacing w:after="0" w:line="277" w:lineRule="auto"/>
        <w:tabs>
          <w:tab w:leader="none" w:pos="195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Obligor shall have provided the Administrative Agent such other information and supporting documentation regarding the WIL-Bermuda recapitalization transaction as the Administrative Agent shall reasonably request.</w:t>
      </w:r>
    </w:p>
    <w:p>
      <w:pPr>
        <w:spacing w:after="0" w:line="170"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Each Lender, by delivering its signature page to the Amendment and Restatement Agreement, shall be deemed to have consented to, approved or accepted or to be satisfied with, each Loan Document and each other document required thereunder to be consented to, approved by or acceptable or satisfactory to a Lender, unless the Administrative Agent shall have received notice from such Lender prior to the proposed Effective Date specifying its objection thereto.</w:t>
      </w:r>
    </w:p>
    <w:p>
      <w:pPr>
        <w:spacing w:after="0" w:line="18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Conditions Precedent to All Credit Events</w:t>
      </w:r>
      <w:r>
        <w:rPr>
          <w:rFonts w:ascii="Arial" w:cs="Arial" w:eastAsia="Arial" w:hAnsi="Arial"/>
          <w:sz w:val="17"/>
          <w:szCs w:val="17"/>
          <w:color w:val="auto"/>
        </w:rPr>
        <w:t>. The obligation of the Lenders to make any Loan on the occasion of any Borrowing on or after the Effective Date and of any Issuing Bank to issue, amend, renew or extend any Letter of Credit on or after the Effective Date is subject to the further conditions precedent that, on the date such Loan is made or Letter of Credit is issued, amended, renewed or extended:</w:t>
      </w:r>
    </w:p>
    <w:p>
      <w:pPr>
        <w:spacing w:after="0" w:line="166" w:lineRule="exact"/>
        <w:rPr>
          <w:sz w:val="20"/>
          <w:szCs w:val="20"/>
          <w:color w:val="auto"/>
        </w:rPr>
      </w:pPr>
    </w:p>
    <w:p>
      <w:pPr>
        <w:ind w:right="40" w:firstLine="1305"/>
        <w:spacing w:after="0" w:line="291" w:lineRule="auto"/>
        <w:tabs>
          <w:tab w:leader="none" w:pos="1942"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The representations and warranties of each Obligor set forth in this Agreement and in the other Loan Documents shall be true and correct in all material respects (except to the extent qualified by materiality or reference to Material Adverse Effect, in which case such applicable representation and warranty shall be true and correct in all respects) on and as of the date of such Borrowing or the date of issuance, amendment, renewal or extension of such Letter of Credit, as applicable, except to the extent any such representations and warranties are expressly limited to an earlier date, in which case, on and as of the date of such Borrowing or the date of issuance, amendment, renewal or extension of such Letter of Credit, as applicable, such representations and warranties shall continue to be true and correct in all material respects (except to the extent qualified by materiality or reference to Material Adverse Effect, in which case such applicable representation and warranty shall be true and correct in all respects) as of such specified earlier date.</w:t>
      </w:r>
    </w:p>
    <w:p>
      <w:pPr>
        <w:spacing w:after="0" w:line="167" w:lineRule="exact"/>
        <w:rPr>
          <w:rFonts w:ascii="Arial" w:cs="Arial" w:eastAsia="Arial" w:hAnsi="Arial"/>
          <w:sz w:val="16"/>
          <w:szCs w:val="16"/>
          <w:color w:val="auto"/>
        </w:rPr>
      </w:pPr>
    </w:p>
    <w:p>
      <w:pPr>
        <w:ind w:left="1960" w:hanging="655"/>
        <w:spacing w:after="0"/>
        <w:tabs>
          <w:tab w:leader="none" w:pos="196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The Administrative Agent and, if applicable, the applicable Swingline Lender or the applicable Issuing Bank, shall have received</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of a Borrowing, 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 xml:space="preserve">Borrowing Request by the time and on the Business Day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(ii) in the case of a Swingline Borrowing, a Swingline Borrowing Request as required by </w:t>
      </w:r>
      <w:r>
        <w:rPr>
          <w:rFonts w:ascii="Arial" w:cs="Arial" w:eastAsia="Arial" w:hAnsi="Arial"/>
          <w:sz w:val="16"/>
          <w:szCs w:val="16"/>
          <w:u w:val="single" w:color="auto"/>
          <w:color w:val="auto"/>
        </w:rPr>
        <w:t>Section 2.03(b)</w:t>
      </w:r>
      <w:r>
        <w:rPr>
          <w:rFonts w:ascii="Arial" w:cs="Arial" w:eastAsia="Arial" w:hAnsi="Arial"/>
          <w:sz w:val="16"/>
          <w:szCs w:val="16"/>
          <w:color w:val="auto"/>
        </w:rPr>
        <w:t xml:space="preserve"> by the time and on the Business Day specified in </w:t>
      </w:r>
      <w:r>
        <w:rPr>
          <w:rFonts w:ascii="Arial" w:cs="Arial" w:eastAsia="Arial" w:hAnsi="Arial"/>
          <w:sz w:val="16"/>
          <w:szCs w:val="16"/>
          <w:u w:val="single" w:color="auto"/>
          <w:color w:val="auto"/>
        </w:rPr>
        <w:t>Section 2.03(b)</w:t>
      </w:r>
      <w:r>
        <w:rPr>
          <w:rFonts w:ascii="Arial" w:cs="Arial" w:eastAsia="Arial" w:hAnsi="Arial"/>
          <w:sz w:val="16"/>
          <w:szCs w:val="16"/>
          <w:color w:val="auto"/>
        </w:rPr>
        <w:t xml:space="preserve"> and (iii) in the case of an issuance, amendment, renewal or extension of a Letter of Credit, a Letter of Credit Request as required by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by the time and on the Business Day specified in </w:t>
      </w:r>
      <w:r>
        <w:rPr>
          <w:rFonts w:ascii="Arial" w:cs="Arial" w:eastAsia="Arial" w:hAnsi="Arial"/>
          <w:sz w:val="16"/>
          <w:szCs w:val="16"/>
          <w:u w:val="single" w:color="auto"/>
          <w:color w:val="auto"/>
        </w:rPr>
        <w:t>Section 3.01(b)</w:t>
      </w:r>
      <w:r>
        <w:rPr>
          <w:rFonts w:ascii="Arial" w:cs="Arial" w:eastAsia="Arial" w:hAnsi="Arial"/>
          <w:sz w:val="16"/>
          <w:szCs w:val="16"/>
          <w:color w:val="auto"/>
        </w:rPr>
        <w:t>.</w:t>
      </w:r>
    </w:p>
    <w:p>
      <w:pPr>
        <w:spacing w:after="0" w:line="147" w:lineRule="exact"/>
        <w:rPr>
          <w:sz w:val="20"/>
          <w:szCs w:val="20"/>
          <w:color w:val="auto"/>
        </w:rPr>
      </w:pPr>
    </w:p>
    <w:p>
      <w:pPr>
        <w:ind w:right="600" w:firstLine="1305"/>
        <w:spacing w:after="0" w:line="277" w:lineRule="auto"/>
        <w:tabs>
          <w:tab w:leader="none" w:pos="19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result from the making of such Loan or the issuance, amendment, renewal or extension of such Letter of Credit.</w:t>
      </w:r>
    </w:p>
    <w:p>
      <w:pPr>
        <w:sectPr>
          <w:pgSz w:w="11900" w:h="16838" w:orient="portrait"/>
          <w:cols w:equalWidth="0" w:num="1">
            <w:col w:w="11420"/>
          </w:cols>
          <w:pgMar w:left="240" w:top="125" w:right="239" w:bottom="0" w:gutter="0" w:footer="0" w:header="0"/>
        </w:sectPr>
      </w:pPr>
    </w:p>
    <w:bookmarkStart w:id="61" w:name="page62"/>
    <w:bookmarkEnd w:id="61"/>
    <w:p>
      <w:pPr>
        <w:ind w:right="20" w:firstLine="1305"/>
        <w:spacing w:after="0" w:line="277" w:lineRule="auto"/>
        <w:tabs>
          <w:tab w:leader="none" w:pos="195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With respect to the making of any Loan, immediately after giving effect thereto and the application of the proceeds thereof, at least 95% of the aggregate commitments under the 364-Day Revolving Credit Facility shall be funded.</w:t>
      </w:r>
    </w:p>
    <w:p>
      <w:pPr>
        <w:spacing w:after="0" w:line="170" w:lineRule="exact"/>
        <w:rPr>
          <w:rFonts w:ascii="Arial" w:cs="Arial" w:eastAsia="Arial" w:hAnsi="Arial"/>
          <w:sz w:val="18"/>
          <w:szCs w:val="18"/>
          <w:color w:val="auto"/>
        </w:rPr>
      </w:pPr>
    </w:p>
    <w:p>
      <w:pPr>
        <w:ind w:right="20" w:firstLine="1305"/>
        <w:spacing w:after="0" w:line="271" w:lineRule="auto"/>
        <w:tabs>
          <w:tab w:leader="none" w:pos="195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Administrative Agent shall have received a certification of a Principal Financial Officer of WIL-Ireland (which may be contained in the applicable Borrowing Request, Swingline Borrowing Request or Letter of Credit Request) certifying that immediately after giving pro forma effect to such Borrowing or the issuance, amendment, renewal or extension of such Letter of Credit, as applicable, (1) WIL-Ireland and its Subsidiaries, taken as a whole, will be Solvent, (2) WIL-Bermuda and its Subsidiaries, taken as a whole, will be Solvent and (3) no Obligor or Material Subsidiary intends, as of such date, to (x) voluntarily commence a case or proceeding under any applicable federal, state or foreign bankruptcy, insolvency, reorganization or other similar law, (y) make a general assignment for the benefit of creditors, or (z) apply for or consent to the appointment of or taking possession by a custodian, receiver, liquidator, assignee, trustee, examiner, administrator, sequestrator or similar official of such Obligor or Material Subsidiary or a substantial part of its assets, in each case of clause (x), (y) and (z) within the next 10 Business Days.</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acceptance of the benefits of each Credit Event shall constitute a representation and warranty by each of the Obligors to each of the Lenders that all of the conditions specified in </w:t>
      </w:r>
      <w:r>
        <w:rPr>
          <w:rFonts w:ascii="Arial" w:cs="Arial" w:eastAsia="Arial" w:hAnsi="Arial"/>
          <w:sz w:val="18"/>
          <w:szCs w:val="18"/>
          <w:u w:val="single" w:color="auto"/>
          <w:color w:val="auto"/>
        </w:rPr>
        <w:t>Section 5.02(a)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5.02(c)</w:t>
      </w:r>
      <w:r>
        <w:rPr>
          <w:rFonts w:ascii="Arial" w:cs="Arial" w:eastAsia="Arial" w:hAnsi="Arial"/>
          <w:sz w:val="18"/>
          <w:szCs w:val="18"/>
          <w:color w:val="auto"/>
        </w:rPr>
        <w:t xml:space="preserve"> have been satisfied as of that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Obligor Party represents and warrants to the Lenders, the Issuing Banks and the Administrative Agent as follows:</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Each Obligor and each Restricted Subsidiary (a) is a company, corporation, partnership or entity having limited liability that is duly organized or formed, validly existing and in good standing under the laws of the jurisdiction of its incorporation or formation, (b) has the corporate, partnership or other power and authority to own its property and to carry on its business as now conducted and (c) is duly qualified as a foreign corporation or other foreign entity to do business and is in good standing in every jurisdiction in which the failure to be so qualified would, together with all such other failures of the Obligors and the Restricted Subsidiaries to be so qualified or in good standing, have a Material Adverse Effect.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Authorization, Validity, Etc.</w:t>
      </w:r>
      <w:r>
        <w:rPr>
          <w:rFonts w:ascii="Arial" w:cs="Arial" w:eastAsia="Arial" w:hAnsi="Arial"/>
          <w:sz w:val="16"/>
          <w:szCs w:val="16"/>
          <w:color w:val="auto"/>
        </w:rPr>
        <w:t xml:space="preserve"> Each Obligor has the corporate or other power and authority to execute, deliver and perform its obligations hereunder and under the other Loan Documents to which it is a party and to obtain the Loans and request Letters of Credit, and to consummate the Transactions, and all such action has been duly authorized by all necessary corporate, partnership or other proceedings on its part or on its behalf. Each Loan Document has been duly and validly executed and delivered by or on behalf of each Obligor and constitutes valid and legally binding agreements of such Obligor enforceable against such Obligor in accordance with the terms hereof, and the Loan Documents to which such Obligor is a party, when duly executed and delivered by or on behalf of such Obligor, shall constitute valid and legally binding obligations of such Obligor enforceable in accordance with the respective terms thereof and of this Agreement, except, in each case (a) as may be limited by bankruptcy, insolvency, examinership,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16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Governmental Consents, Etc.</w:t>
      </w:r>
      <w:r>
        <w:rPr>
          <w:rFonts w:ascii="Arial" w:cs="Arial" w:eastAsia="Arial" w:hAnsi="Arial"/>
          <w:sz w:val="17"/>
          <w:szCs w:val="17"/>
          <w:color w:val="auto"/>
        </w:rPr>
        <w:t xml:space="preserve"> No authorization, consent, approval, license or exemption of, or filing or registration with, any Governmental Authority is necessary to have been made or obtained by any Obligor for the valid execution, delivery and performance by any Obligor of any Loan Document to which it is a party or the consummation of the Transactions, except those that have been obtained and are in full force and effect and such matters relating to performance as would ordinarily be done in the ordinary course of business after the Effective Date.</w:t>
      </w:r>
    </w:p>
    <w:p>
      <w:pPr>
        <w:spacing w:after="0" w:line="171" w:lineRule="exact"/>
        <w:rPr>
          <w:sz w:val="20"/>
          <w:szCs w:val="20"/>
          <w:color w:val="auto"/>
        </w:rPr>
      </w:pPr>
    </w:p>
    <w:p>
      <w:pPr>
        <w:ind w:right="240" w:firstLine="648"/>
        <w:spacing w:after="0" w:line="290"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No Breach or Violation of Law or Agreements</w:t>
      </w:r>
      <w:r>
        <w:rPr>
          <w:rFonts w:ascii="Arial" w:cs="Arial" w:eastAsia="Arial" w:hAnsi="Arial"/>
          <w:sz w:val="16"/>
          <w:szCs w:val="16"/>
          <w:color w:val="auto"/>
        </w:rPr>
        <w:t>. Neither the execution, delivery and performance by any Obligor of the Loan Documents to which it is a party, nor compliance with the terms and provisions thereof, nor the extensions of credit contemplated by the Loan Documents, nor the consummation of the Transactions (a) will breach or violate any applicable Requirement of Law, (b) will result in any breach or violation of, or constitute a default under, or result in the creation or imposition of (or the obligation to create or impose) any Lien prohibited hereunder upon any of its property or assets pursuant to the terms of, (i) the Existing Senior Notes, any Existing Senior Notes Indenture or any Citi Credit Document or (ii) any other indenture, agreement or other instrument to which it or any of its Restricted Subsidiaries is party or by which any property or asset of it or any of its Restricted Subsidiaries is bound or to which it is subject, except for breaches, violations and defaults under clauses (</w:t>
      </w:r>
      <w:r>
        <w:rPr>
          <w:rFonts w:ascii="Arial" w:cs="Arial" w:eastAsia="Arial" w:hAnsi="Arial"/>
          <w:sz w:val="16"/>
          <w:szCs w:val="16"/>
          <w:u w:val="single" w:color="auto"/>
          <w:color w:val="auto"/>
        </w:rPr>
        <w:t>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(b)(ii)</w:t>
      </w:r>
      <w:r>
        <w:rPr>
          <w:rFonts w:ascii="Arial" w:cs="Arial" w:eastAsia="Arial" w:hAnsi="Arial"/>
          <w:sz w:val="16"/>
          <w:szCs w:val="16"/>
          <w:color w:val="auto"/>
        </w:rPr>
        <w:t xml:space="preserve"> that collectively for the Obligors would not have a Material Adverse Effect, or (c) will violate any provision of the organizational documents or by-laws of any Obligor.</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6.05</w:t>
      </w:r>
      <w:r>
        <w:rPr>
          <w:rFonts w:ascii="Arial" w:cs="Arial" w:eastAsia="Arial" w:hAnsi="Arial"/>
          <w:sz w:val="18"/>
          <w:szCs w:val="18"/>
          <w:color w:val="auto"/>
        </w:rPr>
        <w:t>, (a) there are no actions, suits or proceedings pending or, to the best knowledge of WIL-Ireland, threatened in writing against any Obligor or against any of their respective properties or assets that are reasonably likely to have (individually or collectively) a Material Adverse Effect and (b) to the best knowledge of WIL-Ireland, there are no actions, suits or proceedings pending or threatened that purport to affect or pertain to the Loan Documents or any transactions contemplated thereby.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u w:val="single" w:color="auto"/>
          <w:color w:val="auto"/>
        </w:rPr>
        <w:t>Information; No Material Adverse Change</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0" w:lineRule="auto"/>
        <w:tabs>
          <w:tab w:leader="none" w:pos="194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All written information heretofore furnished by the Obligors to the Administrative Agent or any Lender in connection with this Agreement or any of the other Loan Documents (including the information contained in the Confidential Information Memorandum dated April 2016 delivered in connection with Transactions (as defined in the this Agreement on the Effective Date), the facility evidenced hereby and the Term Loan Facility and the information contained in the written materials prepared in connection with the arrangement of Amendment No. 3), when considered together with the disclosures made herein, in the other Loan Documents and in the filings made by any Obligor with the SEC pursuant to the Exchange Act, did not as of the date thereof (or if such information related to a specific date, as of such specific date), when read together and taken as a whole, contain any untrue statement of a material fact or omit to state a material fact necessary in order to make the statements contained therein not misleading in light of the circumstances under which such statements were made, except for such information, if any, that has been updated, corrected, supplemented, superseded or modified pursuant to a</w:t>
      </w:r>
    </w:p>
    <w:p>
      <w:pPr>
        <w:sectPr>
          <w:pgSz w:w="11900" w:h="16838" w:orient="portrait"/>
          <w:cols w:equalWidth="0" w:num="1">
            <w:col w:w="11420"/>
          </w:cols>
          <w:pgMar w:left="240" w:top="125" w:right="239" w:bottom="0" w:gutter="0" w:footer="0" w:header="0"/>
        </w:sectPr>
      </w:pPr>
    </w:p>
    <w:bookmarkStart w:id="62" w:name="page63"/>
    <w:bookmarkEnd w:id="62"/>
    <w:p>
      <w:pPr>
        <w:spacing w:after="0" w:line="3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written instrument delivered to the Administrative Agent and the Lenders prior to the Effective Date or, in the case of information provided in connection with Amendment No. 3, the Amendment No. 3 Effective Date.</w:t>
      </w:r>
    </w:p>
    <w:p>
      <w:pPr>
        <w:spacing w:after="0" w:line="170" w:lineRule="exact"/>
        <w:rPr>
          <w:sz w:val="20"/>
          <w:szCs w:val="20"/>
          <w:color w:val="auto"/>
        </w:rPr>
      </w:pPr>
    </w:p>
    <w:p>
      <w:pPr>
        <w:ind w:right="120" w:firstLine="1305"/>
        <w:spacing w:after="0" w:line="259" w:lineRule="auto"/>
        <w:tabs>
          <w:tab w:leader="none" w:pos="195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WIL-Ireland has heretofore furnished to the Lenders its consolidated balance sheet and statements of income, stockholders equity and cash flows (i) as of and for the Fiscal Year ended December 31, 2015 reported on by KPMG LLP, independent public accountants. Such financial statements present fairly, in all material respects, the financial position and results of operations and cash flows of WIL-Ireland and its consolidated Subsidiaries as of such dates and for such periods in accordance with GAAP.</w:t>
      </w:r>
    </w:p>
    <w:p>
      <w:pPr>
        <w:spacing w:after="0" w:line="186" w:lineRule="exact"/>
        <w:rPr>
          <w:rFonts w:ascii="Arial" w:cs="Arial" w:eastAsia="Arial" w:hAnsi="Arial"/>
          <w:sz w:val="18"/>
          <w:szCs w:val="18"/>
          <w:color w:val="auto"/>
        </w:rPr>
      </w:pPr>
    </w:p>
    <w:p>
      <w:pPr>
        <w:ind w:right="240" w:firstLine="1305"/>
        <w:spacing w:after="0" w:line="277" w:lineRule="auto"/>
        <w:tabs>
          <w:tab w:leader="none" w:pos="19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There has been no material adverse change since December 31, 2015 in the financial condition, business, assets or operations of WIL-Ireland and its Restricted Subsidiaries, taken as a whole.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Investment Company Act; Margin Regulations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77" w:lineRule="auto"/>
        <w:tabs>
          <w:tab w:leader="none" w:pos="194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Neither any Obligor nor any of its Restricted Subsidiaries is, or is regulated as, an “investment company,” as such term is defined in the Investment Company Act of 1940 (as adopted in the United States), as amended.</w:t>
      </w:r>
    </w:p>
    <w:p>
      <w:pPr>
        <w:spacing w:after="0" w:line="170" w:lineRule="exact"/>
        <w:rPr>
          <w:rFonts w:ascii="Arial" w:cs="Arial" w:eastAsia="Arial" w:hAnsi="Arial"/>
          <w:sz w:val="18"/>
          <w:szCs w:val="18"/>
          <w:color w:val="auto"/>
        </w:rPr>
      </w:pPr>
    </w:p>
    <w:p>
      <w:pPr>
        <w:ind w:firstLine="1305"/>
        <w:spacing w:after="0" w:line="255" w:lineRule="auto"/>
        <w:tabs>
          <w:tab w:leader="none" w:pos="195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Neither any Obligor nor any of its Restricted Subsidiaries is engaged principally, or as one of its important activities, in the business of extending credit for the purpose of purchasing or carrying any “margin stock” as defined in Regulation U. No part of the proceeds of the Loans made to the Borrowers will be used to purchase or carry any such margin stock or to extend credit to others for the purpose of purchasing or carrying any such margin stock (except that WIL-Ireland and any of its Restricted Subsidiaries may purchase the common stock of WIL-Ireland, subject to compliance with applicable law and provided that following the application of the proceeds of each Borrowing, not more than 25% of the value of the assets (either of the applicable Borrower only or of WIL-Ireland and its Subsidiaries on a consolidated basis) subject to any restriction contained in any Loan Document is comprised of “margin stock”</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defined in Regulation U, including such purchased common stock of WIL-Ireland) or for any purpose that violates, or is inconsistent with, the provisions of Regulation T, U or X.</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7"/>
          <w:szCs w:val="17"/>
          <w:u w:val="single" w:color="auto"/>
          <w:color w:val="auto"/>
        </w:rPr>
        <w:t>ERISA</w:t>
      </w:r>
      <w:r>
        <w:rPr>
          <w:rFonts w:ascii="Arial" w:cs="Arial" w:eastAsia="Arial" w:hAnsi="Arial"/>
          <w:sz w:val="17"/>
          <w:szCs w:val="17"/>
          <w:color w:val="auto"/>
        </w:rPr>
        <w:t>.</w:t>
      </w:r>
    </w:p>
    <w:p>
      <w:pPr>
        <w:spacing w:after="0" w:line="225" w:lineRule="exact"/>
        <w:rPr>
          <w:sz w:val="20"/>
          <w:szCs w:val="20"/>
          <w:color w:val="auto"/>
        </w:rPr>
      </w:pPr>
    </w:p>
    <w:p>
      <w:pPr>
        <w:ind w:right="100" w:firstLine="1305"/>
        <w:spacing w:after="0" w:line="308" w:lineRule="auto"/>
        <w:tabs>
          <w:tab w:leader="none" w:pos="1942" w:val="left"/>
        </w:tabs>
        <w:numPr>
          <w:ilvl w:val="0"/>
          <w:numId w:val="158"/>
        </w:numPr>
        <w:rPr>
          <w:rFonts w:ascii="Arial" w:cs="Arial" w:eastAsia="Arial" w:hAnsi="Arial"/>
          <w:sz w:val="17"/>
          <w:szCs w:val="17"/>
          <w:color w:val="auto"/>
        </w:rPr>
      </w:pPr>
      <w:r>
        <w:rPr>
          <w:rFonts w:ascii="Arial" w:cs="Arial" w:eastAsia="Arial" w:hAnsi="Arial"/>
          <w:sz w:val="17"/>
          <w:szCs w:val="17"/>
          <w:color w:val="auto"/>
        </w:rPr>
        <w:t>Each Obligor and each ERISA Affiliate has maintained and administered each Plan in compliance with all applicable laws, except for such instances of noncompliance as have not resulted in and would not reasonably be expected to have a Material Adverse Effect.</w:t>
      </w:r>
    </w:p>
    <w:p>
      <w:pPr>
        <w:spacing w:after="0" w:line="146" w:lineRule="exact"/>
        <w:rPr>
          <w:rFonts w:ascii="Arial" w:cs="Arial" w:eastAsia="Arial" w:hAnsi="Arial"/>
          <w:sz w:val="17"/>
          <w:szCs w:val="17"/>
          <w:color w:val="auto"/>
        </w:rPr>
      </w:pPr>
    </w:p>
    <w:p>
      <w:pPr>
        <w:ind w:right="160" w:firstLine="1305"/>
        <w:spacing w:after="0" w:line="277" w:lineRule="auto"/>
        <w:tabs>
          <w:tab w:leader="none" w:pos="195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 ERISA Event has occurred or is reasonably expected to occur that, when taken together with all other such ERISA Events for which liability is reasonably expected to occur, could reasonably be expected to have a Material Adverse Effect.</w:t>
      </w:r>
    </w:p>
    <w:p>
      <w:pPr>
        <w:spacing w:after="0" w:line="170"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Tax Returns and Payments</w:t>
      </w:r>
      <w:r>
        <w:rPr>
          <w:rFonts w:ascii="Arial" w:cs="Arial" w:eastAsia="Arial" w:hAnsi="Arial"/>
          <w:sz w:val="16"/>
          <w:szCs w:val="16"/>
          <w:color w:val="auto"/>
        </w:rPr>
        <w:t>. Each Obligor and each Restricted Subsidiary has caused to be filed all United States federal income Tax returns and other material Tax returns, statements and reports (or obtained extensions with respect thereto) which are required to be filed and has paid or deposited or made adequate provision in accordance with GAAP for the payment of all Taxes (including estimated Taxes shown on such returns, statements and reports) which are shown to be due pursuant to such returns, except (a) for Taxes whose amount, applicability or validity is being contested in good faith by appropriate proceedings and for which adequate reserves have been established in accordance with GAAP and (b) where the failure to pay such Taxes (collectively for the Obligors and the Restricted Subsidiaries, taken as a whole) would not have a Material Adverse Effect.</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Requirements of Law</w:t>
      </w:r>
      <w:r>
        <w:rPr>
          <w:rFonts w:ascii="Arial" w:cs="Arial" w:eastAsia="Arial" w:hAnsi="Arial"/>
          <w:sz w:val="16"/>
          <w:szCs w:val="16"/>
          <w:color w:val="auto"/>
        </w:rPr>
        <w:t>.</w:t>
      </w:r>
    </w:p>
    <w:p>
      <w:pPr>
        <w:spacing w:after="0" w:line="225" w:lineRule="exact"/>
        <w:rPr>
          <w:sz w:val="20"/>
          <w:szCs w:val="20"/>
          <w:color w:val="auto"/>
        </w:rPr>
      </w:pPr>
    </w:p>
    <w:p>
      <w:pPr>
        <w:jc w:val="both"/>
        <w:ind w:right="200" w:firstLine="1305"/>
        <w:spacing w:after="0" w:line="259" w:lineRule="auto"/>
        <w:tabs>
          <w:tab w:leader="none" w:pos="194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Obligors and each of their Restricted Subsidiaries are in compliance with all Requirements of Law, applicable statutes, regulations and orders of, and all applicable restrictions imposed by, all Governmental Authorities in respect of the conduct of their businesses and the ownership of their property, except for instances in which the failure to comply therewith, either individually or in the aggregate, would not have a Material Adverse Effect.</w:t>
      </w:r>
    </w:p>
    <w:p>
      <w:pPr>
        <w:spacing w:after="0" w:line="186" w:lineRule="exact"/>
        <w:rPr>
          <w:rFonts w:ascii="Arial" w:cs="Arial" w:eastAsia="Arial" w:hAnsi="Arial"/>
          <w:sz w:val="18"/>
          <w:szCs w:val="18"/>
          <w:color w:val="auto"/>
        </w:rPr>
      </w:pPr>
    </w:p>
    <w:p>
      <w:pPr>
        <w:ind w:right="20" w:firstLine="1305"/>
        <w:spacing w:after="0" w:line="257" w:lineRule="auto"/>
        <w:tabs>
          <w:tab w:leader="none" w:pos="195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Except with respect to any matters that, individually or in the aggregate, could not reasonably be expected to result in a Material Adverse Effect, neither WIL-Ireland nor any of its Subsidiaries (i) has failed to comply with any Environmental Law or to obtain, maintain or comply with any permit, license or other approval required for the conduct of WIL-Ireland’s or any of its Subsidiaries’ business under any Environmental Law, (ii) is liable for any Environmental Liability, (iii) has received notice of any claim with respect to any Environmental Liability or (iv) has knowledge of any facts or circumstances that would give rise to any Environmental Liability.</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No Default</w:t>
      </w:r>
      <w:r>
        <w:rPr>
          <w:rFonts w:ascii="Arial" w:cs="Arial" w:eastAsia="Arial" w:hAnsi="Arial"/>
          <w:sz w:val="16"/>
          <w:szCs w:val="16"/>
          <w:color w:val="auto"/>
        </w:rPr>
        <w:t>. No Default or Event of Default has occurred and is continuing.</w:t>
      </w:r>
    </w:p>
    <w:p>
      <w:pPr>
        <w:spacing w:after="0" w:line="225"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Each Obligor Party has implemented and maintains in effect policies and procedures designed to ensure compliance by such Obligor Party, its Subsidiaries and their respective directors, officers, employees and agents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with Anti-Corruption Laws and applicable Sanctions, and such Obligor Party, its Subsidiaries and their respective officers and employees and, to the knowledge of such Obligor Party, its directors and agents, are in compliance with Anti-Corruption Laws and applicable Sanctions in all material respects. None of (a) each Obligor Party, any Subsidiary of such Obligor Party or any of their respective directors, officers or employees, or (b) to the knowledge of each Obligor Party, any agent of such Obligor Party or any Subsidiary of such Obligor Party that will act in any capacity in connection with or benefit from the credit facility established hereby, is a Sanctioned Person. No Borrowing, nor the use of proceeds of the Loans, the Letters of Credit or any other transaction contemplated by the Credit Agreement will violate any Anti-Corruption Laws or any Sanctions applicable to any party hereto.</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w:t>
      </w:r>
    </w:p>
    <w:p>
      <w:pPr>
        <w:sectPr>
          <w:pgSz w:w="11900" w:h="16874" w:orient="portrait"/>
          <w:cols w:equalWidth="0" w:num="1">
            <w:col w:w="11420"/>
          </w:cols>
          <w:pgMar w:left="240" w:top="125" w:right="239" w:bottom="0" w:gutter="0" w:footer="0" w:header="0"/>
        </w:sectPr>
      </w:pPr>
    </w:p>
    <w:bookmarkStart w:id="63" w:name="page64"/>
    <w:bookmarkEnd w:id="63"/>
    <w:p>
      <w:pPr>
        <w:ind w:right="40" w:firstLine="1305"/>
        <w:spacing w:after="0" w:line="264" w:lineRule="auto"/>
        <w:tabs>
          <w:tab w:leader="none" w:pos="194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Each of WIL-Ireland and its Restricted Subsidiaries has good title to, or valid leasehold interests in, all its real and personal property material to its business, except for (i) Liens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and (ii) minor defects in title that do not interfere with its ability to conduct its business as currently conducted or to utilize such properties for their intended purposes.</w:t>
      </w:r>
    </w:p>
    <w:p>
      <w:pPr>
        <w:spacing w:after="0" w:line="181" w:lineRule="exact"/>
        <w:rPr>
          <w:rFonts w:ascii="Arial" w:cs="Arial" w:eastAsia="Arial" w:hAnsi="Arial"/>
          <w:sz w:val="18"/>
          <w:szCs w:val="18"/>
          <w:color w:val="auto"/>
        </w:rPr>
      </w:pPr>
    </w:p>
    <w:p>
      <w:pPr>
        <w:ind w:firstLine="1305"/>
        <w:spacing w:after="0" w:line="259" w:lineRule="auto"/>
        <w:tabs>
          <w:tab w:leader="none" w:pos="195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of WIL-Ireland and its Restricted Subsidiaries owns, or is licensed to use, all trademarks, tradenames, copyrights, patents and other intellectual property material to its business, and the use thereof by WIL-Ireland and its Subsidiaries does not infringe upon the rights of any other Person, except for any such failure to own or license, or infringements that, individually or in the aggregate, could not reasonably be expected to result in a Material Adverse Effect.</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No Restrictive Agreements</w:t>
      </w:r>
      <w:r>
        <w:rPr>
          <w:rFonts w:ascii="Arial" w:cs="Arial" w:eastAsia="Arial" w:hAnsi="Arial"/>
          <w:sz w:val="18"/>
          <w:szCs w:val="18"/>
          <w:color w:val="auto"/>
        </w:rPr>
        <w:t xml:space="preserve">. WIL-Ireland and its Restricted Subsidiaries are not subject to any Restrictive Agreements other than Restrictive Agreements permitted by </w:t>
      </w:r>
      <w:r>
        <w:rPr>
          <w:rFonts w:ascii="Arial" w:cs="Arial" w:eastAsia="Arial" w:hAnsi="Arial"/>
          <w:sz w:val="18"/>
          <w:szCs w:val="18"/>
          <w:u w:val="single" w:color="auto"/>
          <w:color w:val="auto"/>
        </w:rPr>
        <w:t>Section 8.11</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6.15</w:t>
      </w:r>
      <w:r>
        <w:rPr>
          <w:sz w:val="20"/>
          <w:szCs w:val="20"/>
          <w:color w:val="auto"/>
        </w:rPr>
        <w:tab/>
      </w:r>
      <w:r>
        <w:rPr>
          <w:rFonts w:ascii="Arial" w:cs="Arial" w:eastAsia="Arial" w:hAnsi="Arial"/>
          <w:sz w:val="16"/>
          <w:szCs w:val="16"/>
          <w:u w:val="single" w:color="auto"/>
          <w:color w:val="auto"/>
        </w:rPr>
        <w:t>Solvency</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77" w:lineRule="auto"/>
        <w:tabs>
          <w:tab w:leader="none" w:pos="194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Immediately after the consummation of the Transactions to occur on the Effective Date, WIL-Ireland and its Subsidiaries, taken as a whole, are and will be Solvent.</w:t>
      </w:r>
    </w:p>
    <w:p>
      <w:pPr>
        <w:spacing w:after="0" w:line="170" w:lineRule="exact"/>
        <w:rPr>
          <w:rFonts w:ascii="Arial" w:cs="Arial" w:eastAsia="Arial" w:hAnsi="Arial"/>
          <w:sz w:val="18"/>
          <w:szCs w:val="18"/>
          <w:color w:val="auto"/>
        </w:rPr>
      </w:pPr>
    </w:p>
    <w:p>
      <w:pPr>
        <w:ind w:right="80" w:firstLine="1305"/>
        <w:spacing w:after="0" w:line="277" w:lineRule="auto"/>
        <w:tabs>
          <w:tab w:leader="none" w:pos="195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Immediately after the consummation of the Transactions to occur on the Effective Date, WIL-Bermuda and its Subsidiaries, taken as a whole, are and will be Solvent.</w:t>
      </w:r>
    </w:p>
    <w:p>
      <w:pPr>
        <w:spacing w:after="0" w:line="170" w:lineRule="exact"/>
        <w:rPr>
          <w:rFonts w:ascii="Arial" w:cs="Arial" w:eastAsia="Arial" w:hAnsi="Arial"/>
          <w:sz w:val="18"/>
          <w:szCs w:val="18"/>
          <w:color w:val="auto"/>
        </w:rPr>
      </w:pPr>
    </w:p>
    <w:p>
      <w:pPr>
        <w:ind w:right="80" w:firstLine="1305"/>
        <w:spacing w:after="0" w:line="259" w:lineRule="auto"/>
        <w:tabs>
          <w:tab w:leader="none" w:pos="19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WIL-Bermuda does not intend to, nor will permit its Restricted Subsidiaries (taken as a whole) to, and WIL-Ireland does not believe that it or its Restricted Subsidiaries (taken as a whole) will, incur debts beyond its or their ability to pay such debts as such debts mature, taking into account the timing of and amounts of cash to be received by it or any such Restricted Subsidiary and the timing of the amounts of cash to be payable on or in respect of its Indebtedness or the Indebtedness of any such Restricted Subsidiary.</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Insurance</w:t>
      </w:r>
      <w:r>
        <w:rPr>
          <w:rFonts w:ascii="Arial" w:cs="Arial" w:eastAsia="Arial" w:hAnsi="Arial"/>
          <w:sz w:val="18"/>
          <w:szCs w:val="18"/>
          <w:color w:val="auto"/>
        </w:rPr>
        <w:t>. WIL-Ireland and its Subsidiaries maintain, including through self-insurance, insurance with respect to their property and business against such liabilities and risks, in such types and amounts and with such deductibles or self-insurance risk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retentions, in each case as are in accordance with customary industry practice for companies engaged in similar businesses as WIL-Ireland and its Subsidiaries (taken as a whole), as such customary industry practice may change from time to time.</w:t>
      </w:r>
    </w:p>
    <w:p>
      <w:pPr>
        <w:spacing w:after="0" w:line="170"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u w:val="single" w:color="auto"/>
          <w:color w:val="auto"/>
        </w:rPr>
        <w:t>Rank of Obligations</w:t>
      </w:r>
      <w:r>
        <w:rPr>
          <w:rFonts w:ascii="Arial" w:cs="Arial" w:eastAsia="Arial" w:hAnsi="Arial"/>
          <w:sz w:val="18"/>
          <w:szCs w:val="18"/>
          <w:color w:val="auto"/>
        </w:rPr>
        <w:t>. The obligations of each Obligor under the Loan Documents to which it is a party rank at least equally with all of the unsecured and unsubordinated Indebtedness of such Obligor, except Indebtedness mandatorily (and not consensually) preferred by applicable law, and ahead of all subordinated Indebtedness, if any, of such Obligor.</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6.18</w:t>
      </w:r>
      <w:r>
        <w:rPr>
          <w:sz w:val="20"/>
          <w:szCs w:val="20"/>
          <w:color w:val="auto"/>
        </w:rPr>
        <w:tab/>
      </w:r>
      <w:r>
        <w:rPr>
          <w:rFonts w:ascii="Arial" w:cs="Arial" w:eastAsia="Arial" w:hAnsi="Arial"/>
          <w:sz w:val="17"/>
          <w:szCs w:val="17"/>
          <w:u w:val="single" w:color="auto"/>
          <w:color w:val="auto"/>
        </w:rPr>
        <w:t>EEA Financial Institutions</w:t>
      </w:r>
      <w:r>
        <w:rPr>
          <w:rFonts w:ascii="Arial" w:cs="Arial" w:eastAsia="Arial" w:hAnsi="Arial"/>
          <w:sz w:val="17"/>
          <w:szCs w:val="17"/>
          <w:color w:val="auto"/>
        </w:rPr>
        <w:t>. No Obligor is an EEA Financial Institution.</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6.19</w:t>
      </w:r>
      <w:r>
        <w:rPr>
          <w:sz w:val="20"/>
          <w:szCs w:val="20"/>
          <w:color w:val="auto"/>
        </w:rPr>
        <w:tab/>
      </w:r>
      <w:r>
        <w:rPr>
          <w:rFonts w:ascii="Arial" w:cs="Arial" w:eastAsia="Arial" w:hAnsi="Arial"/>
          <w:sz w:val="16"/>
          <w:szCs w:val="16"/>
          <w:u w:val="single" w:color="auto"/>
          <w:color w:val="auto"/>
        </w:rPr>
        <w:t>Compliance with the Swiss Non-Bank Rules</w:t>
      </w:r>
      <w:r>
        <w:rPr>
          <w:rFonts w:ascii="Arial" w:cs="Arial" w:eastAsia="Arial" w:hAnsi="Arial"/>
          <w:sz w:val="16"/>
          <w:szCs w:val="16"/>
          <w:color w:val="auto"/>
        </w:rPr>
        <w:t>.</w:t>
      </w:r>
    </w:p>
    <w:p>
      <w:pPr>
        <w:spacing w:after="0" w:line="225" w:lineRule="exact"/>
        <w:rPr>
          <w:sz w:val="20"/>
          <w:szCs w:val="20"/>
          <w:color w:val="auto"/>
        </w:rPr>
      </w:pPr>
    </w:p>
    <w:p>
      <w:pPr>
        <w:ind w:right="400" w:firstLine="1305"/>
        <w:spacing w:after="0" w:line="277" w:lineRule="auto"/>
        <w:tabs>
          <w:tab w:leader="none" w:pos="194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Each Swiss Obligor is in compliance with the Swiss Non-Bank Rules;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Swiss Obligor shall not be in breach of this representation if the permitted number of Swiss Non-Qualifying Lenders is exceeded solely by reason of:</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 xml:space="preserve">a failure by one or more Lenders or Participants to comply with their obligations under </w:t>
      </w:r>
      <w:r>
        <w:rPr>
          <w:rFonts w:ascii="Arial" w:cs="Arial" w:eastAsia="Arial" w:hAnsi="Arial"/>
          <w:sz w:val="18"/>
          <w:szCs w:val="18"/>
          <w:u w:val="single" w:color="auto"/>
          <w:color w:val="auto"/>
        </w:rPr>
        <w:t>Section 11.05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a confirmation made by a one or more Lenders or Participants to be one single Swiss Non-Qualifying Lender is incorrect;</w:t>
      </w:r>
    </w:p>
    <w:p>
      <w:pPr>
        <w:spacing w:after="0" w:line="248" w:lineRule="exact"/>
        <w:rPr>
          <w:rFonts w:ascii="Arial" w:cs="Arial" w:eastAsia="Arial" w:hAnsi="Arial"/>
          <w:sz w:val="16"/>
          <w:szCs w:val="16"/>
          <w:color w:val="auto"/>
        </w:rPr>
      </w:pPr>
    </w:p>
    <w:p>
      <w:pPr>
        <w:ind w:left="660" w:right="280" w:firstLine="1293"/>
        <w:spacing w:after="0" w:line="277" w:lineRule="auto"/>
        <w:tabs>
          <w:tab w:leader="none" w:pos="2645" w:val="left"/>
        </w:tabs>
        <w:numPr>
          <w:ilvl w:val="1"/>
          <w:numId w:val="162"/>
        </w:numPr>
        <w:rPr>
          <w:rFonts w:ascii="Arial" w:cs="Arial" w:eastAsia="Arial" w:hAnsi="Arial"/>
          <w:sz w:val="18"/>
          <w:szCs w:val="18"/>
          <w:color w:val="auto"/>
        </w:rPr>
      </w:pPr>
      <w:r>
        <w:rPr>
          <w:rFonts w:ascii="Arial" w:cs="Arial" w:eastAsia="Arial" w:hAnsi="Arial"/>
          <w:sz w:val="18"/>
          <w:szCs w:val="18"/>
          <w:color w:val="auto"/>
        </w:rPr>
        <w:t>one or more Lenders or Participants ceasing to be a Swiss Qualifying Lender (to the extent such Lender or Participant confirmed to be a Swiss Qualifying Lender) as a result of any reason attributable to such Lender or Participant;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an assignment or participation of any Loan under this Agreement to a Swiss Non-Qualifying Lender after the occurrence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an Event of Default.</w:t>
      </w:r>
    </w:p>
    <w:p>
      <w:pPr>
        <w:spacing w:after="0" w:line="210" w:lineRule="exact"/>
        <w:rPr>
          <w:rFonts w:ascii="Arial" w:cs="Arial" w:eastAsia="Arial" w:hAnsi="Arial"/>
          <w:sz w:val="16"/>
          <w:szCs w:val="16"/>
          <w:color w:val="auto"/>
        </w:rPr>
      </w:pPr>
    </w:p>
    <w:p>
      <w:pPr>
        <w:ind w:right="60" w:firstLine="1305"/>
        <w:spacing w:after="0" w:line="277" w:lineRule="auto"/>
        <w:tabs>
          <w:tab w:leader="none" w:pos="195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6.19</w:t>
      </w:r>
      <w:r>
        <w:rPr>
          <w:rFonts w:ascii="Arial" w:cs="Arial" w:eastAsia="Arial" w:hAnsi="Arial"/>
          <w:sz w:val="18"/>
          <w:szCs w:val="18"/>
          <w:color w:val="auto"/>
        </w:rPr>
        <w:t>, each Swiss Obligor shall assume that the aggregate number of Lenders or Participants under this Agreement which are Swiss Non-Qualifying Lenders is eight.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AFFIRMATIVE COVENANTS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Until Payment in Full, the Obligor Parties covenant and agree that:</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Information Covenants</w:t>
      </w:r>
      <w:r>
        <w:rPr>
          <w:rFonts w:ascii="Arial" w:cs="Arial" w:eastAsia="Arial" w:hAnsi="Arial"/>
          <w:sz w:val="16"/>
          <w:szCs w:val="16"/>
          <w:color w:val="auto"/>
        </w:rPr>
        <w:t>. Each Obligor Party shall furnish or cause to be furnished to the Administrative Agent:</w:t>
      </w:r>
    </w:p>
    <w:p>
      <w:pPr>
        <w:spacing w:after="0" w:line="225" w:lineRule="exact"/>
        <w:rPr>
          <w:sz w:val="20"/>
          <w:szCs w:val="20"/>
          <w:color w:val="auto"/>
        </w:rPr>
      </w:pPr>
    </w:p>
    <w:p>
      <w:pPr>
        <w:ind w:right="140" w:firstLine="1305"/>
        <w:spacing w:after="0" w:line="264" w:lineRule="auto"/>
        <w:tabs>
          <w:tab w:leader="none" w:pos="194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As soon as available, and in any event within 45 days after the end of each of the first three Fiscal Quarters in each Fiscal Year of WIL-Ireland (commencing with the Fiscal Quarter ended March 31, 2016), the Quarterly Report on Form 10-Q, or its equivalent, of WIL-Ireland for such Fiscal Quarter;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Obligor Parties shall be deemed to have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532" w:gutter="0" w:footer="0" w:header="0"/>
        </w:sectPr>
      </w:pPr>
    </w:p>
    <w:bookmarkStart w:id="64" w:name="page65"/>
    <w:bookmarkEnd w:id="64"/>
    <w:p>
      <w:pPr>
        <w:ind w:right="40"/>
        <w:spacing w:after="0" w:line="254" w:lineRule="auto"/>
        <w:rPr>
          <w:sz w:val="20"/>
          <w:szCs w:val="20"/>
          <w:color w:val="auto"/>
        </w:rPr>
      </w:pPr>
      <w:r>
        <w:rPr>
          <w:rFonts w:ascii="Arial" w:cs="Arial" w:eastAsia="Arial" w:hAnsi="Arial"/>
          <w:sz w:val="18"/>
          <w:szCs w:val="18"/>
          <w:color w:val="auto"/>
        </w:rPr>
        <w:t xml:space="preserve">furnished said Quarterly Report on Form 10-Q for purposes of this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on the date the same shall have been made available on “EDGAR” (or any successor thereto) or on its home page on the worldwide web (which page is, as of the date of this Agreement, located at www.weatherford.com). Such Quarterly Report shall include, and to the extent it does not include shall be supplemented by, a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Principal Financial Officers as presenting fairly in all material respects the financial condition and results of operations of WIL-Ireland and its consolidated Subsidiaries on a consolidated basis in accordance with GAAP consistently applied, subject to normal year-end audit adjustments and the absence of footnotes.</w:t>
      </w:r>
    </w:p>
    <w:p>
      <w:pPr>
        <w:spacing w:after="0" w:line="192" w:lineRule="exact"/>
        <w:rPr>
          <w:sz w:val="20"/>
          <w:szCs w:val="20"/>
          <w:color w:val="auto"/>
        </w:rPr>
      </w:pPr>
    </w:p>
    <w:p>
      <w:pPr>
        <w:ind w:firstLine="1305"/>
        <w:spacing w:after="0" w:line="268" w:lineRule="auto"/>
        <w:tabs>
          <w:tab w:leader="none" w:pos="1952"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As soon as available, and in any event within 90 days after the close of each Fiscal Year of WIL-Ireland, the Annual Report on Form 10-K, or its equivalent, of WIL-Ireland for such Fiscal Year, certified by KPMG LLP or other independent certified public accountants of recognized national standing reasonably acceptable to the Administrative Agent and the Required Lenders, whose certification shall be without qualification or limitation;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Obligor Parties shall be deemed to have furnished said Annual Report on Form 10-K for purposes of this </w:t>
      </w:r>
      <w:r>
        <w:rPr>
          <w:rFonts w:ascii="Arial" w:cs="Arial" w:eastAsia="Arial" w:hAnsi="Arial"/>
          <w:sz w:val="17"/>
          <w:szCs w:val="17"/>
          <w:u w:val="single" w:color="auto"/>
          <w:color w:val="auto"/>
        </w:rPr>
        <w:t>Section 7.01(b)</w:t>
      </w:r>
      <w:r>
        <w:rPr>
          <w:rFonts w:ascii="Arial" w:cs="Arial" w:eastAsia="Arial" w:hAnsi="Arial"/>
          <w:sz w:val="17"/>
          <w:szCs w:val="17"/>
          <w:color w:val="auto"/>
        </w:rPr>
        <w:t xml:space="preserve"> on the date the same shall have been made available on “EDGAR” (or any successor thereto) or on its home page on the worldwide web (which page is, as of the date of this Agreement, located at www.weatherford.com) and (ii) if said Annual Report on Form 10-K contains the report of such independent public accountants (without qualification or exception, and to the effect, as specified above), no Obligor Party shall be required to deliver such report. Such Annual Report shall include, and to the extent it does not include shall be supplemented by, WIL-Ireland’s audited consolidated balance sheet and related statements of operations, stockholders’ equity and cash flows as of the end of and for such year, setting forth in each case in comparative form the figures for the previous Fiscal Year, all reported on by KPMG LLP or other independent public accountants of recognized national standing (which opinion shall be without qualification or exception as to the scope of such audit) to the effect that such consolidated financial statements present fairly in all material respects the financial condition and results of operations of WIL-Ireland and its consolidated Subsidiaries on a consolidated basis in accordance with GAAP consistently applied.</w:t>
      </w:r>
    </w:p>
    <w:p>
      <w:pPr>
        <w:spacing w:after="0" w:line="187" w:lineRule="exact"/>
        <w:rPr>
          <w:rFonts w:ascii="Arial" w:cs="Arial" w:eastAsia="Arial" w:hAnsi="Arial"/>
          <w:sz w:val="17"/>
          <w:szCs w:val="17"/>
          <w:color w:val="auto"/>
        </w:rPr>
      </w:pPr>
    </w:p>
    <w:p>
      <w:pPr>
        <w:ind w:left="1960" w:hanging="655"/>
        <w:spacing w:after="0"/>
        <w:tabs>
          <w:tab w:leader="none" w:pos="19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(whether on “EDGAR” (or any successor thereto) or WIL-Ireland’s</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homepage on the worldwide web or otherwise), notice to the Administrative Agent of the filing of all periodic reports on Form 10-K or Form 10-Q, and all amendments to such reports and all definitive proxy statements filed by any Obligor or any of its Subsidiaries with the SEC, or any Governmental Authority succeeding to any or all of the functions of the SEC, or with any national securities exchange, or distributed by WIL-Ireland to its shareholders generally, as the case may be (and in furtherance of the foregoing, WIL-Ireland will give to the Administrative Agent prompt written notice of any change at any time or from time to time of the location of WIL-Ireland’s home page on the worldwide web).</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Promptly, and in any event within five Business Days after:</w:t>
      </w:r>
    </w:p>
    <w:p>
      <w:pPr>
        <w:spacing w:after="0" w:line="225" w:lineRule="exact"/>
        <w:rPr>
          <w:rFonts w:ascii="Arial" w:cs="Arial" w:eastAsia="Arial" w:hAnsi="Arial"/>
          <w:sz w:val="18"/>
          <w:szCs w:val="18"/>
          <w:color w:val="auto"/>
        </w:rPr>
      </w:pPr>
    </w:p>
    <w:p>
      <w:pPr>
        <w:ind w:left="660" w:right="40" w:firstLine="1293"/>
        <w:spacing w:after="0" w:line="297" w:lineRule="auto"/>
        <w:tabs>
          <w:tab w:leader="none" w:pos="2626"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occurrence of any of the following with respect to any Obligor Party or any of its Restricted Subsidiaries: (A) the pendency or commencement of any litigation, arbitration or governmental proceeding against such Obligor or Restricted Subsidiary which would reasonably be expected to have a Material Adverse Effect and (B) the institution of any proceeding against any Obligor Party or any of its Restricted Subsidiaries with respect to, or the receipt of notice by such Person of potential liability or responsibility for violation or alleged violation of, any law, rule or regulation (including any Environmental Law) which would reasonably be expected to have a Material Adverse Effect; or</w:t>
      </w:r>
    </w:p>
    <w:p>
      <w:pPr>
        <w:spacing w:after="0" w:line="158" w:lineRule="exact"/>
        <w:rPr>
          <w:rFonts w:ascii="Arial" w:cs="Arial" w:eastAsia="Arial" w:hAnsi="Arial"/>
          <w:sz w:val="16"/>
          <w:szCs w:val="16"/>
          <w:color w:val="auto"/>
        </w:rPr>
      </w:pPr>
    </w:p>
    <w:p>
      <w:pPr>
        <w:ind w:left="660" w:right="380" w:firstLine="1293"/>
        <w:spacing w:after="0" w:line="277" w:lineRule="auto"/>
        <w:tabs>
          <w:tab w:leader="none" w:pos="2636"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any Responsible Officer of such Obligor Party obtains knowledge of the occurrence of any event or condition which constitutes a Default or an Event of Default; or</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any Responsible Officer of such Obligor Party obtains knowledge of the occurrence of a Change of Control or Change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Control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notice of such event, condition, occurrence or development, specifying the nature thereof.</w:t>
      </w:r>
    </w:p>
    <w:p>
      <w:pPr>
        <w:spacing w:after="0" w:line="225" w:lineRule="exact"/>
        <w:rPr>
          <w:sz w:val="20"/>
          <w:szCs w:val="20"/>
          <w:color w:val="auto"/>
        </w:rPr>
      </w:pPr>
    </w:p>
    <w:p>
      <w:pPr>
        <w:ind w:firstLine="1305"/>
        <w:spacing w:after="0" w:line="277" w:lineRule="auto"/>
        <w:tabs>
          <w:tab w:leader="none" w:pos="19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Within five Business Days after the delivery of the financial statements provided for in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7.01(b)</w:t>
      </w:r>
      <w:r>
        <w:rPr>
          <w:rFonts w:ascii="Arial" w:cs="Arial" w:eastAsia="Arial" w:hAnsi="Arial"/>
          <w:sz w:val="18"/>
          <w:szCs w:val="18"/>
          <w:color w:val="auto"/>
        </w:rPr>
        <w:t>, a Compliance Certificate with respect to the fiscal period covered by such financial statements.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Promptly, and in any event within 30 days after any Responsible Officer of such Obligor Party obtains knowledge thereof, notice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w:t>
      </w:r>
    </w:p>
    <w:p>
      <w:pPr>
        <w:spacing w:after="0" w:line="210" w:lineRule="exact"/>
        <w:rPr>
          <w:rFonts w:ascii="Arial" w:cs="Arial" w:eastAsia="Arial" w:hAnsi="Arial"/>
          <w:sz w:val="16"/>
          <w:szCs w:val="16"/>
          <w:color w:val="auto"/>
        </w:rPr>
      </w:pPr>
    </w:p>
    <w:p>
      <w:pPr>
        <w:ind w:left="660" w:right="40" w:firstLine="1293"/>
        <w:spacing w:after="0" w:line="264" w:lineRule="auto"/>
        <w:tabs>
          <w:tab w:leader="none" w:pos="2626"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occurrence or expected occurrence of (A) any ERISA Event with respect to any Plan, (B) a failure to make any required contribution to a Plan before the due date (including extensions) thereof or (C) any Lien in favor of the PBGC or a Plan, in each case which would reasonably be expected to have a Material Adverse Effect; and</w:t>
      </w:r>
    </w:p>
    <w:p>
      <w:pPr>
        <w:spacing w:after="0" w:line="181" w:lineRule="exact"/>
        <w:rPr>
          <w:rFonts w:ascii="Arial" w:cs="Arial" w:eastAsia="Arial" w:hAnsi="Arial"/>
          <w:sz w:val="18"/>
          <w:szCs w:val="18"/>
          <w:color w:val="auto"/>
        </w:rPr>
      </w:pPr>
    </w:p>
    <w:p>
      <w:pPr>
        <w:ind w:left="660" w:right="180" w:firstLine="1293"/>
        <w:spacing w:after="0" w:line="276" w:lineRule="auto"/>
        <w:tabs>
          <w:tab w:leader="none" w:pos="2636"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the institution of proceedings or the taking of any other action by the PBGC or WIL-Ireland or any ERISA Affiliate or any Multiemployer Plan with respect to the withdrawal from, or the termination, insolvency, endangered, critical or critical and declining status (within the meaning of such terms as used in ERISA) of, any Plan, which withdrawal, termination, insolvency, endangered, critical or critical and declining status would reasonably be expected to have a Material Adverse Effect, except that no notice shall be required with respect to the merger of a defined contribution plan of one ERISA Affiliate into a defined contribution plan of another ERISA Affiliate.</w:t>
      </w:r>
    </w:p>
    <w:p>
      <w:pPr>
        <w:spacing w:after="0" w:line="172" w:lineRule="exact"/>
        <w:rPr>
          <w:rFonts w:ascii="Arial" w:cs="Arial" w:eastAsia="Arial" w:hAnsi="Arial"/>
          <w:sz w:val="17"/>
          <w:szCs w:val="17"/>
          <w:color w:val="auto"/>
        </w:rPr>
      </w:pPr>
    </w:p>
    <w:p>
      <w:pPr>
        <w:ind w:right="40" w:firstLine="1305"/>
        <w:spacing w:after="0" w:line="259" w:lineRule="auto"/>
        <w:tabs>
          <w:tab w:leader="none" w:pos="196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As soon as available, and in any event within (i) 60 days after the beginning of each Fiscal Year, an annual forecast with respect to such Fiscal Year and (ii) 45 days after (A) the end of each of the Fiscal Quarters ending on June 30, 2016 and September 30, 2016, an update to the annual forecast delivered to the Lenders prior to the Effective Date with respect to the 2016 Fiscal Year, (B) the end of each of the Fiscal Quarters ending on March 31, 2017, June 30, 2017 and September 30, 2017, an update to the annual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32" w:gutter="0" w:footer="0" w:header="0"/>
        </w:sectPr>
      </w:pPr>
    </w:p>
    <w:bookmarkStart w:id="65" w:name="page66"/>
    <w:bookmarkEnd w:id="65"/>
    <w:p>
      <w:pPr>
        <w:ind w:right="220"/>
        <w:spacing w:after="0" w:line="227" w:lineRule="auto"/>
        <w:rPr>
          <w:sz w:val="20"/>
          <w:szCs w:val="20"/>
          <w:color w:val="auto"/>
        </w:rPr>
      </w:pPr>
      <w:r>
        <w:rPr>
          <w:rFonts w:ascii="Arial" w:cs="Arial" w:eastAsia="Arial" w:hAnsi="Arial"/>
          <w:sz w:val="18"/>
          <w:szCs w:val="18"/>
          <w:color w:val="auto"/>
        </w:rPr>
        <w:t>forecast for the 2017 Fiscal Year and (C) the end of the Fiscal Quarter ending on June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each Fiscal Year thereafter (commencing with the 2018 Fiscal Year), an update to the annual forecast for such Fiscal Year delivered pursuant to this </w:t>
      </w:r>
      <w:r>
        <w:rPr>
          <w:rFonts w:ascii="Arial" w:cs="Arial" w:eastAsia="Arial" w:hAnsi="Arial"/>
          <w:sz w:val="18"/>
          <w:szCs w:val="18"/>
          <w:u w:val="single" w:color="auto"/>
          <w:color w:val="auto"/>
        </w:rPr>
        <w:t>Section 7.01(g)</w:t>
      </w:r>
      <w:r>
        <w:rPr>
          <w:rFonts w:ascii="Arial" w:cs="Arial" w:eastAsia="Arial" w:hAnsi="Arial"/>
          <w:sz w:val="18"/>
          <w:szCs w:val="18"/>
          <w:color w:val="auto"/>
        </w:rPr>
        <w:t>.</w:t>
      </w:r>
    </w:p>
    <w:p>
      <w:pPr>
        <w:spacing w:after="0" w:line="202" w:lineRule="exact"/>
        <w:rPr>
          <w:sz w:val="20"/>
          <w:szCs w:val="20"/>
          <w:color w:val="auto"/>
        </w:rPr>
      </w:pPr>
    </w:p>
    <w:p>
      <w:pPr>
        <w:ind w:left="1960" w:hanging="655"/>
        <w:spacing w:after="0"/>
        <w:tabs>
          <w:tab w:leader="none" w:pos="19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If as of the end of any Fiscal Quarter, (i) the total book value of all assets of the Other Subsidiaries Group represents more than</w:t>
      </w:r>
    </w:p>
    <w:p>
      <w:pPr>
        <w:spacing w:after="0" w:line="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2.5% of the total book value of the WIL-Ireland Group or (ii) the Consolidated Adjusted EBITDA of the Other Subsidiaries Group represents more than 2.5% of the Consolidated Adjusted EBITDA of the WIL-Ireland Group, WIL-Ireland shall deliver, as soon as available, and in any event within 45 days after the end of such Fiscal Quarter, a consolidating balance sheet and income statement with respect to the Other Subsidiaries Group (together with the applicable eliminating entries).</w:t>
      </w:r>
    </w:p>
    <w:p>
      <w:pPr>
        <w:spacing w:after="0" w:line="190" w:lineRule="exact"/>
        <w:rPr>
          <w:sz w:val="20"/>
          <w:szCs w:val="20"/>
          <w:color w:val="auto"/>
        </w:rPr>
      </w:pPr>
    </w:p>
    <w:p>
      <w:pPr>
        <w:jc w:val="both"/>
        <w:ind w:right="100" w:firstLine="1305"/>
        <w:spacing w:after="0" w:line="291" w:lineRule="auto"/>
        <w:tabs>
          <w:tab w:leader="none" w:pos="1966" w:val="left"/>
        </w:tabs>
        <w:numPr>
          <w:ilvl w:val="1"/>
          <w:numId w:val="168"/>
        </w:numPr>
        <w:rPr>
          <w:rFonts w:ascii="Arial" w:cs="Arial" w:eastAsia="Arial" w:hAnsi="Arial"/>
          <w:sz w:val="16"/>
          <w:szCs w:val="16"/>
          <w:color w:val="auto"/>
        </w:rPr>
      </w:pPr>
      <w:r>
        <w:rPr>
          <w:rFonts w:ascii="Arial" w:cs="Arial" w:eastAsia="Arial" w:hAnsi="Arial"/>
          <w:sz w:val="16"/>
          <w:szCs w:val="16"/>
          <w:color w:val="auto"/>
        </w:rPr>
        <w:t>From time to time and with reasonable promptness, (x) such other information or documents (financial or otherwise) with respect to any Obligor or any of its Restricted Subsidiaries as the Administrative Agent or any Lender through the Administrative Agent may reasonably request and</w:t>
      </w:r>
    </w:p>
    <w:p>
      <w:pPr>
        <w:ind w:right="120" w:firstLine="8"/>
        <w:spacing w:after="0" w:line="252" w:lineRule="auto"/>
        <w:tabs>
          <w:tab w:leader="none" w:pos="2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information and documentation reasonably requested by the Administrative Agent or any Lender for purposes of compliance with applicable “know your customer” and anti-money laundering rules and regulations, including the PATRIOT Act and the Beneficial Ownership Regulation (to the extent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non-public information obtained by any Person pursuant to such request shall be treated as confidential information in accordance with </w:t>
      </w:r>
      <w:r>
        <w:rPr>
          <w:rFonts w:ascii="Arial" w:cs="Arial" w:eastAsia="Arial" w:hAnsi="Arial"/>
          <w:sz w:val="18"/>
          <w:szCs w:val="18"/>
          <w:u w:val="single" w:color="auto"/>
          <w:color w:val="auto"/>
        </w:rPr>
        <w:t>Section 11.06</w:t>
      </w:r>
      <w:r>
        <w:rPr>
          <w:rFonts w:ascii="Arial" w:cs="Arial" w:eastAsia="Arial" w:hAnsi="Arial"/>
          <w:sz w:val="18"/>
          <w:szCs w:val="18"/>
          <w:color w:val="auto"/>
        </w:rPr>
        <w:t>. Notwithstanding the foregoing, no Obligor or any of its Restricted Subsidiaries shall be required to deliver any information or documents if the disclosure thereof to the Administrative Agent or any Lender would violate a binding confidentiality agreement with a Person that is not an Affiliate of WIL-Ireland or any Subsidiary.</w:t>
      </w:r>
    </w:p>
    <w:p>
      <w:pPr>
        <w:spacing w:after="0" w:line="19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Books, Records and Inspections</w:t>
      </w:r>
      <w:r>
        <w:rPr>
          <w:rFonts w:ascii="Arial" w:cs="Arial" w:eastAsia="Arial" w:hAnsi="Arial"/>
          <w:sz w:val="18"/>
          <w:szCs w:val="18"/>
          <w:color w:val="auto"/>
        </w:rPr>
        <w:t xml:space="preserve">. Each Obligor Party shall permit, or cause to be permitted, any Lender, upon written notice, to visit and inspect any of the properties of such Obligor Party and its Restricted Subsidiaries, to examine the books and financial records of such Obligor Party and its Restricted Subsidiaries and to discuss the affairs, finances and accounts of such Obligor Party and its Restricted Subsidiaries with any Responsible Officer of such Obligor Party, all at such reasonable times and as often as any Lender, through the Administrative Agent, may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non-public information obtained by any Person during any such visitation, inspection, examination or discussion shall be treated as confidential information in accordance with </w:t>
      </w:r>
      <w:r>
        <w:rPr>
          <w:rFonts w:ascii="Arial" w:cs="Arial" w:eastAsia="Arial" w:hAnsi="Arial"/>
          <w:sz w:val="18"/>
          <w:szCs w:val="18"/>
          <w:u w:val="single" w:color="auto"/>
          <w:color w:val="auto"/>
        </w:rPr>
        <w:t>Section 11.06</w:t>
      </w:r>
      <w:r>
        <w:rPr>
          <w:rFonts w:ascii="Arial" w:cs="Arial" w:eastAsia="Arial" w:hAnsi="Arial"/>
          <w:sz w:val="18"/>
          <w:szCs w:val="18"/>
          <w:color w:val="auto"/>
        </w:rPr>
        <w:t>.</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Insurance</w:t>
      </w:r>
      <w:r>
        <w:rPr>
          <w:rFonts w:ascii="Arial" w:cs="Arial" w:eastAsia="Arial" w:hAnsi="Arial"/>
          <w:sz w:val="18"/>
          <w:szCs w:val="18"/>
          <w:color w:val="auto"/>
        </w:rPr>
        <w:t>. WIL-Ireland and its Subsidiaries shall maintain or cause to be maintained (including through self-insurance)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as WIL-Ireland and its Subsidiaries (taken as a whole), as such customary industry practice may change from time to time.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Payment of Taxes and other Claims</w:t>
      </w:r>
      <w:r>
        <w:rPr>
          <w:rFonts w:ascii="Arial" w:cs="Arial" w:eastAsia="Arial" w:hAnsi="Arial"/>
          <w:sz w:val="18"/>
          <w:szCs w:val="18"/>
          <w:color w:val="auto"/>
        </w:rPr>
        <w:t>. Each Obligor Party shall, and WIL-Ireland shall cause each Subsidiary to, pay or discharge or cause to be paid or discharged, before the same shall become delinquent, all Taxes levied or imposed upon such Obligor Party or such Subsidiary, as applicable, or upon the income, profits or property of such Obligor Party or such Subsidiary, as applicable, except for (i) such Taxes the non-payment or non-discharge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which would not, individually or in the aggregate, have a Material Adverse Effect and (ii) any such Tax whose amount, applicability or validity is being contested in good faith by appropriate proceedings and for which adequate reserves have been established in accordance with GAAP.</w:t>
      </w:r>
    </w:p>
    <w:p>
      <w:pPr>
        <w:spacing w:after="0" w:line="147"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u w:val="single" w:color="auto"/>
          <w:color w:val="auto"/>
        </w:rPr>
        <w:t>Existence</w:t>
      </w:r>
      <w:r>
        <w:rPr>
          <w:rFonts w:ascii="Arial" w:cs="Arial" w:eastAsia="Arial" w:hAnsi="Arial"/>
          <w:sz w:val="16"/>
          <w:szCs w:val="16"/>
          <w:color w:val="auto"/>
        </w:rPr>
        <w:t xml:space="preserve">. Except as expressly permitted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WIL-Ireland shall, and will cause each Restricted Subsidiary to, do all things necessary to (a) preserve and keep in full force and effect the corporate or other existence of WIL-Ireland or such Restricted Subsidiary as applicable (which, for the avoidance of doubt, shall not prohibit a change in corporate form or domiciliation), and (b) preserve and keep in full force and effect the rights and franchises of WIL-Ireland or such Restricted Subsidiary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(b) shall not require WIL-Ireland or such Restricted Subsidiary to preserve or maintain any rights or franchises if WIL-Ireland or such Restricted Subsidiary shall determine that</w:t>
      </w:r>
    </w:p>
    <w:p>
      <w:pPr>
        <w:spacing w:after="0" w:line="2" w:lineRule="exact"/>
        <w:rPr>
          <w:sz w:val="20"/>
          <w:szCs w:val="20"/>
          <w:color w:val="auto"/>
        </w:rPr>
      </w:pPr>
    </w:p>
    <w:p>
      <w:pPr>
        <w:ind w:right="240" w:firstLine="8"/>
        <w:spacing w:after="0" w:line="255" w:lineRule="auto"/>
        <w:tabs>
          <w:tab w:leader="none" w:pos="21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preservation and maintenance thereof is no longer desirable in the conduct of the business of WIL-Ireland or such Restricted Subsidiary, taken as a whole, and that the loss thereof is not disadvantageous in any material respect to the Lenders, or (ii) the failure to maintain and preserve the same could not reasonably be expected, in the aggregate, to result in a Material Adverse Effect.</w:t>
      </w:r>
    </w:p>
    <w:p>
      <w:pPr>
        <w:spacing w:after="0" w:line="19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ERISA Compliance</w:t>
      </w:r>
      <w:r>
        <w:rPr>
          <w:rFonts w:ascii="Arial" w:cs="Arial" w:eastAsia="Arial" w:hAnsi="Arial"/>
          <w:sz w:val="18"/>
          <w:szCs w:val="18"/>
          <w:color w:val="auto"/>
        </w:rPr>
        <w:t>. WIL-Ireland and each Borrower shall, and shall cause each ERISA Affiliate to, comply with respect to each Plan and Multiemployer Plan, with all applicable provisions of ERISA and the Code, except to the extent that any failure to comply would not reasonably be expected to have a Material Adverse Effect.</w:t>
      </w:r>
    </w:p>
    <w:p>
      <w:pPr>
        <w:spacing w:after="0" w:line="181" w:lineRule="exact"/>
        <w:rPr>
          <w:sz w:val="20"/>
          <w:szCs w:val="20"/>
          <w:color w:val="auto"/>
        </w:rPr>
      </w:pPr>
    </w:p>
    <w:p>
      <w:pPr>
        <w:jc w:val="center"/>
        <w:ind w:right="-39"/>
        <w:spacing w:after="0"/>
        <w:tabs>
          <w:tab w:leader="none" w:pos="16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u w:val="single" w:color="auto"/>
          <w:color w:val="auto"/>
        </w:rPr>
        <w:t>Compliance with Laws and Material Contractual Obligations</w:t>
      </w:r>
      <w:r>
        <w:rPr>
          <w:rFonts w:ascii="Arial" w:cs="Arial" w:eastAsia="Arial" w:hAnsi="Arial"/>
          <w:sz w:val="16"/>
          <w:szCs w:val="16"/>
          <w:color w:val="auto"/>
        </w:rPr>
        <w:t>. WIL-Ireland will, and will cause each of its Subsidiaries to,</w:t>
      </w:r>
    </w:p>
    <w:p>
      <w:pPr>
        <w:spacing w:after="0" w:line="23" w:lineRule="exact"/>
        <w:rPr>
          <w:sz w:val="20"/>
          <w:szCs w:val="20"/>
          <w:color w:val="auto"/>
        </w:rPr>
      </w:pPr>
    </w:p>
    <w:p>
      <w:pPr>
        <w:ind w:left="220" w:hanging="212"/>
        <w:spacing w:after="0"/>
        <w:tabs>
          <w:tab w:leader="none" w:pos="2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comply with all laws, rules, regulations and orders of any Governmental Authority applicable to it or its property (including Environmental Laws) and</w:t>
      </w:r>
    </w:p>
    <w:p>
      <w:pPr>
        <w:spacing w:after="0" w:line="20" w:lineRule="exact"/>
        <w:rPr>
          <w:rFonts w:ascii="Arial" w:cs="Arial" w:eastAsia="Arial" w:hAnsi="Arial"/>
          <w:sz w:val="17"/>
          <w:szCs w:val="17"/>
          <w:color w:val="auto"/>
        </w:rPr>
      </w:pPr>
    </w:p>
    <w:p>
      <w:pPr>
        <w:jc w:val="both"/>
        <w:ind w:right="80" w:firstLine="8"/>
        <w:spacing w:after="0" w:line="254" w:lineRule="auto"/>
        <w:tabs>
          <w:tab w:leader="none" w:pos="26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perform in all material respects its obligations under material agreements to which it is a party, except in the case of each of clauses (i) and (ii) where the failure to do so, individually or in the aggregate, could not reasonably be expected to result in a Material Adverse Effect. WIL-Ireland will maintain in effect and enforce policies and procedures designed to ensure compliance by WIL-Ireland, its Subsidiaries and their respective directors, officers, employees and agents with Anti-Corruption Laws and applicable Sanctions.</w:t>
      </w:r>
    </w:p>
    <w:p>
      <w:pPr>
        <w:spacing w:after="0" w:line="19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6"/>
          <w:szCs w:val="16"/>
          <w:u w:val="single" w:color="auto"/>
          <w:color w:val="auto"/>
        </w:rPr>
        <w:t>Additional Guarantors; Additional Specified Jurisdictions</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71" w:lineRule="auto"/>
        <w:tabs>
          <w:tab w:leader="none" w:pos="1942"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If (i) as of the time of delivery of a Compliance Certificate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it is determined that any Restricted Subsidiary is a Material Specified Subsidiary that is organized in a Specified Jurisdiction, (ii) any Restricted Subsidiary Guarantees or otherwise becomes an obligor in respect of Indebtedness or other obligations under the Term Loan Facility or the 364-Day Revolving Credit Facility or any other third party Indebtedness for borrowed money of WIL-Bermuda or a Holdco Guarantor in an aggregate principal amount in excess of $20,000,000 or (iii) any Wholly-Owned Subsidiary that is not a Guarantor becomes a Borrower pursuant to </w:t>
      </w:r>
      <w:r>
        <w:rPr>
          <w:rFonts w:ascii="Arial" w:cs="Arial" w:eastAsia="Arial" w:hAnsi="Arial"/>
          <w:sz w:val="17"/>
          <w:szCs w:val="17"/>
          <w:u w:val="single" w:color="auto"/>
          <w:color w:val="auto"/>
        </w:rPr>
        <w:t>Section 11.01(c)</w:t>
      </w:r>
      <w:r>
        <w:rPr>
          <w:rFonts w:ascii="Arial" w:cs="Arial" w:eastAsia="Arial" w:hAnsi="Arial"/>
          <w:sz w:val="17"/>
          <w:szCs w:val="17"/>
          <w:color w:val="auto"/>
        </w:rPr>
        <w:t xml:space="preserve">, WIL-Ireland shall (A) with respect to a determination made pursuant to clause (a)(i) above, within 45 days after such determination (or, in the case of a Material Specified Subsidiary organized in a new Specified Jurisdiction, 45 days after the Administrative Agent designates such new Specified Jurisdiction pursuant to </w:t>
      </w:r>
      <w:r>
        <w:rPr>
          <w:rFonts w:ascii="Arial" w:cs="Arial" w:eastAsia="Arial" w:hAnsi="Arial"/>
          <w:sz w:val="17"/>
          <w:szCs w:val="17"/>
          <w:u w:val="single" w:color="auto"/>
          <w:color w:val="auto"/>
        </w:rPr>
        <w:t>Section 7.08(b)</w:t>
      </w:r>
      <w:r>
        <w:rPr>
          <w:rFonts w:ascii="Arial" w:cs="Arial" w:eastAsia="Arial" w:hAnsi="Arial"/>
          <w:sz w:val="17"/>
          <w:szCs w:val="17"/>
          <w:color w:val="auto"/>
        </w:rPr>
        <w:t>, as such time period may be extended by the Administrative Agent in its sole discretion) or (B) with</w:t>
      </w:r>
    </w:p>
    <w:p>
      <w:pPr>
        <w:sectPr>
          <w:pgSz w:w="11900" w:h="16838" w:orient="portrait"/>
          <w:cols w:equalWidth="0" w:num="1">
            <w:col w:w="11420"/>
          </w:cols>
          <w:pgMar w:left="240" w:top="125" w:right="239" w:bottom="134"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34" w:gutter="0" w:footer="0" w:header="0"/>
          <w:type w:val="continuous"/>
        </w:sectPr>
      </w:pPr>
    </w:p>
    <w:bookmarkStart w:id="66" w:name="page67"/>
    <w:bookmarkEnd w:id="66"/>
    <w:p>
      <w:pPr>
        <w:spacing w:after="0" w:line="255" w:lineRule="auto"/>
        <w:rPr>
          <w:sz w:val="20"/>
          <w:szCs w:val="20"/>
          <w:color w:val="auto"/>
        </w:rPr>
      </w:pPr>
      <w:r>
        <w:rPr>
          <w:rFonts w:ascii="Arial" w:cs="Arial" w:eastAsia="Arial" w:hAnsi="Arial"/>
          <w:sz w:val="18"/>
          <w:szCs w:val="18"/>
          <w:color w:val="auto"/>
        </w:rPr>
        <w:t xml:space="preserve">respect any Guarantee provided pursuant to clause </w:t>
      </w:r>
      <w:r>
        <w:rPr>
          <w:rFonts w:ascii="Arial" w:cs="Arial" w:eastAsia="Arial" w:hAnsi="Arial"/>
          <w:sz w:val="18"/>
          <w:szCs w:val="18"/>
          <w:u w:val="single" w:color="auto"/>
          <w:color w:val="auto"/>
        </w:rPr>
        <w:t>(a)(ii)</w:t>
      </w:r>
      <w:r>
        <w:rPr>
          <w:rFonts w:ascii="Arial" w:cs="Arial" w:eastAsia="Arial" w:hAnsi="Arial"/>
          <w:sz w:val="18"/>
          <w:szCs w:val="18"/>
          <w:color w:val="auto"/>
        </w:rPr>
        <w:t xml:space="preserve"> immediately above, contemporaneously with the provision of such Guarantee or (c) with respect to becoming a Borrower as described in clause </w:t>
      </w:r>
      <w:r>
        <w:rPr>
          <w:rFonts w:ascii="Arial" w:cs="Arial" w:eastAsia="Arial" w:hAnsi="Arial"/>
          <w:sz w:val="18"/>
          <w:szCs w:val="18"/>
          <w:u w:val="single" w:color="auto"/>
          <w:color w:val="auto"/>
        </w:rPr>
        <w:t>(a)(iii)</w:t>
      </w:r>
      <w:r>
        <w:rPr>
          <w:rFonts w:ascii="Arial" w:cs="Arial" w:eastAsia="Arial" w:hAnsi="Arial"/>
          <w:sz w:val="18"/>
          <w:szCs w:val="18"/>
          <w:color w:val="auto"/>
        </w:rPr>
        <w:t xml:space="preserve"> immediately above, contemporaneously therewith, cause such Restricted Subsidiary to (1) become a Guarantor by delivering to the Administrative Agent a duly executed Guaranty Agreement or supplement to a Guaranty Agreement or such other document as the Administrative Agent shall deem appropriate for such purpose, (2) deliver to the Administrative Agent such opinions, organizational and authorization documents and certificates of the type referred to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as may be reasonably requested by the Administrative Agent, and (3) deliver to the Administrative Agent such other documents as may be reasonably requested by the Administrative Agent, all in form, content and scope reasonably satisfactory to the Administrative Agent.</w:t>
      </w:r>
    </w:p>
    <w:p>
      <w:pPr>
        <w:spacing w:after="0" w:line="189" w:lineRule="exact"/>
        <w:rPr>
          <w:sz w:val="20"/>
          <w:szCs w:val="20"/>
          <w:color w:val="auto"/>
        </w:rPr>
      </w:pPr>
    </w:p>
    <w:p>
      <w:pPr>
        <w:jc w:val="both"/>
        <w:ind w:right="80" w:firstLine="1305"/>
        <w:spacing w:after="0" w:line="259" w:lineRule="auto"/>
        <w:tabs>
          <w:tab w:leader="none" w:pos="195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If, in the most recent Compliance Certificate delivered pursuant to </w:t>
      </w:r>
      <w:r>
        <w:rPr>
          <w:rFonts w:ascii="Arial" w:cs="Arial" w:eastAsia="Arial" w:hAnsi="Arial"/>
          <w:sz w:val="18"/>
          <w:szCs w:val="18"/>
          <w:u w:val="single" w:color="auto"/>
          <w:color w:val="auto"/>
        </w:rPr>
        <w:t>Section 7.01(e)</w:t>
      </w:r>
      <w:r>
        <w:rPr>
          <w:rFonts w:ascii="Arial" w:cs="Arial" w:eastAsia="Arial" w:hAnsi="Arial"/>
          <w:sz w:val="18"/>
          <w:szCs w:val="18"/>
          <w:color w:val="auto"/>
        </w:rPr>
        <w:t>, WIL-Ireland identifies any Material Specified Subsidiary that is organized in a jurisdiction that is not a then existing Specified Jurisdiction or an Excluded Jurisdiction, then the Administrative Agent shall have the right to designate such jurisdiction as a Specified Jurisdiction by providing written notice of such designation to WIL-Ireland, which designation shall be deemed to take effect on the Business Day such designation is made.</w:t>
      </w:r>
    </w:p>
    <w:p>
      <w:pPr>
        <w:spacing w:after="0" w:line="186" w:lineRule="exact"/>
        <w:rPr>
          <w:rFonts w:ascii="Arial" w:cs="Arial" w:eastAsia="Arial" w:hAnsi="Arial"/>
          <w:sz w:val="18"/>
          <w:szCs w:val="18"/>
          <w:color w:val="auto"/>
        </w:rPr>
      </w:pPr>
    </w:p>
    <w:p>
      <w:pPr>
        <w:ind w:firstLine="1305"/>
        <w:spacing w:after="0" w:line="255" w:lineRule="auto"/>
        <w:tabs>
          <w:tab w:leader="none" w:pos="19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At any time, at its option, WIL-Ireland may cause any Subsidiary to (i) become a Guarantor by delivering to the Administrative Agent a duly executed Guaranty Agreement or supplement to a Guaranty Agreement or such other document as the Administrative Agent shall deem appropriate for such purpose, (ii) deliver to the Administrative Agent such opinions, organizational and authorization documents and certificates of the type referred to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as may be reasonably requested by the Administrative Agent, and (iii) deliver to the Administrative Agent such other documents as may be reasonably requested by the Administrative Agent, all in form, content and scope reasonably satisfactory to the Administrative Agent (any such Subsidiary, an “</w:t>
      </w:r>
      <w:r>
        <w:rPr>
          <w:rFonts w:ascii="Arial" w:cs="Arial" w:eastAsia="Arial" w:hAnsi="Arial"/>
          <w:sz w:val="18"/>
          <w:szCs w:val="18"/>
          <w:u w:val="single" w:color="auto"/>
          <w:color w:val="auto"/>
        </w:rPr>
        <w:t>Added Guarantor</w:t>
      </w:r>
      <w:r>
        <w:rPr>
          <w:rFonts w:ascii="Arial" w:cs="Arial" w:eastAsia="Arial" w:hAnsi="Arial"/>
          <w:sz w:val="18"/>
          <w:szCs w:val="18"/>
          <w:color w:val="auto"/>
        </w:rPr>
        <w:t>”).</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6"/>
          <w:szCs w:val="16"/>
          <w:u w:val="single" w:color="auto"/>
          <w:color w:val="auto"/>
        </w:rPr>
        <w:t>Designation of Unrestricted Subsidiaries; Redesignation of Unrestricted Subsidiaries as Restricted Subsidiaries</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Unless designated as an Unrestricted Subsidiary pursuant to this </w:t>
      </w:r>
      <w:r>
        <w:rPr>
          <w:rFonts w:ascii="Arial" w:cs="Arial" w:eastAsia="Arial" w:hAnsi="Arial"/>
          <w:sz w:val="16"/>
          <w:szCs w:val="16"/>
          <w:u w:val="single" w:color="auto"/>
          <w:color w:val="auto"/>
        </w:rPr>
        <w:t>Section 7.09</w:t>
      </w:r>
      <w:r>
        <w:rPr>
          <w:rFonts w:ascii="Arial" w:cs="Arial" w:eastAsia="Arial" w:hAnsi="Arial"/>
          <w:sz w:val="16"/>
          <w:szCs w:val="16"/>
          <w:color w:val="auto"/>
        </w:rPr>
        <w:t>, each Subsidiary shall be classified as a Restricted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211" w:lineRule="exact"/>
        <w:rPr>
          <w:sz w:val="20"/>
          <w:szCs w:val="20"/>
          <w:color w:val="auto"/>
        </w:rPr>
      </w:pPr>
    </w:p>
    <w:p>
      <w:pPr>
        <w:jc w:val="both"/>
        <w:ind w:right="360" w:firstLine="1305"/>
        <w:spacing w:after="0" w:line="264" w:lineRule="auto"/>
        <w:tabs>
          <w:tab w:leader="none" w:pos="1952"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If WIL-Ireland designates any Subsidiary as an Unrestricted Subsidiary pursuant to paragraph (c) below, WIL-Ireland shall be deemed to have made an Investment in such Unrestricted Subsidiary in an amount equal to the fair market value as of the date of such designation of the consolidated assets of such Subsidiary.</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WIL-Ireland may designate, by written notice to the Administrative Agent, any Subsidiary to be an Unrestricted Subsidiary if</w:t>
      </w:r>
    </w:p>
    <w:p>
      <w:pPr>
        <w:spacing w:after="0" w:line="34" w:lineRule="exact"/>
        <w:rPr>
          <w:rFonts w:ascii="Arial" w:cs="Arial" w:eastAsia="Arial" w:hAnsi="Arial"/>
          <w:sz w:val="17"/>
          <w:szCs w:val="17"/>
          <w:color w:val="auto"/>
        </w:rPr>
      </w:pPr>
    </w:p>
    <w:p>
      <w:pPr>
        <w:ind w:right="180" w:firstLine="8"/>
        <w:spacing w:after="0" w:line="254" w:lineRule="auto"/>
        <w:tabs>
          <w:tab w:leader="none" w:pos="21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before and after giving effect to such designation, no Default or Event of Default shall exist, (ii) WIL-Ireland shall be in pro forma compliance with the Financial Covenants both before and after giving effect to such designation, (iii) the deemed Investment by WIL-Ireland in such Unrestricted Subsidiary resulting from such designation would be permitted to be made at the time of such designation under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and (iv) such Subsidiary otherwise meets the requirements set forth in the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definition of “Unrestricted Subsidiary”. Such written notice shall be accompanied by a certificate of a Principal Financial Officer, certifying as to the matters set forth in the preceding sentence.</w:t>
      </w:r>
    </w:p>
    <w:p>
      <w:pPr>
        <w:spacing w:after="0" w:line="170" w:lineRule="exact"/>
        <w:rPr>
          <w:sz w:val="20"/>
          <w:szCs w:val="20"/>
          <w:color w:val="auto"/>
        </w:rPr>
      </w:pPr>
    </w:p>
    <w:p>
      <w:pPr>
        <w:ind w:left="1960" w:hanging="655"/>
        <w:spacing w:after="0"/>
        <w:tabs>
          <w:tab w:leader="none" w:pos="196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WIL-Ireland may designate any Unrestricted Subsidiary to be a Restricted Subsidiary if, after giving effect to such designation:</w:t>
      </w:r>
    </w:p>
    <w:p>
      <w:pPr>
        <w:spacing w:after="0" w:line="46" w:lineRule="exact"/>
        <w:rPr>
          <w:rFonts w:ascii="Arial" w:cs="Arial" w:eastAsia="Arial" w:hAnsi="Arial"/>
          <w:sz w:val="16"/>
          <w:szCs w:val="16"/>
          <w:color w:val="auto"/>
        </w:rPr>
      </w:pPr>
    </w:p>
    <w:p>
      <w:pPr>
        <w:ind w:right="20" w:firstLine="8"/>
        <w:spacing w:after="0" w:line="287" w:lineRule="auto"/>
        <w:tabs>
          <w:tab w:leader="none" w:pos="21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Obligors contained in each of the Loan Documents are true and correct in all material respects (or, in the case of any such representations and warranties that are qualified as to materiality in the text thereof, such representations and warranties must be true and correct in all respects) on and as of the date of such designation as if made on and as of the date of such designation (or, if stated to have been made expressly as of an earlier date, were true and correct in all material respects as of such date), (ii) no Default or Event of Default would exist, (iii) any Indebtedness of such Subsidiary (which shall be deemed to be incurred by a Restricted Subsidiary as of the date of designation) is permitted to be incurred as of such date under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(iv) any Liens on assets of such Subsidiary (which shall be deemed to be created or incurred by a Restricted Subsidiary as of the date of designation) are permitted to be created or incurred as of such date under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and (v) Investments in or of such Subsidiary (which shall be deemed to be created or incurred by a Restricted Subsidiary as of the date of designation) are permitted to be created or incurred as of such date under </w:t>
      </w:r>
      <w:r>
        <w:rPr>
          <w:rFonts w:ascii="Arial" w:cs="Arial" w:eastAsia="Arial" w:hAnsi="Arial"/>
          <w:sz w:val="16"/>
          <w:szCs w:val="16"/>
          <w:u w:val="single" w:color="auto"/>
          <w:color w:val="auto"/>
        </w:rPr>
        <w:t>Section 8.06</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right="640" w:firstLine="1305"/>
        <w:spacing w:after="0" w:line="264" w:lineRule="auto"/>
        <w:tabs>
          <w:tab w:leader="none" w:pos="195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Any merger, consolidation or amalgamation of an Unrestricted Subsidiary into a Restricted Subsidiary shall be deemed to constitute a designation of such Unrestricted Subsidiary as a Restricted Subsidiary for purposes of this Agreement and, as such, must be permitted by </w:t>
      </w:r>
      <w:r>
        <w:rPr>
          <w:rFonts w:ascii="Arial" w:cs="Arial" w:eastAsia="Arial" w:hAnsi="Arial"/>
          <w:sz w:val="18"/>
          <w:szCs w:val="18"/>
          <w:u w:val="single" w:color="auto"/>
          <w:color w:val="auto"/>
        </w:rPr>
        <w:t>Section 7.09(d)</w:t>
      </w:r>
      <w:r>
        <w:rPr>
          <w:rFonts w:ascii="Arial" w:cs="Arial" w:eastAsia="Arial" w:hAnsi="Arial"/>
          <w:sz w:val="18"/>
          <w:szCs w:val="18"/>
          <w:color w:val="auto"/>
        </w:rPr>
        <w:t xml:space="preserve"> (in addition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any other relevant provisions herein).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Notwithstanding the foregoing or anything to the contrary contained herein, no Obligor may be an Unrestricted Subsidiary.</w:t>
      </w:r>
    </w:p>
    <w:p>
      <w:pPr>
        <w:spacing w:after="0" w:line="23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u w:val="single" w:color="auto"/>
          <w:color w:val="auto"/>
        </w:rPr>
        <w:t>More Favorable Financial Covenants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86" w:lineRule="auto"/>
        <w:tabs>
          <w:tab w:leader="none" w:pos="1942" w:val="left"/>
        </w:tabs>
        <w:numPr>
          <w:ilvl w:val="1"/>
          <w:numId w:val="179"/>
        </w:numPr>
        <w:rPr>
          <w:rFonts w:ascii="Arial" w:cs="Arial" w:eastAsia="Arial" w:hAnsi="Arial"/>
          <w:sz w:val="16"/>
          <w:szCs w:val="16"/>
          <w:color w:val="auto"/>
        </w:rPr>
      </w:pPr>
      <w:r>
        <w:rPr>
          <w:rFonts w:ascii="Arial" w:cs="Arial" w:eastAsia="Arial" w:hAnsi="Arial"/>
          <w:sz w:val="16"/>
          <w:szCs w:val="16"/>
          <w:color w:val="auto"/>
        </w:rPr>
        <w:t>If, on any date, any Other Debt Agreement governing Indebtedness and/or letters of credit, bank guaranties and bankers’ acceptances in a principal amount in excess of $20,000,000 (with committed but unutilized amounts under such Other Debt Agreement being deemed fully drawn for purposes of measuring such limit) includes one or more Additional Financial Covenants (including, for the avoidance of doubt, as a result of any amendment, supplement, waiver or other modification to any Other Debt Agreement causing it to contain one or more Additional Financial Covenants), then</w:t>
      </w:r>
    </w:p>
    <w:p>
      <w:pPr>
        <w:spacing w:after="0" w:line="1" w:lineRule="exact"/>
        <w:rPr>
          <w:rFonts w:ascii="Arial" w:cs="Arial" w:eastAsia="Arial" w:hAnsi="Arial"/>
          <w:sz w:val="16"/>
          <w:szCs w:val="16"/>
          <w:color w:val="auto"/>
        </w:rPr>
      </w:pPr>
    </w:p>
    <w:p>
      <w:pPr>
        <w:ind w:right="100" w:firstLine="8"/>
        <w:spacing w:after="0" w:line="270" w:lineRule="auto"/>
        <w:tabs>
          <w:tab w:leader="none" w:pos="21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on or prior to the third Business Day following the effectiveness of any such Additional Financial Covenants, WIL-Ireland shall notify the Administrative Agent thereof, and (ii) whether or not WIL-Ireland provides such notice, the terms of this Agreement shall, without any further action on the part of any Obligor Party, the Administrative Agent or any Lender, be deemed to be amended automatically to include each Additional Financial Covenant in this Agreement. Each Obligor Party further covenants to promptly execute and deliver at its expense an amendment to this Agreement in form and substance reasonably satisfactory to the Required Lenders evidencing the amendment of this Agreement to include such Additional Financial Covenants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execution and delivery of such amendment shall not be a precondition to the effectiveness 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316"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 xml:space="preserve">such amendment as provided for in this </w:t>
      </w:r>
      <w:r>
        <w:rPr>
          <w:rFonts w:ascii="Arial" w:cs="Arial" w:eastAsia="Arial" w:hAnsi="Arial"/>
          <w:sz w:val="18"/>
          <w:szCs w:val="18"/>
          <w:u w:val="single" w:color="auto"/>
          <w:color w:val="auto"/>
        </w:rPr>
        <w:t>Section 7.10(a)</w:t>
      </w:r>
      <w:r>
        <w:rPr>
          <w:rFonts w:ascii="Arial" w:cs="Arial" w:eastAsia="Arial" w:hAnsi="Arial"/>
          <w:sz w:val="18"/>
          <w:szCs w:val="18"/>
          <w:color w:val="auto"/>
        </w:rPr>
        <w:t>, but shall merely be for the convenience of the parties hereto.</w:t>
      </w:r>
    </w:p>
    <w:p>
      <w:pPr>
        <w:spacing w:after="0" w:line="225" w:lineRule="exact"/>
        <w:rPr>
          <w:sz w:val="20"/>
          <w:szCs w:val="20"/>
          <w:color w:val="auto"/>
        </w:rPr>
      </w:pPr>
    </w:p>
    <w:p>
      <w:pPr>
        <w:ind w:right="20" w:firstLine="1305"/>
        <w:spacing w:after="0" w:line="288" w:lineRule="auto"/>
        <w:tabs>
          <w:tab w:leader="none" w:pos="1952"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If after the time this Agreement is amended pursuant to </w:t>
      </w:r>
      <w:r>
        <w:rPr>
          <w:rFonts w:ascii="Arial" w:cs="Arial" w:eastAsia="Arial" w:hAnsi="Arial"/>
          <w:sz w:val="16"/>
          <w:szCs w:val="16"/>
          <w:u w:val="single" w:color="auto"/>
          <w:color w:val="auto"/>
        </w:rPr>
        <w:t>Section 7.10(a)</w:t>
      </w:r>
      <w:r>
        <w:rPr>
          <w:rFonts w:ascii="Arial" w:cs="Arial" w:eastAsia="Arial" w:hAnsi="Arial"/>
          <w:sz w:val="16"/>
          <w:szCs w:val="16"/>
          <w:color w:val="auto"/>
        </w:rPr>
        <w:t xml:space="preserve"> to include in this Agreement any Additional Financial Covenant (an “</w:t>
      </w:r>
      <w:r>
        <w:rPr>
          <w:rFonts w:ascii="Arial" w:cs="Arial" w:eastAsia="Arial" w:hAnsi="Arial"/>
          <w:sz w:val="16"/>
          <w:szCs w:val="16"/>
          <w:u w:val="single" w:color="auto"/>
          <w:color w:val="auto"/>
        </w:rPr>
        <w:t>Incorporated Financial Covenant</w:t>
      </w:r>
      <w:r>
        <w:rPr>
          <w:rFonts w:ascii="Arial" w:cs="Arial" w:eastAsia="Arial" w:hAnsi="Arial"/>
          <w:sz w:val="16"/>
          <w:szCs w:val="16"/>
          <w:color w:val="auto"/>
        </w:rPr>
        <w:t xml:space="preserve">”) contained in any Other Debt Agreement, such Incorporated Financial Covenant ceases to be in effect under, or is deleted from, such Other Debt Agreement, or is amended or modified for the purposes of such Other Debt Agreement so as to become less restrictive with respect to WIL-Ireland or any of its Restricted Subsidiaries, then, upon the request of WIL-Ireland, the Required Lenders will amend this Agreement to delete or similarly amend or modify, as the case may be, such Incorporated Financial Covenant as in effect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Default or Event of Default in respect of such Incorporated Financial Covenant shall be in existence immediately before or after such deletion, amendment or modification. Notwithstanding the foregoing, no amendment to this Agreement pursuant to this </w:t>
      </w:r>
      <w:r>
        <w:rPr>
          <w:rFonts w:ascii="Arial" w:cs="Arial" w:eastAsia="Arial" w:hAnsi="Arial"/>
          <w:sz w:val="16"/>
          <w:szCs w:val="16"/>
          <w:u w:val="single" w:color="auto"/>
          <w:color w:val="auto"/>
        </w:rPr>
        <w:t>Section 7.10(b)</w:t>
      </w:r>
      <w:r>
        <w:rPr>
          <w:rFonts w:ascii="Arial" w:cs="Arial" w:eastAsia="Arial" w:hAnsi="Arial"/>
          <w:sz w:val="16"/>
          <w:szCs w:val="16"/>
          <w:color w:val="auto"/>
        </w:rPr>
        <w:t xml:space="preserve"> as the result of any Incorporated Financial Covenant ceasing to be in effect or being deleted, amended or otherwise modified shall cause any covenant or Event of Default in this Agreement to be less restrictive as to WIL-Ireland or any Restricted Subsidiary than such covenant or Event of Default as contained in this Agreement as in effect on the Effective Date, and as amended, supplemented or otherwise modified thereafter (other than as the result of the application of </w:t>
      </w:r>
      <w:r>
        <w:rPr>
          <w:rFonts w:ascii="Arial" w:cs="Arial" w:eastAsia="Arial" w:hAnsi="Arial"/>
          <w:sz w:val="16"/>
          <w:szCs w:val="16"/>
          <w:u w:val="single" w:color="auto"/>
          <w:color w:val="auto"/>
        </w:rPr>
        <w:t>Section 7.10(a)</w:t>
      </w:r>
      <w:r>
        <w:rPr>
          <w:rFonts w:ascii="Arial" w:cs="Arial" w:eastAsia="Arial" w:hAnsi="Arial"/>
          <w:sz w:val="16"/>
          <w:szCs w:val="16"/>
          <w:color w:val="auto"/>
        </w:rPr>
        <w:t>).</w:t>
      </w:r>
    </w:p>
    <w:p>
      <w:pPr>
        <w:spacing w:after="0" w:line="16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u w:val="single" w:color="auto"/>
          <w:color w:val="auto"/>
        </w:rPr>
        <w:t>Compliance with the Swiss Non-Bank Rules</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277" w:lineRule="auto"/>
        <w:tabs>
          <w:tab w:leader="none" w:pos="194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Each Swiss Obligor shall comply with the Swiss Non-Bank Rules;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Swiss Obligor shall not be in breach of this covenant if the permitted number of Swiss Non-Qualifying Lenders is exceeded solely by reason of:</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 xml:space="preserve">a failure by one or more Lenders or Participants to comply with their obligations under </w:t>
      </w:r>
      <w:r>
        <w:rPr>
          <w:rFonts w:ascii="Arial" w:cs="Arial" w:eastAsia="Arial" w:hAnsi="Arial"/>
          <w:sz w:val="18"/>
          <w:szCs w:val="18"/>
          <w:u w:val="single" w:color="auto"/>
          <w:color w:val="auto"/>
        </w:rPr>
        <w:t>Section 11.05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 confirmation made by a one or more Lenders or Participants to be one single Swiss Non-Qualifying Lender is incorrect;</w:t>
      </w:r>
    </w:p>
    <w:p>
      <w:pPr>
        <w:spacing w:after="0" w:line="248" w:lineRule="exact"/>
        <w:rPr>
          <w:rFonts w:ascii="Arial" w:cs="Arial" w:eastAsia="Arial" w:hAnsi="Arial"/>
          <w:sz w:val="16"/>
          <w:szCs w:val="16"/>
          <w:color w:val="auto"/>
        </w:rPr>
      </w:pPr>
    </w:p>
    <w:p>
      <w:pPr>
        <w:ind w:left="660" w:right="300" w:firstLine="1293"/>
        <w:spacing w:after="0" w:line="277" w:lineRule="auto"/>
        <w:tabs>
          <w:tab w:leader="none" w:pos="2645" w:val="left"/>
        </w:tabs>
        <w:numPr>
          <w:ilvl w:val="1"/>
          <w:numId w:val="182"/>
        </w:numPr>
        <w:rPr>
          <w:rFonts w:ascii="Arial" w:cs="Arial" w:eastAsia="Arial" w:hAnsi="Arial"/>
          <w:sz w:val="18"/>
          <w:szCs w:val="18"/>
          <w:color w:val="auto"/>
        </w:rPr>
      </w:pPr>
      <w:r>
        <w:rPr>
          <w:rFonts w:ascii="Arial" w:cs="Arial" w:eastAsia="Arial" w:hAnsi="Arial"/>
          <w:sz w:val="18"/>
          <w:szCs w:val="18"/>
          <w:color w:val="auto"/>
        </w:rPr>
        <w:t>one or more Lenders or Participants ceasing to be a Swiss Qualifying Lender (to the extent such Lender or Participant confirmed to be a Swiss Qualifying Lender) as a result of any reason attributable to such Lender or Participant;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an assignment or participation of any Loan under this Agreement to a Swiss Non-Qualifying Lender after the occurrence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an Event of Default.</w:t>
      </w:r>
    </w:p>
    <w:p>
      <w:pPr>
        <w:spacing w:after="0" w:line="210" w:lineRule="exact"/>
        <w:rPr>
          <w:rFonts w:ascii="Arial" w:cs="Arial" w:eastAsia="Arial" w:hAnsi="Arial"/>
          <w:sz w:val="16"/>
          <w:szCs w:val="16"/>
          <w:color w:val="auto"/>
        </w:rPr>
      </w:pPr>
    </w:p>
    <w:p>
      <w:pPr>
        <w:ind w:right="440" w:firstLine="1305"/>
        <w:spacing w:after="0" w:line="277" w:lineRule="auto"/>
        <w:tabs>
          <w:tab w:leader="none" w:pos="195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7.11</w:t>
      </w:r>
      <w:r>
        <w:rPr>
          <w:rFonts w:ascii="Arial" w:cs="Arial" w:eastAsia="Arial" w:hAnsi="Arial"/>
          <w:sz w:val="18"/>
          <w:szCs w:val="18"/>
          <w:color w:val="auto"/>
        </w:rPr>
        <w:t>, each Swiss Obligor shall assume that the aggregate number of Lenders and Participants under this Agreement which are Swiss Non-Qualifying Lenders is eight.</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Secured Facility Covenant</w:t>
      </w:r>
      <w:r>
        <w:rPr>
          <w:rFonts w:ascii="Arial" w:cs="Arial" w:eastAsia="Arial" w:hAnsi="Arial"/>
          <w:sz w:val="18"/>
          <w:szCs w:val="18"/>
          <w:color w:val="auto"/>
        </w:rPr>
        <w:t>. If WIL-Ireland or any Restricted Subsidiary shall be required to grant any Lien on any of its property to secure any of the Existing Senior Notes, other senior notes or any Permitted Refinancing Indebtedness in respect of any of the foregoing, WIL-Ireland shall, and shall cause its Restricted Subsidiaries to, grant Liens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secure the Guaranteed Obligations equally and ratably with, or prior to, such Existing Senior Notes, other senior notes or Permitted Refinancing Indebtedness.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NEGATIVE COVENANTS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Until Payment in Full, the Obligor Parties covenant and agree that:</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Indebtedness</w:t>
      </w:r>
      <w:r>
        <w:rPr>
          <w:rFonts w:ascii="Arial" w:cs="Arial" w:eastAsia="Arial" w:hAnsi="Arial"/>
          <w:sz w:val="16"/>
          <w:szCs w:val="16"/>
          <w:color w:val="auto"/>
        </w:rPr>
        <w:t>. WIL-Ireland shall not, and shall not permit any Restricted Subsidiary to, create, incur, assume or permit to exist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Indebtedness, except:</w:t>
      </w:r>
    </w:p>
    <w:p>
      <w:pPr>
        <w:spacing w:after="0" w:line="211" w:lineRule="exact"/>
        <w:rPr>
          <w:sz w:val="20"/>
          <w:szCs w:val="20"/>
          <w:color w:val="auto"/>
        </w:rPr>
      </w:pPr>
    </w:p>
    <w:p>
      <w:pPr>
        <w:ind w:left="1940" w:hanging="635"/>
        <w:spacing w:after="0"/>
        <w:tabs>
          <w:tab w:leader="none" w:pos="19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 Indebtedness of the Obligors incurred under the Term Loan Facility in an aggregate principal amount not to exceed</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$500,000,000 at any time outstanding and Permitted Refinancing Indebtedness in respect thereof and (ii) Indebtedness of the Obligors incurred under the 364-Day Revolving Credit Facility in an aggregate principal amount not to exceed at any time outstanding (x) $316,742,581.42 </w:t>
      </w:r>
      <w:r>
        <w:rPr>
          <w:rFonts w:ascii="Arial" w:cs="Arial" w:eastAsia="Arial" w:hAnsi="Arial"/>
          <w:sz w:val="18"/>
          <w:szCs w:val="18"/>
          <w:i w:val="1"/>
          <w:iCs w:val="1"/>
          <w:color w:val="auto"/>
        </w:rPr>
        <w:t>plus</w:t>
      </w:r>
      <w:r>
        <w:rPr>
          <w:rFonts w:ascii="Arial" w:cs="Arial" w:eastAsia="Arial" w:hAnsi="Arial"/>
          <w:sz w:val="18"/>
          <w:szCs w:val="18"/>
          <w:color w:val="auto"/>
        </w:rPr>
        <w:t xml:space="preserve"> (y) 364-Day Revolving Credit Incremental Commitments in an aggregate amount not to exceed $250,000,000 and, with respect to this sub-clause (ii), Permitted Refinancing Indebtedness in respect thereof;</w:t>
      </w:r>
    </w:p>
    <w:p>
      <w:pPr>
        <w:spacing w:after="0" w:line="190" w:lineRule="exact"/>
        <w:rPr>
          <w:sz w:val="20"/>
          <w:szCs w:val="20"/>
          <w:color w:val="auto"/>
        </w:rPr>
      </w:pPr>
    </w:p>
    <w:p>
      <w:pPr>
        <w:ind w:left="1960" w:hanging="655"/>
        <w:spacing w:after="0"/>
        <w:tabs>
          <w:tab w:leader="none" w:pos="19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Permitted Existing Indebtedness and Permitted Refinancing Indebtedness in respect thereof;</w:t>
      </w:r>
    </w:p>
    <w:p>
      <w:pPr>
        <w:spacing w:after="0" w:line="225" w:lineRule="exact"/>
        <w:rPr>
          <w:rFonts w:ascii="Arial" w:cs="Arial" w:eastAsia="Arial" w:hAnsi="Arial"/>
          <w:sz w:val="18"/>
          <w:szCs w:val="18"/>
          <w:color w:val="auto"/>
        </w:rPr>
      </w:pPr>
    </w:p>
    <w:p>
      <w:pPr>
        <w:ind w:right="20" w:firstLine="1305"/>
        <w:spacing w:after="0" w:line="273" w:lineRule="auto"/>
        <w:tabs>
          <w:tab w:leader="none" w:pos="195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Indebtedness arising from intercompany loans and advances owing by any Obligor or any Specified Group Member to any Obligor or any Specified Group Member;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Indebtedness incurred after the Effective Date (including Indebtedness incurred after the Effective Date pursuant to an agreement or arrangement existing on the Effective Date) is owing by an Obligor to a Specified Group Member that is not an Obligor, such Indebtedness shall be Subordinated, to the extent not prohibited by applicable Requirements of Law and to the extent not giving rise to material adverse tax consequences and (ii) any such intercompany loans and advances made to any Specified Group Member that is not a Wholly-Owned Subsidiary shall be subject to the limitations set forth in </w:t>
      </w:r>
      <w:r>
        <w:rPr>
          <w:rFonts w:ascii="Arial" w:cs="Arial" w:eastAsia="Arial" w:hAnsi="Arial"/>
          <w:sz w:val="17"/>
          <w:szCs w:val="17"/>
          <w:u w:val="single" w:color="auto"/>
          <w:color w:val="auto"/>
        </w:rPr>
        <w:t>Section 8.06</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200" w:firstLine="1305"/>
        <w:spacing w:after="0" w:line="257" w:lineRule="auto"/>
        <w:tabs>
          <w:tab w:leader="none" w:pos="195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Indebtedness arising from intercompany loans and advances owing by any Obligor, any Specified Group Member or any Other Subsidiaries Group Member to any Other Subsidiaries Group Member;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Indebtedness incurred after the Effective Date (including Indebtedness incurred after the Effective Date pursuant to an agreement or arrangement existing on the Effective Date) is owing by an Obligor to an Other Subsidiaries Group Member, such Indebtedness shall be Subordinated, to the extent not prohibited by applicable Requirements of Law and to the extent not giving rise to material adverse tax consequences;</w:t>
      </w:r>
    </w:p>
    <w:p>
      <w:pPr>
        <w:spacing w:after="0" w:line="188" w:lineRule="exact"/>
        <w:rPr>
          <w:rFonts w:ascii="Arial" w:cs="Arial" w:eastAsia="Arial" w:hAnsi="Arial"/>
          <w:sz w:val="18"/>
          <w:szCs w:val="18"/>
          <w:color w:val="auto"/>
        </w:rPr>
      </w:pPr>
    </w:p>
    <w:p>
      <w:pPr>
        <w:ind w:right="280" w:firstLine="1305"/>
        <w:spacing w:after="0" w:line="342" w:lineRule="auto"/>
        <w:tabs>
          <w:tab w:leader="none" w:pos="1949"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Indebtedness arising from intercompany loans and advances owing by any Other Subsidiaries Group Member to any Obligor or any Specified Group Member;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intercompany loans and advances shall be subject to the limitations set forth in </w:t>
      </w:r>
      <w:r>
        <w:rPr>
          <w:rFonts w:ascii="Arial" w:cs="Arial" w:eastAsia="Arial" w:hAnsi="Arial"/>
          <w:sz w:val="16"/>
          <w:szCs w:val="16"/>
          <w:u w:val="single" w:color="auto"/>
          <w:color w:val="auto"/>
        </w:rPr>
        <w:t>Section 8.06</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125" w:right="239" w:bottom="0" w:gutter="0" w:footer="0" w:header="0"/>
          <w:type w:val="continuous"/>
        </w:sectPr>
      </w:pPr>
    </w:p>
    <w:bookmarkStart w:id="68" w:name="page69"/>
    <w:bookmarkEnd w:id="68"/>
    <w:p>
      <w:pPr>
        <w:ind w:right="120" w:firstLine="1305"/>
        <w:spacing w:after="0" w:line="277" w:lineRule="auto"/>
        <w:tabs>
          <w:tab w:leader="none" w:pos="1965" w:val="left"/>
        </w:tabs>
        <w:numPr>
          <w:ilvl w:val="1"/>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Guarantees by any Other Subsidiaries Group Member of Indebtedness of any Obligor, any Specified Group Member or any other Other Subsidiaries Group Member;</w:t>
      </w:r>
    </w:p>
    <w:p>
      <w:pPr>
        <w:spacing w:after="0" w:line="170" w:lineRule="exact"/>
        <w:rPr>
          <w:rFonts w:ascii="Arial" w:cs="Arial" w:eastAsia="Arial" w:hAnsi="Arial"/>
          <w:sz w:val="18"/>
          <w:szCs w:val="18"/>
          <w:color w:val="auto"/>
        </w:rPr>
      </w:pPr>
    </w:p>
    <w:p>
      <w:pPr>
        <w:ind w:right="440" w:firstLine="1305"/>
        <w:spacing w:after="0" w:line="277" w:lineRule="auto"/>
        <w:tabs>
          <w:tab w:leader="none" w:pos="1952" w:val="left"/>
        </w:tabs>
        <w:numPr>
          <w:ilvl w:val="1"/>
          <w:numId w:val="185"/>
        </w:numPr>
        <w:rPr>
          <w:rFonts w:ascii="Arial" w:cs="Arial" w:eastAsia="Arial" w:hAnsi="Arial"/>
          <w:sz w:val="18"/>
          <w:szCs w:val="18"/>
          <w:color w:val="auto"/>
        </w:rPr>
      </w:pPr>
      <w:r>
        <w:rPr>
          <w:rFonts w:ascii="Arial" w:cs="Arial" w:eastAsia="Arial" w:hAnsi="Arial"/>
          <w:sz w:val="18"/>
          <w:szCs w:val="18"/>
          <w:color w:val="auto"/>
        </w:rPr>
        <w:t xml:space="preserve">Guarantees by any Obligor or any Specified Group Member of Indebtedness of any Other Subsidiaries Group Member to the extent such Investment is permitted by </w:t>
      </w:r>
      <w:r>
        <w:rPr>
          <w:rFonts w:ascii="Arial" w:cs="Arial" w:eastAsia="Arial" w:hAnsi="Arial"/>
          <w:sz w:val="18"/>
          <w:szCs w:val="18"/>
          <w:u w:val="single" w:color="auto"/>
          <w:color w:val="auto"/>
        </w:rPr>
        <w:t>Section 8.06(f)</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right="280" w:firstLine="1305"/>
        <w:spacing w:after="0" w:line="259" w:lineRule="auto"/>
        <w:tabs>
          <w:tab w:leader="none" w:pos="1966" w:val="left"/>
        </w:tabs>
        <w:numPr>
          <w:ilvl w:val="1"/>
          <w:numId w:val="185"/>
        </w:numPr>
        <w:rPr>
          <w:rFonts w:ascii="Arial" w:cs="Arial" w:eastAsia="Arial" w:hAnsi="Arial"/>
          <w:sz w:val="18"/>
          <w:szCs w:val="18"/>
          <w:color w:val="auto"/>
        </w:rPr>
      </w:pPr>
      <w:r>
        <w:rPr>
          <w:rFonts w:ascii="Arial" w:cs="Arial" w:eastAsia="Arial" w:hAnsi="Arial"/>
          <w:sz w:val="18"/>
          <w:szCs w:val="18"/>
          <w:color w:val="auto"/>
        </w:rPr>
        <w:t xml:space="preserve">Indebtedness of Restricted Subsidiaries in respect of overdrafts, working capital borrowings and facilities, short term loans and cash management requirements (and Guarantees thereof) that, in each case, are required to be repaid or are repaid within 30 days following the incurrence thereof (which Indebtedness may be continuously rolled-over for successive 30-day periods),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such Indebtedness does not at any time exceed $200,000,000;</w:t>
      </w:r>
    </w:p>
    <w:p>
      <w:pPr>
        <w:spacing w:after="0" w:line="186" w:lineRule="exact"/>
        <w:rPr>
          <w:rFonts w:ascii="Arial" w:cs="Arial" w:eastAsia="Arial" w:hAnsi="Arial"/>
          <w:sz w:val="18"/>
          <w:szCs w:val="18"/>
          <w:color w:val="auto"/>
        </w:rPr>
      </w:pPr>
    </w:p>
    <w:p>
      <w:pPr>
        <w:ind w:firstLine="1305"/>
        <w:spacing w:after="0" w:line="270" w:lineRule="auto"/>
        <w:tabs>
          <w:tab w:leader="none" w:pos="1953" w:val="left"/>
        </w:tabs>
        <w:numPr>
          <w:ilvl w:val="1"/>
          <w:numId w:val="185"/>
        </w:numPr>
        <w:rPr>
          <w:rFonts w:ascii="Arial" w:cs="Arial" w:eastAsia="Arial" w:hAnsi="Arial"/>
          <w:sz w:val="17"/>
          <w:szCs w:val="17"/>
          <w:color w:val="auto"/>
        </w:rPr>
      </w:pPr>
      <w:r>
        <w:rPr>
          <w:rFonts w:ascii="Arial" w:cs="Arial" w:eastAsia="Arial" w:hAnsi="Arial"/>
          <w:sz w:val="17"/>
          <w:szCs w:val="17"/>
          <w:color w:val="auto"/>
        </w:rPr>
        <w:t xml:space="preserve">Specified Senior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such Specified Senior Indebtedness may be incurred prior to the date that is 60 days prior to the Existing Maturity Date, (ii) as a condition to incurring any such Specified Senior Indebtedness, (A) no Default or Event of Default shall have occurred and be continuing at the time of and immediately after giving pro forma effect to the incurrence of such Indebtedness, (B) the aggregate principal amount of all Indebtedness incurred pursuant to this </w:t>
      </w:r>
      <w:r>
        <w:rPr>
          <w:rFonts w:ascii="Arial" w:cs="Arial" w:eastAsia="Arial" w:hAnsi="Arial"/>
          <w:sz w:val="17"/>
          <w:szCs w:val="17"/>
          <w:u w:val="single" w:color="auto"/>
          <w:color w:val="auto"/>
        </w:rPr>
        <w:t>Section 8.01(j)</w:t>
      </w:r>
      <w:r>
        <w:rPr>
          <w:rFonts w:ascii="Arial" w:cs="Arial" w:eastAsia="Arial" w:hAnsi="Arial"/>
          <w:sz w:val="17"/>
          <w:szCs w:val="17"/>
          <w:color w:val="auto"/>
        </w:rPr>
        <w:t xml:space="preserve"> would not exceed $200,000,000 at any time and (C) after giving pro forma effect to the incurrence of such Indebtedness, the Specified Senior Leverage Ratio (calculated as of the last day of the most recently ended Testing Period for which financial statements are available as if such Indebtedness had been incurred on the last day of such Testing Period) would not exceed 2.00 to 1.00, (iii) the Borrowers shall effect any reduction of the Commitments of the Extending Lenders as required by </w:t>
      </w:r>
      <w:r>
        <w:rPr>
          <w:rFonts w:ascii="Arial" w:cs="Arial" w:eastAsia="Arial" w:hAnsi="Arial"/>
          <w:sz w:val="17"/>
          <w:szCs w:val="17"/>
          <w:u w:val="single" w:color="auto"/>
          <w:color w:val="auto"/>
        </w:rPr>
        <w:t>Section 2.06(b)(i)</w:t>
      </w:r>
      <w:r>
        <w:rPr>
          <w:rFonts w:ascii="Arial" w:cs="Arial" w:eastAsia="Arial" w:hAnsi="Arial"/>
          <w:sz w:val="17"/>
          <w:szCs w:val="17"/>
          <w:color w:val="auto"/>
        </w:rPr>
        <w:t xml:space="preserve"> and make any prepayment required by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and (iv) such Specified Senior Indebtedness shall have a stated maturity date no sooner than 91 days after the latest to occur of (A) the Extended Maturity Date, (B) the 364-Day Revolving Credit Maturity Date and (C) the Term Loan Maturity Date;</w:t>
      </w:r>
    </w:p>
    <w:p>
      <w:pPr>
        <w:spacing w:after="0" w:line="181" w:lineRule="exact"/>
        <w:rPr>
          <w:rFonts w:ascii="Arial" w:cs="Arial" w:eastAsia="Arial" w:hAnsi="Arial"/>
          <w:sz w:val="17"/>
          <w:szCs w:val="17"/>
          <w:color w:val="auto"/>
        </w:rPr>
      </w:pPr>
    </w:p>
    <w:p>
      <w:pPr>
        <w:ind w:firstLine="1305"/>
        <w:spacing w:after="0" w:line="284" w:lineRule="auto"/>
        <w:tabs>
          <w:tab w:leader="none" w:pos="1952" w:val="left"/>
        </w:tabs>
        <w:numPr>
          <w:ilvl w:val="1"/>
          <w:numId w:val="185"/>
        </w:numPr>
        <w:rPr>
          <w:rFonts w:ascii="Arial" w:cs="Arial" w:eastAsia="Arial" w:hAnsi="Arial"/>
          <w:sz w:val="16"/>
          <w:szCs w:val="16"/>
          <w:color w:val="auto"/>
        </w:rPr>
      </w:pPr>
      <w:r>
        <w:rPr>
          <w:rFonts w:ascii="Arial" w:cs="Arial" w:eastAsia="Arial" w:hAnsi="Arial"/>
          <w:sz w:val="16"/>
          <w:szCs w:val="16"/>
          <w:color w:val="auto"/>
        </w:rPr>
        <w:t xml:space="preserve">unsecured Indebtedness incurred by WIL-Ireland, WIL-Bermuda, WIL-Delaware and Other Subsidiaries Group Members;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Default or Event of Default shall have occurred and be continuing at the time of and immediately after giving effect to the incurrence of such Indebtedness, (ii) after giving pro forma effect to the incurrence of such Indebtedness, WIL-Ireland would be in compliance with the Financial Covenants (calculated as of the last day of the most recently ended Testing Period for which financial statements are available as if such Indebtedness had been incurred on the last day of such Testing Period) and (iii) except with respect to Indebtedness in an aggregate amount not to exceed $90,000,000, as of the date of incurrence, such Indebtedness shall have a stated maturity date no sooner than 91 days after the latest to occur of (A) the Extended Maturity Date,</w:t>
      </w:r>
    </w:p>
    <w:p>
      <w:pPr>
        <w:spacing w:after="0" w:line="4" w:lineRule="exact"/>
        <w:rPr>
          <w:rFonts w:ascii="Arial" w:cs="Arial" w:eastAsia="Arial" w:hAnsi="Arial"/>
          <w:sz w:val="16"/>
          <w:szCs w:val="16"/>
          <w:color w:val="auto"/>
        </w:rPr>
      </w:pPr>
    </w:p>
    <w:p>
      <w:pPr>
        <w:ind w:left="300" w:hanging="292"/>
        <w:spacing w:after="0"/>
        <w:tabs>
          <w:tab w:leader="none" w:pos="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364-Day Revolving Credit Maturity Date and (C) the Term Loan Maturity Date;</w:t>
      </w:r>
    </w:p>
    <w:p>
      <w:pPr>
        <w:spacing w:after="0" w:line="210" w:lineRule="exact"/>
        <w:rPr>
          <w:rFonts w:ascii="Arial" w:cs="Arial" w:eastAsia="Arial" w:hAnsi="Arial"/>
          <w:sz w:val="18"/>
          <w:szCs w:val="18"/>
          <w:color w:val="auto"/>
        </w:rPr>
      </w:pPr>
    </w:p>
    <w:p>
      <w:pPr>
        <w:ind w:right="160" w:firstLine="1305"/>
        <w:spacing w:after="0" w:line="312" w:lineRule="auto"/>
        <w:tabs>
          <w:tab w:leader="none" w:pos="1966" w:val="left"/>
        </w:tabs>
        <w:numPr>
          <w:ilvl w:val="1"/>
          <w:numId w:val="186"/>
        </w:numPr>
        <w:rPr>
          <w:rFonts w:ascii="Arial" w:cs="Arial" w:eastAsia="Arial" w:hAnsi="Arial"/>
          <w:sz w:val="16"/>
          <w:szCs w:val="16"/>
          <w:color w:val="auto"/>
        </w:rPr>
      </w:pPr>
      <w:r>
        <w:rPr>
          <w:rFonts w:ascii="Arial" w:cs="Arial" w:eastAsia="Arial" w:hAnsi="Arial"/>
          <w:sz w:val="16"/>
          <w:szCs w:val="16"/>
          <w:color w:val="auto"/>
        </w:rPr>
        <w:t xml:space="preserve">Subordinated Indebtedness of any Obligor (other than Subordinated Indebtedness consisting of Guarantees by any Specified Obligor of Indebtedness incurred pursuant to </w:t>
      </w:r>
      <w:r>
        <w:rPr>
          <w:rFonts w:ascii="Arial" w:cs="Arial" w:eastAsia="Arial" w:hAnsi="Arial"/>
          <w:sz w:val="16"/>
          <w:szCs w:val="16"/>
          <w:u w:val="single" w:color="auto"/>
          <w:color w:val="auto"/>
        </w:rPr>
        <w:t>Section 8.01(c)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8.01(j)</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8.01(k)</w:t>
      </w:r>
      <w:r>
        <w:rPr>
          <w:rFonts w:ascii="Arial" w:cs="Arial" w:eastAsia="Arial" w:hAnsi="Arial"/>
          <w:sz w:val="16"/>
          <w:szCs w:val="16"/>
          <w:color w:val="auto"/>
        </w:rPr>
        <w:t xml:space="preserve"> or Indebtedness not permitted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Default or Event of Default shall have occurred and be continuing at the time of and immediately after giving effect to the incurrence of such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Indebtedness, and (ii) as of the date of incurrence, such Indebtedness shall have a stated maturity date no sooner than 91 days after the latest to occur of</w:t>
      </w:r>
    </w:p>
    <w:p>
      <w:pPr>
        <w:spacing w:after="0" w:line="46" w:lineRule="exact"/>
        <w:rPr>
          <w:sz w:val="20"/>
          <w:szCs w:val="20"/>
          <w:color w:val="auto"/>
        </w:rPr>
      </w:pPr>
    </w:p>
    <w:p>
      <w:pPr>
        <w:ind w:left="300" w:hanging="292"/>
        <w:spacing w:after="0"/>
        <w:tabs>
          <w:tab w:leader="none" w:pos="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Extended Maturity Date, (B) the 364-Day Revolving Credit Maturity Date and (C) the Term Loan Maturity Date;</w:t>
      </w:r>
    </w:p>
    <w:p>
      <w:pPr>
        <w:spacing w:after="0" w:line="210" w:lineRule="exact"/>
        <w:rPr>
          <w:rFonts w:ascii="Arial" w:cs="Arial" w:eastAsia="Arial" w:hAnsi="Arial"/>
          <w:sz w:val="18"/>
          <w:szCs w:val="18"/>
          <w:color w:val="auto"/>
        </w:rPr>
      </w:pPr>
    </w:p>
    <w:p>
      <w:pPr>
        <w:ind w:right="60" w:firstLine="1305"/>
        <w:spacing w:after="0" w:line="255" w:lineRule="auto"/>
        <w:tabs>
          <w:tab w:leader="none" w:pos="194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Indebtedness of WIL-Ireland or any Restricted Subsidiary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provided that (i) such Indebtedness is incurred prior to or within 90 days after such acquisition or the completion of such construction or improvement and (ii) the aggregate principal amount of Indebtedness incurred pursuant to this </w:t>
      </w:r>
      <w:r>
        <w:rPr>
          <w:rFonts w:ascii="Arial" w:cs="Arial" w:eastAsia="Arial" w:hAnsi="Arial"/>
          <w:sz w:val="18"/>
          <w:szCs w:val="18"/>
          <w:u w:val="single" w:color="auto"/>
          <w:color w:val="auto"/>
        </w:rPr>
        <w:t>Section 8.01(m)</w:t>
      </w:r>
      <w:r>
        <w:rPr>
          <w:rFonts w:ascii="Arial" w:cs="Arial" w:eastAsia="Arial" w:hAnsi="Arial"/>
          <w:sz w:val="18"/>
          <w:szCs w:val="18"/>
          <w:color w:val="auto"/>
        </w:rPr>
        <w:t xml:space="preserve"> shall not at any time exceed $175,000,000;</w:t>
      </w:r>
    </w:p>
    <w:p>
      <w:pPr>
        <w:spacing w:after="0" w:line="193" w:lineRule="exact"/>
        <w:rPr>
          <w:rFonts w:ascii="Arial" w:cs="Arial" w:eastAsia="Arial" w:hAnsi="Arial"/>
          <w:sz w:val="18"/>
          <w:szCs w:val="18"/>
          <w:color w:val="auto"/>
        </w:rPr>
      </w:pPr>
    </w:p>
    <w:p>
      <w:pPr>
        <w:ind w:right="640" w:firstLine="1305"/>
        <w:spacing w:after="0" w:line="277" w:lineRule="auto"/>
        <w:tabs>
          <w:tab w:leader="none" w:pos="195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Indebtedness incurred to finance insurance premiums of any Restricted Subsidiary in the ordinary course of business in an aggregate principal amount not to exceed the amount of such insurance premiums;</w:t>
      </w:r>
    </w:p>
    <w:p>
      <w:pPr>
        <w:spacing w:after="0" w:line="170" w:lineRule="exact"/>
        <w:rPr>
          <w:rFonts w:ascii="Arial" w:cs="Arial" w:eastAsia="Arial" w:hAnsi="Arial"/>
          <w:sz w:val="18"/>
          <w:szCs w:val="18"/>
          <w:color w:val="auto"/>
        </w:rPr>
      </w:pPr>
    </w:p>
    <w:p>
      <w:pPr>
        <w:ind w:right="340" w:firstLine="1305"/>
        <w:spacing w:after="0" w:line="279" w:lineRule="auto"/>
        <w:tabs>
          <w:tab w:leader="none" w:pos="1952" w:val="left"/>
        </w:tabs>
        <w:numPr>
          <w:ilvl w:val="1"/>
          <w:numId w:val="187"/>
        </w:numPr>
        <w:rPr>
          <w:rFonts w:ascii="Arial" w:cs="Arial" w:eastAsia="Arial" w:hAnsi="Arial"/>
          <w:sz w:val="17"/>
          <w:szCs w:val="17"/>
          <w:color w:val="auto"/>
        </w:rPr>
      </w:pPr>
      <w:r>
        <w:rPr>
          <w:rFonts w:ascii="Arial" w:cs="Arial" w:eastAsia="Arial" w:hAnsi="Arial"/>
          <w:sz w:val="17"/>
          <w:szCs w:val="17"/>
          <w:color w:val="auto"/>
        </w:rPr>
        <w:t>indemnification, adjustment of purchase price, earnout or similar obligations (including any earnout obligations), in each case, incurred or assumed in connection with any acquisition or Disposition otherwise permitted hereunder of any business or assets of WIL-Ireland and any Restricted Subsidiary or Capital Stock of a Subsidiary, other than guarantees of Indebtedness incurred by any Person acquiring all or any portion of such business, assets or Capital Stock for the purpose of financing or in contemplation of any such acquisition;</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 xml:space="preserve">other Indebtedness in an aggregate principal amount at any time outstanding pursuant to this </w:t>
      </w:r>
      <w:r>
        <w:rPr>
          <w:rFonts w:ascii="Arial" w:cs="Arial" w:eastAsia="Arial" w:hAnsi="Arial"/>
          <w:sz w:val="17"/>
          <w:szCs w:val="17"/>
          <w:u w:val="single" w:color="auto"/>
          <w:color w:val="auto"/>
        </w:rPr>
        <w:t>Section 8.01(p)</w:t>
      </w:r>
      <w:r>
        <w:rPr>
          <w:rFonts w:ascii="Arial" w:cs="Arial" w:eastAsia="Arial" w:hAnsi="Arial"/>
          <w:sz w:val="17"/>
          <w:szCs w:val="17"/>
          <w:color w:val="auto"/>
        </w:rPr>
        <w:t xml:space="preserve"> not in excess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$10,000,000;</w:t>
      </w:r>
    </w:p>
    <w:p>
      <w:pPr>
        <w:spacing w:after="0" w:line="211" w:lineRule="exact"/>
        <w:rPr>
          <w:sz w:val="20"/>
          <w:szCs w:val="20"/>
          <w:color w:val="auto"/>
        </w:rPr>
      </w:pPr>
    </w:p>
    <w:p>
      <w:pPr>
        <w:jc w:val="both"/>
        <w:ind w:right="340" w:firstLine="1305"/>
        <w:spacing w:after="0" w:line="264" w:lineRule="auto"/>
        <w:tabs>
          <w:tab w:leader="none" w:pos="195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8.15</w:t>
      </w:r>
      <w:r>
        <w:rPr>
          <w:rFonts w:ascii="Arial" w:cs="Arial" w:eastAsia="Arial" w:hAnsi="Arial"/>
          <w:sz w:val="18"/>
          <w:szCs w:val="18"/>
          <w:color w:val="auto"/>
        </w:rPr>
        <w:t>, non-contingent reimbursement obligations of WIL-Ireland and its Restricted Subsidiaries in respect of letters of credit, bank guaranties, bankers’ acceptances, bid bonds, surety bonds, performance bonds, customs bonds, advance payment bonds and similar instruments; and</w:t>
      </w:r>
    </w:p>
    <w:p>
      <w:pPr>
        <w:spacing w:after="0" w:line="181" w:lineRule="exact"/>
        <w:rPr>
          <w:rFonts w:ascii="Arial" w:cs="Arial" w:eastAsia="Arial" w:hAnsi="Arial"/>
          <w:sz w:val="18"/>
          <w:szCs w:val="18"/>
          <w:color w:val="auto"/>
        </w:rPr>
      </w:pPr>
    </w:p>
    <w:p>
      <w:pPr>
        <w:ind w:right="20" w:firstLine="1305"/>
        <w:spacing w:after="0" w:line="276" w:lineRule="auto"/>
        <w:tabs>
          <w:tab w:leader="none" w:pos="1963" w:val="left"/>
        </w:tabs>
        <w:numPr>
          <w:ilvl w:val="0"/>
          <w:numId w:val="188"/>
        </w:numPr>
        <w:rPr>
          <w:rFonts w:ascii="Arial" w:cs="Arial" w:eastAsia="Arial" w:hAnsi="Arial"/>
          <w:sz w:val="17"/>
          <w:szCs w:val="17"/>
          <w:color w:val="auto"/>
        </w:rPr>
      </w:pPr>
      <w:r>
        <w:rPr>
          <w:rFonts w:ascii="Arial" w:cs="Arial" w:eastAsia="Arial" w:hAnsi="Arial"/>
          <w:sz w:val="17"/>
          <w:szCs w:val="17"/>
          <w:color w:val="auto"/>
        </w:rPr>
        <w:t>support, reimbursement, hold harmless, indemnity and similar letters or agreements provided by, or entered into solely between, WIL-Ireland and/or any of its Restricted Subsidiaries (whether before, simultaneous with, or after the Effective Date), but only to the extent any such letters or agreements both (i) relate to the guarantee of Obligations and/or pledge of assets by WIL-Ireland and/or any Restricted Subsidiary under a Loan Document and (ii) do not modify, limit or otherwise adversely affect any obligation of any Guarantor or pledgor of assets to a Lender, the Administrative Agent, or an Issuing Bank (or any rights a Lender, the Administrative Agent, or Issuing Bank has under the Loan Documents).</w:t>
      </w:r>
    </w:p>
    <w:p>
      <w:pPr>
        <w:spacing w:after="0" w:line="173"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8.01</w:t>
      </w:r>
      <w:r>
        <w:rPr>
          <w:rFonts w:ascii="Arial" w:cs="Arial" w:eastAsia="Arial" w:hAnsi="Arial"/>
          <w:sz w:val="17"/>
          <w:szCs w:val="17"/>
          <w:color w:val="auto"/>
        </w:rPr>
        <w:t>, any payment by WIL-Ireland or any Restricted Subsidiary of any interest on any Indebtedness in kind (by adding the amount of such interest to the principal amount of such Indebtedness) shall be deemed to be an incurrence of Indebtedness.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733" w:right="259" w:bottom="0" w:gutter="0" w:footer="0" w:header="0"/>
        </w:sectPr>
      </w:pPr>
    </w:p>
    <w:bookmarkStart w:id="69" w:name="page70"/>
    <w:bookmarkEnd w:id="69"/>
    <w:p>
      <w:pPr>
        <w:ind w:left="660"/>
        <w:spacing w:after="0"/>
        <w:tabs>
          <w:tab w:leader="none" w:pos="194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5"/>
          <w:szCs w:val="15"/>
          <w:u w:val="single" w:color="auto"/>
          <w:color w:val="auto"/>
        </w:rPr>
        <w:t>Fundamental Changes</w:t>
      </w:r>
      <w:r>
        <w:rPr>
          <w:rFonts w:ascii="Arial" w:cs="Arial" w:eastAsia="Arial" w:hAnsi="Arial"/>
          <w:sz w:val="15"/>
          <w:szCs w:val="15"/>
          <w:color w:val="auto"/>
        </w:rPr>
        <w:t>.</w:t>
      </w:r>
    </w:p>
    <w:p>
      <w:pPr>
        <w:spacing w:after="0" w:line="225" w:lineRule="exact"/>
        <w:rPr>
          <w:sz w:val="20"/>
          <w:szCs w:val="20"/>
          <w:color w:val="auto"/>
        </w:rPr>
      </w:pPr>
    </w:p>
    <w:p>
      <w:pPr>
        <w:ind w:right="20" w:firstLine="1305"/>
        <w:spacing w:after="0" w:line="268" w:lineRule="auto"/>
        <w:tabs>
          <w:tab w:leader="none" w:pos="1942"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WIL-Ireland shall not, and shall not permit any Restricted Subsidiary to, merge into or consolidate or amalgamate with any other Person, or permit any other Person to merge into or consolidate or amalgamate with it, except that, if at the time thereof and immediately after giving effect thereto no Default or Event of Default shall have occurred and be continuing, any Person may merge, consolidate or amalgamate with (i) any Obligor, any Specified Group Member or any Other Subsidiaries Group Member or (ii) any non-Affiliate to facilitate any acquisition or Disposition otherwise permitted by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each of clauses (i) and (ii), each of the following conditions must be met: (A) if such merger, consolidation or amalgamation involves WIL-Bermuda, WIL-Bermuda shall be the surviving or continuing Person; (B) if such merger, consolidation or amalgamation involves a Borrower (other than WIL-Bermuda), a Borrower shall be the surviving or continuing Person, (C) other than in the case of facilitating a Disposition otherwise permitted by the Loan Documents, if such merger, consolidation or amalgamation involves an Obligor (other than a Borrower), an Obligor shall be the surviving or continuing Person and (D) if such merger, consolidation or amalgamation involves a Specified Obligor, either (1) a Specified Obligor shall be the surviving or continuing Person or (2) after giving pro forma effect to such merger, consolidation or amalgamation and treating the surviving or continuing Person as a member of the Specified Group (disregarding the definition thereof for this purpose), WIL-Ireland would be in compliance with the Financial Covenants (calculated as of the last day of the most recently ended Testing Period for which financial statements are available as if such merger, consolidation or amalgamation had been consummated on the first day of such Testing Period);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each case, any such merger, consolidation or amalgamation involving a Person that is not a Wholly-Owned Subsidiary immediately prior to such merger, consolidation or amalgamation shall not be permitted unless it is also permitted by </w:t>
      </w:r>
      <w:r>
        <w:rPr>
          <w:rFonts w:ascii="Arial" w:cs="Arial" w:eastAsia="Arial" w:hAnsi="Arial"/>
          <w:sz w:val="17"/>
          <w:szCs w:val="17"/>
          <w:u w:val="single" w:color="auto"/>
          <w:color w:val="auto"/>
        </w:rPr>
        <w:t>Section 8.06</w:t>
      </w:r>
      <w:r>
        <w:rPr>
          <w:rFonts w:ascii="Arial" w:cs="Arial" w:eastAsia="Arial" w:hAnsi="Arial"/>
          <w:sz w:val="17"/>
          <w:szCs w:val="17"/>
          <w:color w:val="auto"/>
        </w:rPr>
        <w:t xml:space="preserve"> and, in the case of a Person that is an Unrestricted Subsidiary immediately prior to such merger, consolidation or amalgamation, </w:t>
      </w:r>
      <w:r>
        <w:rPr>
          <w:rFonts w:ascii="Arial" w:cs="Arial" w:eastAsia="Arial" w:hAnsi="Arial"/>
          <w:sz w:val="17"/>
          <w:szCs w:val="17"/>
          <w:u w:val="single" w:color="auto"/>
          <w:color w:val="auto"/>
        </w:rPr>
        <w:t>Section 7.09</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right="20" w:firstLine="1305"/>
        <w:spacing w:after="0" w:line="288" w:lineRule="auto"/>
        <w:tabs>
          <w:tab w:leader="none" w:pos="195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shall not prohibit any Redomestication;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a Redomestication of WIL-Ireland of the type described in clause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of the definition thereof, the Surviving Person shall (A) execute and deliver to the Administrative Agent an instrument, in form and substance reasonably satisfactory to the Administrative Agent, whereby such Surviving Person shall become a party to this Agreement and the Affiliate Guaranty and assume all rights and obligations of WIL-Ireland hereunder and thereunder and (B) deliver to the Administrative Agent one or more opinions of counsel in form, scope and substance reasonably satisfactory to the Administrative Agent, and (ii) in the case of a Redomestication of WIL-Ireland of the type described in clause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the definition thereof in which the Person formed pursuant to such Redomestication is a different legal entity than WIL-Ireland, the Person formed pursuant to such Redomestication shall (A) execute and deliver to the Administrative Agent an instrument, in form and substance reasonably satisfactory to the Administrative Agent, whereby such Person shall become a party to this Agreement and the Affiliate Guaranty and assume all rights and obligations of such Obligor hereunder and thereunder and (B) deliver to the Administrative Agent one or more opinions of counsel in form, scope and substance reasonably satisfactory to the Administrative Agent.</w:t>
      </w:r>
    </w:p>
    <w:p>
      <w:pPr>
        <w:spacing w:after="0" w:line="169" w:lineRule="exact"/>
        <w:rPr>
          <w:rFonts w:ascii="Arial" w:cs="Arial" w:eastAsia="Arial" w:hAnsi="Arial"/>
          <w:sz w:val="16"/>
          <w:szCs w:val="16"/>
          <w:color w:val="auto"/>
        </w:rPr>
      </w:pPr>
    </w:p>
    <w:p>
      <w:pPr>
        <w:ind w:firstLine="1305"/>
        <w:spacing w:after="0" w:line="277" w:lineRule="auto"/>
        <w:tabs>
          <w:tab w:leader="none" w:pos="195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WIL-Ireland shall not, and shall not permit any Restricted Subsidiary to, wind up, liquidate or dissolve;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the time thereof and immediately after giving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effect thereto no Default or Event of Default shall have occurred and be continuing, (i) any Restricted Subsidiary that is not an Obligor may wind up, liquidate or dissolve if WIL-Ireland determines in good faith that such winding up, liquidation or dissolution is in the best interests of WIL-Ireland and its other Restricted Subsidiaries and is not materially disadvantageous to the Lenders and (ii) any Specified Obligor may wind up, liquidate or dissolve if (A) the owner of all of the Capital Stock of such Specified Obligor immediately prior to such event shall be a Wholly-Owned Subsidiary of WIL-Ireland (other than WIL-Bermuda or WIL-Delaware, unless the Subsidiaries directly owned by WIL-Bermuda or WIL-Delaware winding up, liquidating or dissolving in the aggregate since the Effective Date do not have assets representing more than 2.5% of the Total Specified Asset Value as of the last day of any Fiscal Quarter ended for which financial statements have been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7.01(b)</w:t>
      </w:r>
      <w:r>
        <w:rPr>
          <w:rFonts w:ascii="Arial" w:cs="Arial" w:eastAsia="Arial" w:hAnsi="Arial"/>
          <w:sz w:val="16"/>
          <w:szCs w:val="16"/>
          <w:color w:val="auto"/>
        </w:rPr>
        <w:t xml:space="preserve"> or generate more than 2.5% of Consolidated Adjusted EBITDA of the Specified Group for the four consecutive Fiscal Quarter period ending on such date) that is organized in a Specified Jurisdiction and (B) if such owner is not then an Obligor, such owner shall execute and deliver to the Administrative Agent (1) a guaranty of the Obligations in form and substance reasonably satisfactory to the Administrative Agent, (2) an opinion, reasonably satisfactory in form, scope and substance to the Administrative Agent, of counsel reasonably satisfactory to the Administrative Agent, addressing such matters in connection with such event as the Administrative Agent or any Lender may reasonably request and (3) such other documentation as the Administrative Agent may reasonably request;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WIL-Ireland shall comply with the conditions set forth in </w:t>
      </w:r>
      <w:r>
        <w:rPr>
          <w:rFonts w:ascii="Arial" w:cs="Arial" w:eastAsia="Arial" w:hAnsi="Arial"/>
          <w:sz w:val="16"/>
          <w:szCs w:val="16"/>
          <w:u w:val="single" w:color="auto"/>
          <w:color w:val="auto"/>
        </w:rPr>
        <w:t>Sections 11.01(d)(i)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11.01(d)(ii)</w:t>
      </w:r>
      <w:r>
        <w:rPr>
          <w:rFonts w:ascii="Arial" w:cs="Arial" w:eastAsia="Arial" w:hAnsi="Arial"/>
          <w:sz w:val="16"/>
          <w:szCs w:val="16"/>
          <w:color w:val="auto"/>
        </w:rPr>
        <w:t xml:space="preserve"> with respect to any Specified Obligor that is a Borrower (for purposes of this </w:t>
      </w:r>
      <w:r>
        <w:rPr>
          <w:rFonts w:ascii="Arial" w:cs="Arial" w:eastAsia="Arial" w:hAnsi="Arial"/>
          <w:sz w:val="16"/>
          <w:szCs w:val="16"/>
          <w:u w:val="single" w:color="auto"/>
          <w:color w:val="auto"/>
        </w:rPr>
        <w:t>Section 8.02(c)</w:t>
      </w:r>
      <w:r>
        <w:rPr>
          <w:rFonts w:ascii="Arial" w:cs="Arial" w:eastAsia="Arial" w:hAnsi="Arial"/>
          <w:sz w:val="16"/>
          <w:szCs w:val="16"/>
          <w:color w:val="auto"/>
        </w:rPr>
        <w:t xml:space="preserve">, the references to “Borrower Removal Date” in </w:t>
      </w:r>
      <w:r>
        <w:rPr>
          <w:rFonts w:ascii="Arial" w:cs="Arial" w:eastAsia="Arial" w:hAnsi="Arial"/>
          <w:sz w:val="16"/>
          <w:szCs w:val="16"/>
          <w:u w:val="single" w:color="auto"/>
          <w:color w:val="auto"/>
        </w:rPr>
        <w:t>Sections 11.01(d)(i)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11.01(d)(ii)</w:t>
      </w:r>
      <w:r>
        <w:rPr>
          <w:rFonts w:ascii="Arial" w:cs="Arial" w:eastAsia="Arial" w:hAnsi="Arial"/>
          <w:sz w:val="16"/>
          <w:szCs w:val="16"/>
          <w:color w:val="auto"/>
        </w:rPr>
        <w:t xml:space="preserve"> being understood to refer to the date on which such Borrower winds up, liquidates or dissolves pursuant to this </w:t>
      </w:r>
      <w:r>
        <w:rPr>
          <w:rFonts w:ascii="Arial" w:cs="Arial" w:eastAsia="Arial" w:hAnsi="Arial"/>
          <w:sz w:val="16"/>
          <w:szCs w:val="16"/>
          <w:u w:val="single" w:color="auto"/>
          <w:color w:val="auto"/>
        </w:rPr>
        <w:t>Section 8.02(c)</w:t>
      </w:r>
      <w:r>
        <w:rPr>
          <w:rFonts w:ascii="Arial" w:cs="Arial" w:eastAsia="Arial" w:hAnsi="Arial"/>
          <w:sz w:val="16"/>
          <w:szCs w:val="16"/>
          <w:color w:val="auto"/>
        </w:rPr>
        <w:t xml:space="preserve">). Notwithstanding anything to the contrary contained herein, in the event that any Borrower shall cease to be a Borrower hereunder as a result of a transaction permitted under this </w:t>
      </w:r>
      <w:r>
        <w:rPr>
          <w:rFonts w:ascii="Arial" w:cs="Arial" w:eastAsia="Arial" w:hAnsi="Arial"/>
          <w:sz w:val="16"/>
          <w:szCs w:val="16"/>
          <w:u w:val="single" w:color="auto"/>
          <w:color w:val="auto"/>
        </w:rPr>
        <w:t>Section 8.02(c)</w:t>
      </w:r>
      <w:r>
        <w:rPr>
          <w:rFonts w:ascii="Arial" w:cs="Arial" w:eastAsia="Arial" w:hAnsi="Arial"/>
          <w:sz w:val="16"/>
          <w:szCs w:val="16"/>
          <w:color w:val="auto"/>
        </w:rPr>
        <w:t xml:space="preserve">, the other Obligors shall remain jointly and severally liable with respect to each Loan made to such Borrower and each Letter of Credit issued for the account of such Borrower outstanding on the date on which such Borrower winds up, liquidates or dissolves pursuant to this </w:t>
      </w:r>
      <w:r>
        <w:rPr>
          <w:rFonts w:ascii="Arial" w:cs="Arial" w:eastAsia="Arial" w:hAnsi="Arial"/>
          <w:sz w:val="16"/>
          <w:szCs w:val="16"/>
          <w:u w:val="single" w:color="auto"/>
          <w:color w:val="auto"/>
        </w:rPr>
        <w:t>Section 8.02(c)</w:t>
      </w:r>
      <w:r>
        <w:rPr>
          <w:rFonts w:ascii="Arial" w:cs="Arial" w:eastAsia="Arial" w:hAnsi="Arial"/>
          <w:sz w:val="16"/>
          <w:szCs w:val="16"/>
          <w:color w:val="auto"/>
        </w:rPr>
        <w:t>.</w:t>
      </w:r>
    </w:p>
    <w:p>
      <w:pPr>
        <w:spacing w:after="0" w:line="173"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Material Change in Business</w:t>
      </w:r>
      <w:r>
        <w:rPr>
          <w:rFonts w:ascii="Arial" w:cs="Arial" w:eastAsia="Arial" w:hAnsi="Arial"/>
          <w:sz w:val="17"/>
          <w:szCs w:val="17"/>
          <w:color w:val="auto"/>
        </w:rPr>
        <w:t>. WIL-Ireland and its Restricted Subsidiaries (taken as a whole) shall not engage in any material business substantially different from those businesses of WIL-Ireland and its Subsidiaries described in the Form 10-K of WIL-Ireland for the Fiscal Year ended December 31, 2015, as filed with the SEC, and any businesses reasonably related, ancillary or complementary thereto.</w:t>
      </w:r>
    </w:p>
    <w:p>
      <w:pPr>
        <w:spacing w:after="0" w:line="16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Liens</w:t>
      </w:r>
      <w:r>
        <w:rPr>
          <w:rFonts w:ascii="Arial" w:cs="Arial" w:eastAsia="Arial" w:hAnsi="Arial"/>
          <w:sz w:val="18"/>
          <w:szCs w:val="18"/>
          <w:color w:val="auto"/>
        </w:rPr>
        <w:t>. WIL-Ireland shall not, and shall not permit any Restricted Subsidiary to, create, incur, assume or permit to exist any Lien on any property or asset now owned or hereafter acquired by it, except:</w:t>
      </w:r>
    </w:p>
    <w:p>
      <w:pPr>
        <w:spacing w:after="0" w:line="170" w:lineRule="exact"/>
        <w:rPr>
          <w:sz w:val="20"/>
          <w:szCs w:val="20"/>
          <w:color w:val="auto"/>
        </w:rPr>
      </w:pPr>
    </w:p>
    <w:p>
      <w:pPr>
        <w:ind w:left="1940" w:hanging="635"/>
        <w:spacing w:after="0"/>
        <w:tabs>
          <w:tab w:leader="none" w:pos="19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Liens created pursuant to any Loan Document;</w:t>
      </w:r>
    </w:p>
    <w:p>
      <w:pPr>
        <w:spacing w:after="0" w:line="225" w:lineRule="exact"/>
        <w:rPr>
          <w:rFonts w:ascii="Arial" w:cs="Arial" w:eastAsia="Arial" w:hAnsi="Arial"/>
          <w:sz w:val="18"/>
          <w:szCs w:val="18"/>
          <w:color w:val="auto"/>
        </w:rPr>
      </w:pPr>
    </w:p>
    <w:p>
      <w:pPr>
        <w:ind w:right="20" w:firstLine="1305"/>
        <w:spacing w:after="0" w:line="277" w:lineRule="auto"/>
        <w:tabs>
          <w:tab w:leader="none" w:pos="195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Liens (i) arising under the Term Loan Documents that secure the Term Loan Obligations and (ii) on current assets arising under the 364-Day Revolving Credit Documents that secure the 364-Day Revolving Credit Obligations;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Permitted Liens;</w:t>
      </w:r>
    </w:p>
    <w:p>
      <w:pPr>
        <w:sectPr>
          <w:pgSz w:w="11900" w:h="16838" w:orient="portrait"/>
          <w:cols w:equalWidth="0" w:num="1">
            <w:col w:w="11420"/>
          </w:cols>
          <w:pgMar w:left="240" w:top="584" w:right="239" w:bottom="0" w:gutter="0" w:footer="0" w:header="0"/>
        </w:sectPr>
      </w:pPr>
    </w:p>
    <w:bookmarkStart w:id="70" w:name="page71"/>
    <w:bookmarkEnd w:id="70"/>
    <w:p>
      <w:pPr>
        <w:ind w:right="160" w:firstLine="1305"/>
        <w:spacing w:after="0" w:line="286" w:lineRule="auto"/>
        <w:tabs>
          <w:tab w:leader="none" w:pos="1952"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any Lien on any property or asset of WIL-Ireland or any Restricted Subsidiary existing on the date hereof and set forth in </w:t>
      </w:r>
      <w:r>
        <w:rPr>
          <w:rFonts w:ascii="Arial" w:cs="Arial" w:eastAsia="Arial" w:hAnsi="Arial"/>
          <w:sz w:val="17"/>
          <w:szCs w:val="17"/>
          <w:u w:val="single" w:color="auto"/>
          <w:color w:val="auto"/>
        </w:rPr>
        <w:t>Schedule 8.04</w:t>
      </w:r>
      <w:r>
        <w:rPr>
          <w:rFonts w:ascii="Arial" w:cs="Arial" w:eastAsia="Arial" w:hAnsi="Arial"/>
          <w:sz w:val="17"/>
          <w:szCs w:val="17"/>
          <w:color w:val="auto"/>
        </w:rPr>
        <w:t>, provided that (i) such Lien shall not apply to any other property or asset of WIL-Ireland or any Restricted Subsidiary and (ii) such Lien shall secure only those obligations that it secures on the date hereof and Permitted Refinancing Indebtedness in respect thereof;</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precautionary Liens on Receivables and Receivables Related Security arising in connection with Permitted Factoring Transactions;</w:t>
      </w:r>
    </w:p>
    <w:p>
      <w:pPr>
        <w:spacing w:after="0" w:line="248" w:lineRule="exact"/>
        <w:rPr>
          <w:rFonts w:ascii="Arial" w:cs="Arial" w:eastAsia="Arial" w:hAnsi="Arial"/>
          <w:sz w:val="16"/>
          <w:szCs w:val="16"/>
          <w:color w:val="auto"/>
        </w:rPr>
      </w:pPr>
    </w:p>
    <w:p>
      <w:pPr>
        <w:ind w:right="20" w:firstLine="1305"/>
        <w:spacing w:after="0" w:line="279" w:lineRule="auto"/>
        <w:tabs>
          <w:tab w:leader="none" w:pos="1949"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Liens on cash and Cash Equivalents (and deposit accounts in which such cash and Cash Equivalents are held) to secure obligations (contingent or otherwise) in respect of letters of credit or letter of credit facilities, bank guarantees or bank guarantee facilities, bid bonds, surety bonds, performance bonds, customs bonds, advance payment bonds and similar instruments and facilities permitted under </w:t>
      </w:r>
      <w:r>
        <w:rPr>
          <w:rFonts w:ascii="Arial" w:cs="Arial" w:eastAsia="Arial" w:hAnsi="Arial"/>
          <w:sz w:val="17"/>
          <w:szCs w:val="17"/>
          <w:u w:val="single" w:color="auto"/>
          <w:color w:val="auto"/>
        </w:rPr>
        <w:t>Section 8.15</w:t>
      </w:r>
      <w:r>
        <w:rPr>
          <w:rFonts w:ascii="Arial" w:cs="Arial" w:eastAsia="Arial" w:hAnsi="Arial"/>
          <w:sz w:val="17"/>
          <w:szCs w:val="17"/>
          <w:color w:val="auto"/>
        </w:rPr>
        <w:t xml:space="preserve"> so long as the aggregate principal amount of the Indebtedness and other obligations secured by such Liens does not at any time exceed $100,000,000; and</w:t>
      </w:r>
    </w:p>
    <w:p>
      <w:pPr>
        <w:spacing w:after="0" w:line="171" w:lineRule="exact"/>
        <w:rPr>
          <w:rFonts w:ascii="Arial" w:cs="Arial" w:eastAsia="Arial" w:hAnsi="Arial"/>
          <w:sz w:val="17"/>
          <w:szCs w:val="17"/>
          <w:color w:val="auto"/>
        </w:rPr>
      </w:pPr>
    </w:p>
    <w:p>
      <w:pPr>
        <w:ind w:firstLine="1305"/>
        <w:spacing w:after="0" w:line="277" w:lineRule="auto"/>
        <w:tabs>
          <w:tab w:leader="none" w:pos="196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Liens on assets so long as the aggregate principal amount of the Indebtedness and other obligations secured by such Liens does not at any time exceed $15,000,000.</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Asset Dispositions</w:t>
      </w:r>
      <w:r>
        <w:rPr>
          <w:rFonts w:ascii="Arial" w:cs="Arial" w:eastAsia="Arial" w:hAnsi="Arial"/>
          <w:sz w:val="18"/>
          <w:szCs w:val="18"/>
          <w:color w:val="auto"/>
        </w:rPr>
        <w:t>. WIL-Ireland shall not, and shall not permit any Restricted Subsidiary to, Dispose of any assets to any Person, except that:</w:t>
      </w:r>
    </w:p>
    <w:p>
      <w:pPr>
        <w:spacing w:after="0" w:line="170" w:lineRule="exact"/>
        <w:rPr>
          <w:sz w:val="20"/>
          <w:szCs w:val="20"/>
          <w:color w:val="auto"/>
        </w:rPr>
      </w:pPr>
    </w:p>
    <w:p>
      <w:pPr>
        <w:ind w:right="480" w:firstLine="1305"/>
        <w:spacing w:after="0" w:line="277" w:lineRule="auto"/>
        <w:tabs>
          <w:tab w:leader="none" w:pos="194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Obligor or any Specified Group Member may Dispose of assets to any Obligor or any Specified Group Member that is a Wholly-Owned Subsidiary;</w:t>
      </w:r>
    </w:p>
    <w:p>
      <w:pPr>
        <w:spacing w:after="0" w:line="170" w:lineRule="exact"/>
        <w:rPr>
          <w:rFonts w:ascii="Arial" w:cs="Arial" w:eastAsia="Arial" w:hAnsi="Arial"/>
          <w:sz w:val="18"/>
          <w:szCs w:val="18"/>
          <w:color w:val="auto"/>
        </w:rPr>
      </w:pPr>
    </w:p>
    <w:p>
      <w:pPr>
        <w:ind w:right="300" w:firstLine="1305"/>
        <w:spacing w:after="0" w:line="277" w:lineRule="auto"/>
        <w:tabs>
          <w:tab w:leader="none" w:pos="195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Other Subsidiaries Group Member may Dispose of assets to any Obligor, any Specified Group Member or any other Other Subsidiaries Group Member;</w:t>
      </w:r>
    </w:p>
    <w:p>
      <w:pPr>
        <w:spacing w:after="0" w:line="170" w:lineRule="exact"/>
        <w:rPr>
          <w:rFonts w:ascii="Arial" w:cs="Arial" w:eastAsia="Arial" w:hAnsi="Arial"/>
          <w:sz w:val="18"/>
          <w:szCs w:val="18"/>
          <w:color w:val="auto"/>
        </w:rPr>
      </w:pPr>
    </w:p>
    <w:p>
      <w:pPr>
        <w:ind w:right="140" w:firstLine="1305"/>
        <w:spacing w:after="0" w:line="279" w:lineRule="auto"/>
        <w:tabs>
          <w:tab w:leader="none" w:pos="195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any Obligor or any Specified Group Member may Dispose of assets to any Other Subsidiaries Group Member or any Specified Group Member that is not a Wholly-Owned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value of all assets Disposed of in reliance on this </w:t>
      </w:r>
      <w:r>
        <w:rPr>
          <w:rFonts w:ascii="Arial" w:cs="Arial" w:eastAsia="Arial" w:hAnsi="Arial"/>
          <w:sz w:val="17"/>
          <w:szCs w:val="17"/>
          <w:u w:val="single" w:color="auto"/>
          <w:color w:val="auto"/>
        </w:rPr>
        <w:t>Section 8.05(c)</w:t>
      </w:r>
      <w:r>
        <w:rPr>
          <w:rFonts w:ascii="Arial" w:cs="Arial" w:eastAsia="Arial" w:hAnsi="Arial"/>
          <w:sz w:val="17"/>
          <w:szCs w:val="17"/>
          <w:color w:val="auto"/>
        </w:rPr>
        <w:t xml:space="preserve"> (net of the value of any such assets subsequently transferred to any Obligor or any Specified Group Member) since the Effective Date, together with the aggregate amount of all Investments made pursuant to </w:t>
      </w:r>
      <w:r>
        <w:rPr>
          <w:rFonts w:ascii="Arial" w:cs="Arial" w:eastAsia="Arial" w:hAnsi="Arial"/>
          <w:sz w:val="17"/>
          <w:szCs w:val="17"/>
          <w:u w:val="single" w:color="auto"/>
          <w:color w:val="auto"/>
        </w:rPr>
        <w:t>Section 8.06(f)</w:t>
      </w:r>
      <w:r>
        <w:rPr>
          <w:rFonts w:ascii="Arial" w:cs="Arial" w:eastAsia="Arial" w:hAnsi="Arial"/>
          <w:sz w:val="17"/>
          <w:szCs w:val="17"/>
          <w:color w:val="auto"/>
        </w:rPr>
        <w:t xml:space="preserve"> and then outstanding, shall not exceed $200,000,000;</w:t>
      </w:r>
    </w:p>
    <w:p>
      <w:pPr>
        <w:spacing w:after="0" w:line="171" w:lineRule="exact"/>
        <w:rPr>
          <w:rFonts w:ascii="Arial" w:cs="Arial" w:eastAsia="Arial" w:hAnsi="Arial"/>
          <w:sz w:val="17"/>
          <w:szCs w:val="17"/>
          <w:color w:val="auto"/>
        </w:rPr>
      </w:pPr>
    </w:p>
    <w:p>
      <w:pPr>
        <w:ind w:firstLine="1305"/>
        <w:spacing w:after="0" w:line="297" w:lineRule="auto"/>
        <w:tabs>
          <w:tab w:leader="none" w:pos="1952"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subject to compliance with the provisions of </w:t>
      </w:r>
      <w:r>
        <w:rPr>
          <w:rFonts w:ascii="Arial" w:cs="Arial" w:eastAsia="Arial" w:hAnsi="Arial"/>
          <w:sz w:val="16"/>
          <w:szCs w:val="16"/>
          <w:u w:val="single" w:color="auto"/>
          <w:color w:val="auto"/>
        </w:rPr>
        <w:t>Sections 2.06(c)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2.08(e)</w:t>
      </w:r>
      <w:r>
        <w:rPr>
          <w:rFonts w:ascii="Arial" w:cs="Arial" w:eastAsia="Arial" w:hAnsi="Arial"/>
          <w:sz w:val="16"/>
          <w:szCs w:val="16"/>
          <w:color w:val="auto"/>
        </w:rPr>
        <w:t>, WIL-Ireland and its Restricted Subsidiaries may consummate the Land Rig Sale, so long as (i) at the time thereof and immediately after giving effect thereto, no Default or Event of Default shall have occurred and be continuing, (ii) at least 60% of the consideration received by WIL-Ireland and its Restricted Subsidiaries in respect of the Land Rig Sale shall be cash or Cash Equivalents and (iii) the consideration received in respect of the Land Rig Sale shall be equal to or greater than the fair market value of the assets subject to the Land Rig Sale (as reasonably determined by a Principal Financial Officer of WIL-Ireland, and if requested by the Administrative Agent,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WIL-Ireland shall deliver a certificate of a Principal Financial Officer of WIL-Ireland certifying as to the foregoing);</w:t>
      </w:r>
    </w:p>
    <w:p>
      <w:pPr>
        <w:spacing w:after="0" w:line="225" w:lineRule="exact"/>
        <w:rPr>
          <w:sz w:val="20"/>
          <w:szCs w:val="20"/>
          <w:color w:val="auto"/>
        </w:rPr>
      </w:pPr>
    </w:p>
    <w:p>
      <w:pPr>
        <w:ind w:left="1960" w:hanging="655"/>
        <w:spacing w:after="0"/>
        <w:tabs>
          <w:tab w:leader="none" w:pos="196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WIL-Ireland and its Restricted Subsidiaries may Dispose of inventory or obsolete or worn-out property in the ordinary course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11" w:lineRule="exact"/>
        <w:rPr>
          <w:sz w:val="20"/>
          <w:szCs w:val="20"/>
          <w:color w:val="auto"/>
        </w:rPr>
      </w:pPr>
    </w:p>
    <w:p>
      <w:pPr>
        <w:ind w:right="140" w:firstLine="1305"/>
        <w:spacing w:after="0" w:line="277" w:lineRule="auto"/>
        <w:tabs>
          <w:tab w:leader="none" w:pos="1949" w:val="left"/>
        </w:tabs>
        <w:numPr>
          <w:ilvl w:val="1"/>
          <w:numId w:val="195"/>
        </w:numPr>
        <w:rPr>
          <w:rFonts w:ascii="Arial" w:cs="Arial" w:eastAsia="Arial" w:hAnsi="Arial"/>
          <w:sz w:val="18"/>
          <w:szCs w:val="18"/>
          <w:color w:val="auto"/>
        </w:rPr>
      </w:pPr>
      <w:r>
        <w:rPr>
          <w:rFonts w:ascii="Arial" w:cs="Arial" w:eastAsia="Arial" w:hAnsi="Arial"/>
          <w:sz w:val="18"/>
          <w:szCs w:val="18"/>
          <w:color w:val="auto"/>
        </w:rPr>
        <w:t xml:space="preserve">WIL-Ireland and its Restricted Subsidiaries may make Investments permitted by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and Restricted Payments permitted by </w:t>
      </w:r>
      <w:r>
        <w:rPr>
          <w:rFonts w:ascii="Arial" w:cs="Arial" w:eastAsia="Arial" w:hAnsi="Arial"/>
          <w:sz w:val="18"/>
          <w:szCs w:val="18"/>
          <w:u w:val="single" w:color="auto"/>
          <w:color w:val="auto"/>
        </w:rPr>
        <w:t>Section 8.08</w:t>
      </w:r>
      <w:r>
        <w:rPr>
          <w:rFonts w:ascii="Arial" w:cs="Arial" w:eastAsia="Arial" w:hAnsi="Arial"/>
          <w:sz w:val="18"/>
          <w:szCs w:val="18"/>
          <w:color w:val="auto"/>
        </w:rPr>
        <w:t>, in each case to the extent constituting Dispositions;</w:t>
      </w:r>
    </w:p>
    <w:p>
      <w:pPr>
        <w:spacing w:after="0" w:line="170" w:lineRule="exact"/>
        <w:rPr>
          <w:rFonts w:ascii="Arial" w:cs="Arial" w:eastAsia="Arial" w:hAnsi="Arial"/>
          <w:sz w:val="18"/>
          <w:szCs w:val="18"/>
          <w:color w:val="auto"/>
        </w:rPr>
      </w:pPr>
    </w:p>
    <w:p>
      <w:pPr>
        <w:ind w:right="60" w:firstLine="1305"/>
        <w:spacing w:after="0" w:line="277" w:lineRule="auto"/>
        <w:tabs>
          <w:tab w:leader="none" w:pos="1965"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any Disposition of Receivables and Receivables Related Security in connection with any Permitted Factoring Transaction shall be permitted and any Permitted Customer Notes Disposition shall be permitted;</w:t>
      </w:r>
    </w:p>
    <w:p>
      <w:pPr>
        <w:spacing w:after="0" w:line="170" w:lineRule="exact"/>
        <w:rPr>
          <w:rFonts w:ascii="Arial" w:cs="Arial" w:eastAsia="Arial" w:hAnsi="Arial"/>
          <w:sz w:val="18"/>
          <w:szCs w:val="18"/>
          <w:color w:val="auto"/>
        </w:rPr>
      </w:pPr>
    </w:p>
    <w:p>
      <w:pPr>
        <w:ind w:right="20" w:firstLine="1305"/>
        <w:spacing w:after="0" w:line="277" w:lineRule="auto"/>
        <w:tabs>
          <w:tab w:leader="none" w:pos="1952"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any Disposition of assets resulting from a casualty event or condemnation proceeding, expropriation or other involuntary taking by a Governmental Authority shall be permitted;</w:t>
      </w:r>
    </w:p>
    <w:p>
      <w:pPr>
        <w:spacing w:after="0" w:line="170" w:lineRule="exact"/>
        <w:rPr>
          <w:rFonts w:ascii="Arial" w:cs="Arial" w:eastAsia="Arial" w:hAnsi="Arial"/>
          <w:sz w:val="18"/>
          <w:szCs w:val="18"/>
          <w:color w:val="auto"/>
        </w:rPr>
      </w:pPr>
    </w:p>
    <w:p>
      <w:pPr>
        <w:ind w:right="520" w:firstLine="1305"/>
        <w:spacing w:after="0" w:line="277" w:lineRule="auto"/>
        <w:tabs>
          <w:tab w:leader="none" w:pos="196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WIL-Ireland and its Restricted Subsidiaries may grant in the ordinary course of business any license of patents, trademarks, registrations therefor and other similar intellectual property;</w:t>
      </w:r>
    </w:p>
    <w:p>
      <w:pPr>
        <w:spacing w:after="0" w:line="170" w:lineRule="exact"/>
        <w:rPr>
          <w:rFonts w:ascii="Arial" w:cs="Arial" w:eastAsia="Arial" w:hAnsi="Arial"/>
          <w:sz w:val="18"/>
          <w:szCs w:val="18"/>
          <w:color w:val="auto"/>
        </w:rPr>
      </w:pPr>
    </w:p>
    <w:p>
      <w:pPr>
        <w:ind w:firstLine="1305"/>
        <w:spacing w:after="0" w:line="254" w:lineRule="auto"/>
        <w:tabs>
          <w:tab w:leader="none" w:pos="1953" w:val="left"/>
        </w:tabs>
        <w:numPr>
          <w:ilvl w:val="1"/>
          <w:numId w:val="195"/>
        </w:numPr>
        <w:rPr>
          <w:rFonts w:ascii="Arial" w:cs="Arial" w:eastAsia="Arial" w:hAnsi="Arial"/>
          <w:sz w:val="18"/>
          <w:szCs w:val="18"/>
          <w:color w:val="auto"/>
        </w:rPr>
      </w:pPr>
      <w:r>
        <w:rPr>
          <w:rFonts w:ascii="Arial" w:cs="Arial" w:eastAsia="Arial" w:hAnsi="Arial"/>
          <w:sz w:val="18"/>
          <w:szCs w:val="18"/>
          <w:color w:val="auto"/>
        </w:rPr>
        <w:t xml:space="preserve">subject to compliance with </w:t>
      </w:r>
      <w:r>
        <w:rPr>
          <w:rFonts w:ascii="Arial" w:cs="Arial" w:eastAsia="Arial" w:hAnsi="Arial"/>
          <w:sz w:val="18"/>
          <w:szCs w:val="18"/>
          <w:u w:val="single" w:color="auto"/>
          <w:color w:val="auto"/>
        </w:rPr>
        <w:t>Sections 2.06(c)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2.08(e)</w:t>
      </w:r>
      <w:r>
        <w:rPr>
          <w:rFonts w:ascii="Arial" w:cs="Arial" w:eastAsia="Arial" w:hAnsi="Arial"/>
          <w:sz w:val="18"/>
          <w:szCs w:val="18"/>
          <w:color w:val="auto"/>
        </w:rPr>
        <w:t>, WIL-Ireland and its Restricted Subsidiaries may Dispose of assets so long as (i) at the time thereof and immediately after giving effect thereto, no Default or Event of Default shall have occurred and be continuing, (ii) at least 75% of the consideration received in respect of such Disposition shall be cash or Cash Equivalents, (iii) the consideration received in respect of such Disposition shall be equal to or greater than the fair market value of the assets subject to such Disposition (as reasonably determined by a Principal Financial Officer of WIL-Ireland, and if requested by the Administrative Agent, WIL-Ireland shall deliver a certificate of a Principal Financial Officer of WIL-Ireland certifying as to the foregoing) and (iv) after giving pro forma effect to such Disposition, WIL-Ireland would be in compliance with the Financial Covenants (calculated as of the last day of the most recently ended Testing Period for which financial statements are available as if such Disposition had been made on the first day of such Testing Period);</w:t>
      </w:r>
    </w:p>
    <w:p>
      <w:pPr>
        <w:spacing w:after="0" w:line="192" w:lineRule="exact"/>
        <w:rPr>
          <w:rFonts w:ascii="Arial" w:cs="Arial" w:eastAsia="Arial" w:hAnsi="Arial"/>
          <w:sz w:val="18"/>
          <w:szCs w:val="18"/>
          <w:color w:val="auto"/>
        </w:rPr>
      </w:pPr>
    </w:p>
    <w:p>
      <w:pPr>
        <w:ind w:right="60" w:firstLine="1305"/>
        <w:spacing w:after="0" w:line="291" w:lineRule="auto"/>
        <w:tabs>
          <w:tab w:leader="none" w:pos="1952" w:val="left"/>
        </w:tabs>
        <w:numPr>
          <w:ilvl w:val="1"/>
          <w:numId w:val="195"/>
        </w:numPr>
        <w:rPr>
          <w:rFonts w:ascii="Arial" w:cs="Arial" w:eastAsia="Arial" w:hAnsi="Arial"/>
          <w:sz w:val="16"/>
          <w:szCs w:val="16"/>
          <w:color w:val="auto"/>
        </w:rPr>
      </w:pPr>
      <w:r>
        <w:rPr>
          <w:rFonts w:ascii="Arial" w:cs="Arial" w:eastAsia="Arial" w:hAnsi="Arial"/>
          <w:sz w:val="16"/>
          <w:szCs w:val="16"/>
          <w:color w:val="auto"/>
        </w:rPr>
        <w:t xml:space="preserve">Dispositions of surplus property in the ordinary course of business shall be permitted so long as (i) the aggregate fair market value of all such surplus property Disposed of pursuant to this </w:t>
      </w:r>
      <w:r>
        <w:rPr>
          <w:rFonts w:ascii="Arial" w:cs="Arial" w:eastAsia="Arial" w:hAnsi="Arial"/>
          <w:sz w:val="16"/>
          <w:szCs w:val="16"/>
          <w:u w:val="single" w:color="auto"/>
          <w:color w:val="auto"/>
        </w:rPr>
        <w:t>Section 8.05(k)</w:t>
      </w:r>
      <w:r>
        <w:rPr>
          <w:rFonts w:ascii="Arial" w:cs="Arial" w:eastAsia="Arial" w:hAnsi="Arial"/>
          <w:sz w:val="16"/>
          <w:szCs w:val="16"/>
          <w:color w:val="auto"/>
        </w:rPr>
        <w:t xml:space="preserve"> during the Fiscal Year ending December 31, 2016 does not exceed $75,000,000,</w:t>
      </w:r>
    </w:p>
    <w:p>
      <w:pPr>
        <w:ind w:right="20" w:firstLine="8"/>
        <w:spacing w:after="0" w:line="255" w:lineRule="auto"/>
        <w:tabs>
          <w:tab w:leader="none" w:pos="26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the aggregate fair market value of all such surplus property Disposed of pursuant to this </w:t>
      </w:r>
      <w:r>
        <w:rPr>
          <w:rFonts w:ascii="Arial" w:cs="Arial" w:eastAsia="Arial" w:hAnsi="Arial"/>
          <w:sz w:val="18"/>
          <w:szCs w:val="18"/>
          <w:u w:val="single" w:color="auto"/>
          <w:color w:val="auto"/>
        </w:rPr>
        <w:t>Section 8.05(k)</w:t>
      </w:r>
      <w:r>
        <w:rPr>
          <w:rFonts w:ascii="Arial" w:cs="Arial" w:eastAsia="Arial" w:hAnsi="Arial"/>
          <w:sz w:val="18"/>
          <w:szCs w:val="18"/>
          <w:color w:val="auto"/>
        </w:rPr>
        <w:t xml:space="preserve"> during the Fiscal Year ending December 31, 2017 does not exceed $50,000,000 and (iii) the aggregate fair market value of all such surplus property Disposed of pursuant to this Section 8.05(k) during any Fiscal Year thereafter does not exceed $25,000,000 for each such Fiscal Year;</w:t>
      </w:r>
    </w:p>
    <w:p>
      <w:pPr>
        <w:spacing w:after="0" w:line="190" w:lineRule="exact"/>
        <w:rPr>
          <w:rFonts w:ascii="Arial" w:cs="Arial" w:eastAsia="Arial" w:hAnsi="Arial"/>
          <w:sz w:val="18"/>
          <w:szCs w:val="18"/>
          <w:color w:val="auto"/>
        </w:rPr>
      </w:pPr>
    </w:p>
    <w:p>
      <w:pPr>
        <w:ind w:right="480" w:firstLine="1305"/>
        <w:spacing w:after="0" w:line="264" w:lineRule="auto"/>
        <w:tabs>
          <w:tab w:leader="none" w:pos="1966"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Dispositions of equipment in the ordinary course of business the proceeds of which are reinvested in the acquisition of other equipment of comparable value and useful in the business of WIL-Ireland and its Restricted Subsidiaries within 180 days of such Disposition shall be permitted;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341" w:right="259" w:bottom="0" w:gutter="0" w:footer="0" w:header="0"/>
        </w:sectPr>
      </w:pPr>
    </w:p>
    <w:bookmarkStart w:id="71" w:name="page72"/>
    <w:bookmarkEnd w:id="71"/>
    <w:p>
      <w:pPr>
        <w:ind w:left="1960" w:hanging="655"/>
        <w:spacing w:after="0"/>
        <w:tabs>
          <w:tab w:leader="none" w:pos="19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leases of real or personal property in the ordinary course of business shall be permitted; and</w:t>
      </w:r>
    </w:p>
    <w:p>
      <w:pPr>
        <w:spacing w:after="0" w:line="225" w:lineRule="exact"/>
        <w:rPr>
          <w:rFonts w:ascii="Arial" w:cs="Arial" w:eastAsia="Arial" w:hAnsi="Arial"/>
          <w:sz w:val="18"/>
          <w:szCs w:val="18"/>
          <w:color w:val="auto"/>
        </w:rPr>
      </w:pPr>
    </w:p>
    <w:p>
      <w:pPr>
        <w:ind w:right="260" w:firstLine="1305"/>
        <w:spacing w:after="0" w:line="277" w:lineRule="auto"/>
        <w:tabs>
          <w:tab w:leader="none" w:pos="195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WIL-Ireland and its Restricted Subsidiaries may Dispose of any individual piece of personal or real property with a fair market value not in excess of $30,000.</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 WIL-Ireland shall not, and shall not permit any Restricted Subsidiary to, make any Investments in any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w:t>
      </w:r>
    </w:p>
    <w:p>
      <w:pPr>
        <w:spacing w:after="0" w:line="211" w:lineRule="exact"/>
        <w:rPr>
          <w:sz w:val="20"/>
          <w:szCs w:val="20"/>
          <w:color w:val="auto"/>
        </w:rPr>
      </w:pPr>
    </w:p>
    <w:p>
      <w:pPr>
        <w:ind w:left="1940" w:hanging="635"/>
        <w:spacing w:after="0"/>
        <w:tabs>
          <w:tab w:leader="none" w:pos="19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rFonts w:ascii="Arial" w:cs="Arial" w:eastAsia="Arial" w:hAnsi="Arial"/>
          <w:sz w:val="18"/>
          <w:szCs w:val="18"/>
          <w:color w:val="auto"/>
        </w:rPr>
      </w:pPr>
    </w:p>
    <w:p>
      <w:pPr>
        <w:ind w:right="60" w:firstLine="1305"/>
        <w:spacing w:after="0" w:line="264" w:lineRule="auto"/>
        <w:tabs>
          <w:tab w:leader="none" w:pos="19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(i) Investments in Subsidiaries in existence on the Effective Date and (ii) other Investments in existence on the Effective Date and described on </w:t>
      </w:r>
      <w:r>
        <w:rPr>
          <w:rFonts w:ascii="Arial" w:cs="Arial" w:eastAsia="Arial" w:hAnsi="Arial"/>
          <w:sz w:val="18"/>
          <w:szCs w:val="18"/>
          <w:u w:val="single" w:color="auto"/>
          <w:color w:val="auto"/>
        </w:rPr>
        <w:t>Schedule 8.06</w:t>
      </w:r>
      <w:r>
        <w:rPr>
          <w:rFonts w:ascii="Arial" w:cs="Arial" w:eastAsia="Arial" w:hAnsi="Arial"/>
          <w:sz w:val="18"/>
          <w:szCs w:val="18"/>
          <w:color w:val="auto"/>
        </w:rPr>
        <w:t xml:space="preserve"> and any renewal or extension of any such Investments that does not increase the amount of the Investment being renewed or extended as determined as of such date of renewal or extension;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Investments by any Obligor or any Specified Group Member in any Obligor or any Specified Group Member that is a Wholly-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Owned Subsidiary;</w:t>
      </w:r>
    </w:p>
    <w:p>
      <w:pPr>
        <w:spacing w:after="0" w:line="210" w:lineRule="exact"/>
        <w:rPr>
          <w:rFonts w:ascii="Arial" w:cs="Arial" w:eastAsia="Arial" w:hAnsi="Arial"/>
          <w:sz w:val="17"/>
          <w:szCs w:val="17"/>
          <w:color w:val="auto"/>
        </w:rPr>
      </w:pPr>
    </w:p>
    <w:p>
      <w:pPr>
        <w:ind w:right="780" w:firstLine="1305"/>
        <w:spacing w:after="0" w:line="277" w:lineRule="auto"/>
        <w:tabs>
          <w:tab w:leader="none" w:pos="19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Investments by any Other Subsidiaries Group Member in any Obligor, any Specified Group Member or any other Other Subsidiaries Group Member;</w:t>
      </w:r>
    </w:p>
    <w:p>
      <w:pPr>
        <w:spacing w:after="0" w:line="170" w:lineRule="exact"/>
        <w:rPr>
          <w:rFonts w:ascii="Arial" w:cs="Arial" w:eastAsia="Arial" w:hAnsi="Arial"/>
          <w:sz w:val="18"/>
          <w:szCs w:val="18"/>
          <w:color w:val="auto"/>
        </w:rPr>
      </w:pPr>
    </w:p>
    <w:p>
      <w:pPr>
        <w:ind w:right="20" w:firstLine="1305"/>
        <w:spacing w:after="0" w:line="270" w:lineRule="auto"/>
        <w:tabs>
          <w:tab w:leader="none" w:pos="1949"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(i) Investments in Unrestricted Subsidiaries and (ii) Investments by any Obligor or any Specified Group Member in any Other Subsidiaries Group Member or any Specified Group Member that is not a Wholly-Owned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Default or Event of Default shall have occurred and be continuing at the time of and immediately after giving effect to any such Investment, (ii) after giving pro forma effect to the making of any such Investment, WIL-Ireland shall be in compliance with the Financial Covenants (in each case calculated as of the last day of the most recently ended Testing Period for which financial statements are available as if such Investment had been made on the first day of such Testing Period, and calculated on a pro forma basis to include any Indebtedness incurred to make such Investment (as if such Indebtedness was incurred on the first day of such Testing Period)), and (iii) the aggregate amount of all Investments made pursuant to this </w:t>
      </w:r>
      <w:r>
        <w:rPr>
          <w:rFonts w:ascii="Arial" w:cs="Arial" w:eastAsia="Arial" w:hAnsi="Arial"/>
          <w:sz w:val="17"/>
          <w:szCs w:val="17"/>
          <w:u w:val="single" w:color="auto"/>
          <w:color w:val="auto"/>
        </w:rPr>
        <w:t>Section 8.06(f)</w:t>
      </w:r>
      <w:r>
        <w:rPr>
          <w:rFonts w:ascii="Arial" w:cs="Arial" w:eastAsia="Arial" w:hAnsi="Arial"/>
          <w:sz w:val="17"/>
          <w:szCs w:val="17"/>
          <w:color w:val="auto"/>
        </w:rPr>
        <w:t xml:space="preserve"> and then outstanding, together with the aggregate value of all assets Disposed of in reliance on </w:t>
      </w:r>
      <w:r>
        <w:rPr>
          <w:rFonts w:ascii="Arial" w:cs="Arial" w:eastAsia="Arial" w:hAnsi="Arial"/>
          <w:sz w:val="17"/>
          <w:szCs w:val="17"/>
          <w:u w:val="single" w:color="auto"/>
          <w:color w:val="auto"/>
        </w:rPr>
        <w:t>Section 8.05(c)</w:t>
      </w:r>
      <w:r>
        <w:rPr>
          <w:rFonts w:ascii="Arial" w:cs="Arial" w:eastAsia="Arial" w:hAnsi="Arial"/>
          <w:sz w:val="17"/>
          <w:szCs w:val="17"/>
          <w:color w:val="auto"/>
        </w:rPr>
        <w:t xml:space="preserve"> (net of the value of any such assets subsequently transferred to any Obligor or any Specified Group Member) since the Effective Date, shall not exceed $200,000,000;</w:t>
      </w:r>
    </w:p>
    <w:p>
      <w:pPr>
        <w:spacing w:after="0" w:line="181" w:lineRule="exact"/>
        <w:rPr>
          <w:rFonts w:ascii="Arial" w:cs="Arial" w:eastAsia="Arial" w:hAnsi="Arial"/>
          <w:sz w:val="17"/>
          <w:szCs w:val="17"/>
          <w:color w:val="auto"/>
        </w:rPr>
      </w:pPr>
    </w:p>
    <w:p>
      <w:pPr>
        <w:ind w:right="360" w:firstLine="1305"/>
        <w:spacing w:after="0" w:line="264" w:lineRule="auto"/>
        <w:tabs>
          <w:tab w:leader="none" w:pos="196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accounts receivable arising in the ordinary course of business, and Investments received in connection with the bankruptcy or reorganization of suppliers and customers or in settlement of delinquent obligations of, and other disputes with, customers and suppliers to the extent reasonably necessary in order to prevent or limit loss;</w:t>
      </w:r>
    </w:p>
    <w:p>
      <w:pPr>
        <w:spacing w:after="0" w:line="181" w:lineRule="exact"/>
        <w:rPr>
          <w:rFonts w:ascii="Arial" w:cs="Arial" w:eastAsia="Arial" w:hAnsi="Arial"/>
          <w:sz w:val="18"/>
          <w:szCs w:val="18"/>
          <w:color w:val="auto"/>
        </w:rPr>
      </w:pPr>
    </w:p>
    <w:p>
      <w:pPr>
        <w:ind w:right="20" w:firstLine="1305"/>
        <w:spacing w:after="0" w:line="264" w:lineRule="auto"/>
        <w:tabs>
          <w:tab w:leader="none" w:pos="195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Investments in the Designated Joint Venture consisting of (i) contributions of the Designated Assets to the Designated Joint Venture and (ii) additional Investments in the Designated Joint Venture (whether in cash, Cash Equivalents or other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in the case of any Investment made pursuant to this </w:t>
      </w:r>
      <w:r>
        <w:rPr>
          <w:rFonts w:ascii="Arial" w:cs="Arial" w:eastAsia="Arial" w:hAnsi="Arial"/>
          <w:sz w:val="18"/>
          <w:szCs w:val="18"/>
          <w:u w:val="single" w:color="auto"/>
          <w:color w:val="auto"/>
        </w:rPr>
        <w:t>Section 8.06(h)</w:t>
      </w:r>
      <w:r>
        <w:rPr>
          <w:rFonts w:ascii="Arial" w:cs="Arial" w:eastAsia="Arial" w:hAnsi="Arial"/>
          <w:sz w:val="18"/>
          <w:szCs w:val="18"/>
          <w:color w:val="auto"/>
        </w:rPr>
        <w:t>, (x) no Default or Event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of Default shall have occurred and be continuing at the time of and immediately after giving effect to any such Investment and (y) after giving pro forma effect to the making of any such Investment, WIL-Ireland shall be in compliance with the Financial Covenants (in each case calculated as of the last day of the most recently ended Testing Period for which financial statements are available as if such Investment had been made on the first day of such Testing Period, and calculated on a pro forma basis to include any Indebtedness incurred to make such Investment (as if such Indebtedness was incurred on the first day of such Testing Period)) and (B) in the case of any Investment made pursuant to clause (ii) of this </w:t>
      </w:r>
      <w:r>
        <w:rPr>
          <w:rFonts w:ascii="Arial" w:cs="Arial" w:eastAsia="Arial" w:hAnsi="Arial"/>
          <w:sz w:val="17"/>
          <w:szCs w:val="17"/>
          <w:u w:val="single" w:color="auto"/>
          <w:color w:val="auto"/>
        </w:rPr>
        <w:t>Section 8.06(h)</w:t>
      </w:r>
      <w:r>
        <w:rPr>
          <w:rFonts w:ascii="Arial" w:cs="Arial" w:eastAsia="Arial" w:hAnsi="Arial"/>
          <w:sz w:val="17"/>
          <w:szCs w:val="17"/>
          <w:color w:val="auto"/>
        </w:rPr>
        <w:t>, the amount of such Investment, together with the aggregate amount of all other Investments made pursuant to such clause (ii) and outstanding at the time of such Investment, shall not exceed the Designated Joint Venture Investments Basket;</w:t>
      </w:r>
    </w:p>
    <w:p>
      <w:pPr>
        <w:spacing w:after="0" w:line="178" w:lineRule="exact"/>
        <w:rPr>
          <w:sz w:val="20"/>
          <w:szCs w:val="20"/>
          <w:color w:val="auto"/>
        </w:rPr>
      </w:pPr>
    </w:p>
    <w:p>
      <w:pPr>
        <w:ind w:left="1980" w:hanging="675"/>
        <w:spacing w:after="0"/>
        <w:tabs>
          <w:tab w:leader="none" w:pos="19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subject to the limitations set forth in clauses (d), (e) and (f) of this Section, Guarantees permitted by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Investments received in consideration for a Disposition permitted by </w:t>
      </w:r>
      <w:r>
        <w:rPr>
          <w:rFonts w:ascii="Arial" w:cs="Arial" w:eastAsia="Arial" w:hAnsi="Arial"/>
          <w:sz w:val="18"/>
          <w:szCs w:val="18"/>
          <w:u w:val="single" w:color="auto"/>
          <w:color w:val="auto"/>
        </w:rPr>
        <w:t>Section 8.05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1305"/>
        <w:spacing w:after="0" w:line="264" w:lineRule="auto"/>
        <w:tabs>
          <w:tab w:leader="none" w:pos="195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loans or advances to directors, officers and employees of any Restricted Subsidiary for expenses or other payments incident to such Person’s employment or association with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such advances and loans shall not exceed $2,500,000 at any time outstanding;</w:t>
      </w:r>
    </w:p>
    <w:p>
      <w:pPr>
        <w:spacing w:after="0" w:line="181" w:lineRule="exact"/>
        <w:rPr>
          <w:rFonts w:ascii="Arial" w:cs="Arial" w:eastAsia="Arial" w:hAnsi="Arial"/>
          <w:sz w:val="18"/>
          <w:szCs w:val="18"/>
          <w:color w:val="auto"/>
        </w:rPr>
      </w:pPr>
    </w:p>
    <w:p>
      <w:pPr>
        <w:ind w:firstLine="1305"/>
        <w:spacing w:after="0" w:line="277" w:lineRule="auto"/>
        <w:tabs>
          <w:tab w:leader="none" w:pos="196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Investments evidencing the right to receive a deferred purchase price or other consideration for the Disposition of Receivables and Receivables Related Security in connection with any Permitted Factoring Transaction;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Investments consisting of Swap Agreements permitted under </w:t>
      </w:r>
      <w:r>
        <w:rPr>
          <w:rFonts w:ascii="Arial" w:cs="Arial" w:eastAsia="Arial" w:hAnsi="Arial"/>
          <w:sz w:val="18"/>
          <w:szCs w:val="18"/>
          <w:u w:val="single" w:color="auto"/>
          <w:color w:val="auto"/>
        </w:rPr>
        <w:t>Section 8.07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other Investments in an aggregate amount not to exceed $125,000,000 at any one time outstanding;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Permitted Bond Hedge Transactions which constitute Investments.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purposes of determining the amount of any Investment, such amount shall be deemed to be the amount of such Investment when made, purchased or acquired (without adjustment for subsequent increases or decreases in the value of such Investment).</w:t>
      </w:r>
    </w:p>
    <w:p>
      <w:pPr>
        <w:sectPr>
          <w:pgSz w:w="11900" w:h="16838" w:orient="portrait"/>
          <w:cols w:equalWidth="0" w:num="1">
            <w:col w:w="11380"/>
          </w:cols>
          <w:pgMar w:left="240" w:top="733" w:right="279" w:bottom="85" w:gutter="0" w:footer="0" w:header="0"/>
        </w:sectPr>
      </w:pPr>
    </w:p>
    <w:bookmarkStart w:id="72" w:name="page73"/>
    <w:bookmarkEnd w:id="72"/>
    <w:p>
      <w:pPr>
        <w:spacing w:after="0" w:line="3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Swap Agreements</w:t>
      </w:r>
      <w:r>
        <w:rPr>
          <w:rFonts w:ascii="Arial" w:cs="Arial" w:eastAsia="Arial" w:hAnsi="Arial"/>
          <w:sz w:val="16"/>
          <w:szCs w:val="16"/>
          <w:color w:val="auto"/>
        </w:rPr>
        <w:t>. WIL-Ireland shall not, and shall not permit any Restricted Subsidiary to, enter into any Swap Agreement, except (a) Swap Agreements entered into to hedge or mitigate risks to which WIL-Ireland or any Restricted Subsidiary has actual exposure (other than those in respect of Capital Stock of WIL-Ireland or any of its Restricted Subsidiaries), including to hedge or mitigate foreign currency and commodity price risks to which WIL-Ireland or any Restricted Subsidiary has actual exposure, (b) Swap Agreements entered into in order to effectively cap, collar or exchange interest rates (from fixed to floating rates, from one floating rate to another floating rate or otherwise) with respect to any interest-bearing liability or investment of WIL-Ireland or any Restricted Subsidiary and (c) any Permitted Bond Hedge Transaction and any Permitted Warrant Transaction.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WIL-Ireland shall not, and shall not permit any Restricted Subsidiary to, declare or make, or agree to pay or make, directly or indirectly, any Restricted Payment, except:</w:t>
      </w:r>
    </w:p>
    <w:p>
      <w:pPr>
        <w:spacing w:after="0" w:line="170" w:lineRule="exact"/>
        <w:rPr>
          <w:sz w:val="20"/>
          <w:szCs w:val="20"/>
          <w:color w:val="auto"/>
        </w:rPr>
      </w:pPr>
    </w:p>
    <w:p>
      <w:pPr>
        <w:ind w:left="1940" w:hanging="635"/>
        <w:spacing w:after="0"/>
        <w:tabs>
          <w:tab w:leader="none" w:pos="194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WIL-Ireland may declare and pay dividends on its Capital Stock payable solely in additional Capital Stock (other than Disqualified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 Stock);</w:t>
      </w:r>
    </w:p>
    <w:p>
      <w:pPr>
        <w:spacing w:after="0" w:line="211" w:lineRule="exact"/>
        <w:rPr>
          <w:sz w:val="20"/>
          <w:szCs w:val="20"/>
          <w:color w:val="auto"/>
        </w:rPr>
      </w:pPr>
    </w:p>
    <w:p>
      <w:pPr>
        <w:ind w:right="100" w:firstLine="1305"/>
        <w:spacing w:after="0" w:line="342" w:lineRule="auto"/>
        <w:tabs>
          <w:tab w:leader="none" w:pos="1952" w:val="left"/>
        </w:tabs>
        <w:numPr>
          <w:ilvl w:val="1"/>
          <w:numId w:val="201"/>
        </w:numPr>
        <w:rPr>
          <w:rFonts w:ascii="Arial" w:cs="Arial" w:eastAsia="Arial" w:hAnsi="Arial"/>
          <w:sz w:val="16"/>
          <w:szCs w:val="16"/>
          <w:color w:val="auto"/>
        </w:rPr>
      </w:pPr>
      <w:r>
        <w:rPr>
          <w:rFonts w:ascii="Arial" w:cs="Arial" w:eastAsia="Arial" w:hAnsi="Arial"/>
          <w:sz w:val="16"/>
          <w:szCs w:val="16"/>
          <w:color w:val="auto"/>
        </w:rPr>
        <w:t>WIL-Ireland and its Restricted Subsidiaries may make Restricted Payments in exchange for, or out of the proceeds received from, any substantially concurrent issuance (other than to a Subsidiary) of additional Capital Stock of WIL-Ireland (other than Disqualified Capital Stock);</w:t>
      </w:r>
    </w:p>
    <w:p>
      <w:pPr>
        <w:spacing w:after="0" w:line="123" w:lineRule="exact"/>
        <w:rPr>
          <w:rFonts w:ascii="Arial" w:cs="Arial" w:eastAsia="Arial" w:hAnsi="Arial"/>
          <w:sz w:val="16"/>
          <w:szCs w:val="16"/>
          <w:color w:val="auto"/>
        </w:rPr>
      </w:pPr>
    </w:p>
    <w:p>
      <w:pPr>
        <w:ind w:right="100" w:firstLine="1305"/>
        <w:spacing w:after="0" w:line="290" w:lineRule="auto"/>
        <w:tabs>
          <w:tab w:leader="none" w:pos="1955" w:val="left"/>
        </w:tabs>
        <w:numPr>
          <w:ilvl w:val="1"/>
          <w:numId w:val="201"/>
        </w:numPr>
        <w:rPr>
          <w:rFonts w:ascii="Arial" w:cs="Arial" w:eastAsia="Arial" w:hAnsi="Arial"/>
          <w:sz w:val="16"/>
          <w:szCs w:val="16"/>
          <w:color w:val="auto"/>
        </w:rPr>
      </w:pPr>
      <w:r>
        <w:rPr>
          <w:rFonts w:ascii="Arial" w:cs="Arial" w:eastAsia="Arial" w:hAnsi="Arial"/>
          <w:sz w:val="16"/>
          <w:szCs w:val="16"/>
          <w:color w:val="auto"/>
        </w:rPr>
        <w:t xml:space="preserve">(i) Restricted Subsidiaries that are wholly-owned by one or more Obligors and/or Specified Group Members may declare and pay dividends or make other distributions on account of, and make payments on account of the purchase, redemption, acquisition, cancellation or termination of, their Capital Stock and (ii) Restricted Subsidiaries that do not satisfy the requirements of clause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immediately above may pay dividends or make other distributions on account of, and make payments on account of the purchase, redemption, acquisition, cancellation or termination of, their Capital Stock ratably (or more favorably to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case of clause (ii), if any non-Wholly-Owned Subsidiary received cash proceeds from the issuance of any of its Capital Stock to one or more Persons that are not Affiliates of WIL-Ireland, such Subsidiary may declare and pay dividends non-ratably to holders of its Capital Stock that are not Affiliates of WIL-Ireland in an aggregate amount not to exceed the amount of such cash proceeds (to the extent such cash proceeds have not been used for any other transaction permitted hereunder);</w:t>
      </w:r>
    </w:p>
    <w:p>
      <w:pPr>
        <w:spacing w:after="0" w:line="166" w:lineRule="exact"/>
        <w:rPr>
          <w:rFonts w:ascii="Arial" w:cs="Arial" w:eastAsia="Arial" w:hAnsi="Arial"/>
          <w:sz w:val="16"/>
          <w:szCs w:val="16"/>
          <w:color w:val="auto"/>
        </w:rPr>
      </w:pPr>
    </w:p>
    <w:p>
      <w:pPr>
        <w:ind w:right="80" w:firstLine="1305"/>
        <w:spacing w:after="0" w:line="277" w:lineRule="auto"/>
        <w:tabs>
          <w:tab w:leader="none" w:pos="195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WIL-Ireland and its Restricted Subsidiaries may make any prepayments under this Agreement, the Term Loan Agreement and the 364-Day Revolving Credit Agreement in accordance with the terms thereof;</w:t>
      </w:r>
    </w:p>
    <w:p>
      <w:pPr>
        <w:spacing w:after="0" w:line="170" w:lineRule="exact"/>
        <w:rPr>
          <w:rFonts w:ascii="Arial" w:cs="Arial" w:eastAsia="Arial" w:hAnsi="Arial"/>
          <w:sz w:val="18"/>
          <w:szCs w:val="18"/>
          <w:color w:val="auto"/>
        </w:rPr>
      </w:pPr>
    </w:p>
    <w:p>
      <w:pPr>
        <w:ind w:right="80" w:firstLine="1305"/>
        <w:spacing w:after="0" w:line="259" w:lineRule="auto"/>
        <w:tabs>
          <w:tab w:leader="none" w:pos="1955" w:val="left"/>
        </w:tabs>
        <w:numPr>
          <w:ilvl w:val="1"/>
          <w:numId w:val="201"/>
        </w:numPr>
        <w:rPr>
          <w:rFonts w:ascii="Arial" w:cs="Arial" w:eastAsia="Arial" w:hAnsi="Arial"/>
          <w:sz w:val="18"/>
          <w:szCs w:val="18"/>
          <w:color w:val="auto"/>
        </w:rPr>
      </w:pPr>
      <w:r>
        <w:rPr>
          <w:rFonts w:ascii="Arial" w:cs="Arial" w:eastAsia="Arial" w:hAnsi="Arial"/>
          <w:sz w:val="18"/>
          <w:szCs w:val="18"/>
          <w:color w:val="auto"/>
        </w:rPr>
        <w:t xml:space="preserve">so long as no Default or Event of Default has occurred and is continuing at the time thereof or immediately after giving effect thereto, WIL-Ireland and its Restricted Subsidiaries may (i) Redeem any Existing Senior Notes or other senior notes, in each case, that have a stated maturity date prior to the Extended Maturity Date and (ii) Redeem any Existing Senior Notes or other senior notes with the proceeds of (A) Permitted Refinancing Indebtedness or (B) Indebtedness incurred under </w:t>
      </w:r>
      <w:r>
        <w:rPr>
          <w:rFonts w:ascii="Arial" w:cs="Arial" w:eastAsia="Arial" w:hAnsi="Arial"/>
          <w:sz w:val="18"/>
          <w:szCs w:val="18"/>
          <w:u w:val="single" w:color="auto"/>
          <w:color w:val="auto"/>
        </w:rPr>
        <w:t>Section 8.01(j)</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(l)</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40" w:firstLine="1305"/>
        <w:spacing w:after="0" w:line="288" w:lineRule="auto"/>
        <w:tabs>
          <w:tab w:leader="none" w:pos="1949" w:val="left"/>
        </w:tabs>
        <w:numPr>
          <w:ilvl w:val="1"/>
          <w:numId w:val="201"/>
        </w:numPr>
        <w:rPr>
          <w:rFonts w:ascii="Arial" w:cs="Arial" w:eastAsia="Arial" w:hAnsi="Arial"/>
          <w:sz w:val="16"/>
          <w:szCs w:val="16"/>
          <w:color w:val="auto"/>
        </w:rPr>
      </w:pPr>
      <w:r>
        <w:rPr>
          <w:rFonts w:ascii="Arial" w:cs="Arial" w:eastAsia="Arial" w:hAnsi="Arial"/>
          <w:sz w:val="16"/>
          <w:szCs w:val="16"/>
          <w:color w:val="auto"/>
        </w:rPr>
        <w:t>WIL-Ireland and its Restricted Subsidiaries may redeem, repurchase or otherwise acquire or retire for value Capital Stock of WIL-Ireland or any Restricted Subsidiary held by officers, directors or employees or former officers, directors or employees (or their transferees, estates or beneficiaries under their estates), either (i) upon any such individual’s death, disability, retirement, severance or termination of employment or service or</w:t>
      </w:r>
    </w:p>
    <w:p>
      <w:pPr>
        <w:ind w:right="140" w:firstLine="8"/>
        <w:spacing w:after="0" w:line="255" w:lineRule="auto"/>
        <w:tabs>
          <w:tab w:leader="none" w:pos="26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pursuant to any equity subscription agreement, stock option agreement, restricted stock agreement, restricted stock unit agreement, stockholders’ agreement or similar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in any case, that the aggregate cash consideration paid for all such redemptions, repurchases or other acquisitions or retirements shall not exceed $10,000,000 during any calendar year;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76" w:lineRule="auto"/>
        <w:tabs>
          <w:tab w:leader="none" w:pos="1965" w:val="left"/>
        </w:tabs>
        <w:numPr>
          <w:ilvl w:val="1"/>
          <w:numId w:val="203"/>
        </w:numPr>
        <w:rPr>
          <w:rFonts w:ascii="Arial" w:cs="Arial" w:eastAsia="Arial" w:hAnsi="Arial"/>
          <w:sz w:val="17"/>
          <w:szCs w:val="17"/>
          <w:color w:val="auto"/>
        </w:rPr>
      </w:pPr>
      <w:r>
        <w:rPr>
          <w:rFonts w:ascii="Arial" w:cs="Arial" w:eastAsia="Arial" w:hAnsi="Arial"/>
          <w:sz w:val="17"/>
          <w:szCs w:val="17"/>
          <w:color w:val="auto"/>
        </w:rPr>
        <w:t>WIL-Ireland and each Restricted Subsidiary may consummate (i) repurchases, redemptions or other acquisitions or retirements for value of Capital Stock deemed to occur upon the exercise of stock options, warrants, rights to acquire Capital Stock or other convertible securities to the extent such Capital Stock represents a portion of the exercise or exchange price thereof and (ii) any repurchases, redemptions or other acquisitions or retirements for value of Capital Stock made or deemed to be made in lieu of withholding Taxes in connection with any exercise, vesting, settlement or exchange, as applicable, of stock options, warrants, restricted stock, restricted stock units or other similar rights;</w:t>
      </w:r>
    </w:p>
    <w:p>
      <w:pPr>
        <w:spacing w:after="0" w:line="172" w:lineRule="exact"/>
        <w:rPr>
          <w:rFonts w:ascii="Arial" w:cs="Arial" w:eastAsia="Arial" w:hAnsi="Arial"/>
          <w:sz w:val="17"/>
          <w:szCs w:val="17"/>
          <w:color w:val="auto"/>
        </w:rPr>
      </w:pPr>
    </w:p>
    <w:p>
      <w:pPr>
        <w:ind w:left="1960" w:hanging="655"/>
        <w:spacing w:after="0"/>
        <w:tabs>
          <w:tab w:leader="none" w:pos="19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WIL-Ireland and each Restricted Subsidiary may make payments of cash in lieu of issuing fractional Capital Stock;</w:t>
      </w:r>
    </w:p>
    <w:p>
      <w:pPr>
        <w:spacing w:after="0" w:line="225" w:lineRule="exact"/>
        <w:rPr>
          <w:rFonts w:ascii="Arial" w:cs="Arial" w:eastAsia="Arial" w:hAnsi="Arial"/>
          <w:sz w:val="18"/>
          <w:szCs w:val="18"/>
          <w:color w:val="auto"/>
        </w:rPr>
      </w:pPr>
    </w:p>
    <w:p>
      <w:pPr>
        <w:ind w:right="40" w:firstLine="1305"/>
        <w:spacing w:after="0" w:line="277" w:lineRule="auto"/>
        <w:tabs>
          <w:tab w:leader="none" w:pos="1966" w:val="left"/>
        </w:tabs>
        <w:numPr>
          <w:ilvl w:val="1"/>
          <w:numId w:val="203"/>
        </w:numPr>
        <w:rPr>
          <w:rFonts w:ascii="Arial" w:cs="Arial" w:eastAsia="Arial" w:hAnsi="Arial"/>
          <w:sz w:val="18"/>
          <w:szCs w:val="18"/>
          <w:color w:val="auto"/>
        </w:rPr>
      </w:pPr>
      <w:r>
        <w:rPr>
          <w:rFonts w:ascii="Arial" w:cs="Arial" w:eastAsia="Arial" w:hAnsi="Arial"/>
          <w:sz w:val="18"/>
          <w:szCs w:val="18"/>
          <w:color w:val="auto"/>
        </w:rPr>
        <w:t xml:space="preserve">WIL-Ireland and each Restricted Subsidiary may make payments or distributions to dissenting stockholders pursuant to applicable law in connection with a merger, consolidation or transfer of assets that complies with the provisions of </w:t>
      </w:r>
      <w:r>
        <w:rPr>
          <w:rFonts w:ascii="Arial" w:cs="Arial" w:eastAsia="Arial" w:hAnsi="Arial"/>
          <w:sz w:val="18"/>
          <w:szCs w:val="18"/>
          <w:u w:val="single" w:color="auto"/>
          <w:color w:val="auto"/>
        </w:rPr>
        <w:t>Sections 8.02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60" w:firstLine="1305"/>
        <w:spacing w:after="0" w:line="293" w:lineRule="auto"/>
        <w:tabs>
          <w:tab w:leader="none" w:pos="1953" w:val="left"/>
        </w:tabs>
        <w:numPr>
          <w:ilvl w:val="1"/>
          <w:numId w:val="203"/>
        </w:numPr>
        <w:rPr>
          <w:rFonts w:ascii="Arial" w:cs="Arial" w:eastAsia="Arial" w:hAnsi="Arial"/>
          <w:sz w:val="16"/>
          <w:szCs w:val="16"/>
          <w:color w:val="auto"/>
        </w:rPr>
      </w:pPr>
      <w:r>
        <w:rPr>
          <w:rFonts w:ascii="Arial" w:cs="Arial" w:eastAsia="Arial" w:hAnsi="Arial"/>
          <w:sz w:val="16"/>
          <w:szCs w:val="16"/>
          <w:color w:val="auto"/>
        </w:rPr>
        <w:t xml:space="preserve">WIL-Ireland and its Restricted Subsidiaries may make other Restricted Payments, provided that (i) no Default or Event of Default shall have occurred and be continuing at the time of such Restricted Payment or immediately after giving effect thereto, (ii) the amount of such Restricted Payment, together with the aggregate amount of all other Restricted Payments made by WIL-Ireland and its Restricted Subsidiaries pursuant to this </w:t>
      </w:r>
      <w:r>
        <w:rPr>
          <w:rFonts w:ascii="Arial" w:cs="Arial" w:eastAsia="Arial" w:hAnsi="Arial"/>
          <w:sz w:val="16"/>
          <w:szCs w:val="16"/>
          <w:u w:val="single" w:color="auto"/>
          <w:color w:val="auto"/>
        </w:rPr>
        <w:t>Section 8.08(j)</w:t>
      </w:r>
      <w:r>
        <w:rPr>
          <w:rFonts w:ascii="Arial" w:cs="Arial" w:eastAsia="Arial" w:hAnsi="Arial"/>
          <w:sz w:val="16"/>
          <w:szCs w:val="16"/>
          <w:color w:val="auto"/>
        </w:rPr>
        <w:t xml:space="preserve"> since the Effective Date, is less than the amount of the Restricted Payment Basket at such time, and (iii) after giving pro forma effect to the making of such Restricted Payment, the Total Leverage Ratio would be less than 4.00 to 1.00 (calculated as of the last day of the most recently ended Testing Period for which financial statements are available as if such Restricted Payment had been made on the first day of such Testing Period);</w:t>
      </w:r>
    </w:p>
    <w:p>
      <w:pPr>
        <w:spacing w:after="0" w:line="164" w:lineRule="exact"/>
        <w:rPr>
          <w:rFonts w:ascii="Arial" w:cs="Arial" w:eastAsia="Arial" w:hAnsi="Arial"/>
          <w:sz w:val="16"/>
          <w:szCs w:val="16"/>
          <w:color w:val="auto"/>
        </w:rPr>
      </w:pPr>
    </w:p>
    <w:p>
      <w:pPr>
        <w:ind w:right="120" w:firstLine="1305"/>
        <w:spacing w:after="0" w:line="264" w:lineRule="auto"/>
        <w:tabs>
          <w:tab w:leader="none" w:pos="195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 xml:space="preserve">so long as no Default or Event of Default shall have occurred and be continuing, WIL-Ireland and its Restricted Subsidiaries may repay or prepay intercompany loans or advances;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intercompany loans or advances are Subordinated, such repayment or prepayment shall not violate the subordination terms applicable thereto; and</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WIL-Ireland and its Restricted Subsidiaries may (i) pay the purchase price for any Permitted Bond Hedge Transaction and</w:t>
      </w:r>
    </w:p>
    <w:p>
      <w:pPr>
        <w:spacing w:after="0" w:line="34" w:lineRule="exact"/>
        <w:rPr>
          <w:rFonts w:ascii="Arial" w:cs="Arial" w:eastAsia="Arial" w:hAnsi="Arial"/>
          <w:sz w:val="17"/>
          <w:szCs w:val="17"/>
          <w:color w:val="auto"/>
        </w:rPr>
      </w:pPr>
    </w:p>
    <w:p>
      <w:pPr>
        <w:jc w:val="both"/>
        <w:ind w:right="220" w:firstLine="8"/>
        <w:spacing w:after="0" w:line="255" w:lineRule="auto"/>
        <w:tabs>
          <w:tab w:leader="none" w:pos="26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settle any related Permitted Warrant Transaction (A) by delivery of shares of WIL-Ireland’s common stock upon settlement thereof or (B) by (x) set-off against the related Permitted Bond Hedge Transaction or (y) payment of an early termination amount thereof in common stock upon any early termination thereof.</w:t>
      </w:r>
    </w:p>
    <w:p>
      <w:pPr>
        <w:spacing w:after="0" w:line="19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8.09</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ectPr>
          <w:pgSz w:w="11900" w:h="16874" w:orient="portrait"/>
          <w:cols w:equalWidth="0" w:num="1">
            <w:col w:w="11400"/>
          </w:cols>
          <w:pgMar w:left="240" w:top="125" w:right="259" w:bottom="0" w:gutter="0" w:footer="0" w:header="0"/>
        </w:sectPr>
      </w:pPr>
    </w:p>
    <w:bookmarkStart w:id="73" w:name="page74"/>
    <w:bookmarkEnd w:id="73"/>
    <w:p>
      <w:pPr>
        <w:spacing w:after="0" w:line="36" w:lineRule="exact"/>
        <w:rPr>
          <w:sz w:val="20"/>
          <w:szCs w:val="20"/>
          <w:color w:val="auto"/>
        </w:rPr>
      </w:pPr>
    </w:p>
    <w:p>
      <w:pPr>
        <w:ind w:right="480" w:firstLine="1305"/>
        <w:spacing w:after="0" w:line="277" w:lineRule="auto"/>
        <w:tabs>
          <w:tab w:leader="none" w:pos="1942"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Specified Senior Leverage Ratio</w:t>
      </w:r>
      <w:r>
        <w:rPr>
          <w:rFonts w:ascii="Arial" w:cs="Arial" w:eastAsia="Arial" w:hAnsi="Arial"/>
          <w:sz w:val="18"/>
          <w:szCs w:val="18"/>
          <w:color w:val="auto"/>
        </w:rPr>
        <w:t>. WIL-Ireland shall not, as of the last day of any Fiscal Quarter, permit the Specified Senior Leverage Ratio to be greater than 2.50 to 1.00.</w:t>
      </w:r>
    </w:p>
    <w:p>
      <w:pPr>
        <w:spacing w:after="0" w:line="170" w:lineRule="exact"/>
        <w:rPr>
          <w:rFonts w:ascii="Arial" w:cs="Arial" w:eastAsia="Arial" w:hAnsi="Arial"/>
          <w:sz w:val="18"/>
          <w:szCs w:val="18"/>
          <w:color w:val="auto"/>
        </w:rPr>
      </w:pPr>
    </w:p>
    <w:p>
      <w:pPr>
        <w:ind w:right="580" w:firstLine="1305"/>
        <w:spacing w:after="0" w:line="277" w:lineRule="auto"/>
        <w:tabs>
          <w:tab w:leader="none" w:pos="1952"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Specified Asset Coverage Ratio</w:t>
      </w:r>
      <w:r>
        <w:rPr>
          <w:rFonts w:ascii="Arial" w:cs="Arial" w:eastAsia="Arial" w:hAnsi="Arial"/>
          <w:sz w:val="18"/>
          <w:szCs w:val="18"/>
          <w:color w:val="auto"/>
        </w:rPr>
        <w:t>. WIL-Ireland shall not, as of the last day of any Fiscal Quarter, permit the Specified Asset Coverage Ratio to be less than 4.00 to 1.00.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1305"/>
        <w:spacing w:after="0" w:line="277" w:lineRule="auto"/>
        <w:tabs>
          <w:tab w:leader="none" w:pos="1955"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Specified Leverage and LC Ratio</w:t>
      </w:r>
      <w:r>
        <w:rPr>
          <w:rFonts w:ascii="Arial" w:cs="Arial" w:eastAsia="Arial" w:hAnsi="Arial"/>
          <w:sz w:val="18"/>
          <w:szCs w:val="18"/>
          <w:color w:val="auto"/>
        </w:rPr>
        <w:t>. WIL-Ireland shall not, as of the last day of any Fiscal Quarter, permit the Specified Leverage and LC Ratio to be greater than 3.50 to 1.00.</w:t>
      </w:r>
    </w:p>
    <w:p>
      <w:pPr>
        <w:spacing w:after="0" w:line="170" w:lineRule="exact"/>
        <w:rPr>
          <w:rFonts w:ascii="Arial" w:cs="Arial" w:eastAsia="Arial" w:hAnsi="Arial"/>
          <w:sz w:val="18"/>
          <w:szCs w:val="18"/>
          <w:color w:val="auto"/>
        </w:rPr>
      </w:pPr>
    </w:p>
    <w:p>
      <w:pPr>
        <w:ind w:firstLine="1305"/>
        <w:spacing w:after="0" w:line="284" w:lineRule="auto"/>
        <w:tabs>
          <w:tab w:leader="none" w:pos="1952"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Current Asset Coverage Ratio</w:t>
      </w:r>
      <w:r>
        <w:rPr>
          <w:rFonts w:ascii="Arial" w:cs="Arial" w:eastAsia="Arial" w:hAnsi="Arial"/>
          <w:sz w:val="16"/>
          <w:szCs w:val="16"/>
          <w:color w:val="auto"/>
        </w:rPr>
        <w:t xml:space="preserve">. WIL-Ireland shall not, as of any Current Asset Coverage Ratio Test Date (commencing with the Current Asset Coverage Ratio Test Date occurring on September 30, 2018), permit the Current Asset Coverage Ratio to be less than 2.10 to 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Collateral Perfection Period ends after September 30, 2018, the Current Asset Coverage Ratio as of September 30, 2018 shall not be less than 1.50 to 1.00. For the avoidance of doubt, (i) the Current Asset Coverage Ratio is an Additional Financial Covenant, (ii) the 364-Day Revolving Credit Agreement is the Other Debt Agreement with respect thereto and (iii) WIL-Ireland is required to comply with the Current Asset Coverage Ratio as provided in this </w:t>
      </w:r>
      <w:r>
        <w:rPr>
          <w:rFonts w:ascii="Arial" w:cs="Arial" w:eastAsia="Arial" w:hAnsi="Arial"/>
          <w:sz w:val="16"/>
          <w:szCs w:val="16"/>
          <w:u w:val="single" w:color="auto"/>
          <w:color w:val="auto"/>
        </w:rPr>
        <w:t>Section 8.09(d)</w:t>
      </w:r>
      <w:r>
        <w:rPr>
          <w:rFonts w:ascii="Arial" w:cs="Arial" w:eastAsia="Arial" w:hAnsi="Arial"/>
          <w:sz w:val="16"/>
          <w:szCs w:val="16"/>
          <w:color w:val="auto"/>
        </w:rPr>
        <w:t xml:space="preserve"> solely by operation, and subject to the terms and conditions, of </w:t>
      </w: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anything to the contrary in this Agreement, upon the repayment in full of the 364-Day Revolving Credit Facility and the termination of all commitments thereunder, this</w:t>
      </w:r>
    </w:p>
    <w:p>
      <w:pPr>
        <w:spacing w:after="0" w:line="2" w:lineRule="exact"/>
        <w:rPr>
          <w:rFonts w:ascii="Arial" w:cs="Arial" w:eastAsia="Arial" w:hAnsi="Arial"/>
          <w:sz w:val="16"/>
          <w:szCs w:val="16"/>
          <w:color w:val="auto"/>
        </w:rPr>
      </w:pPr>
    </w:p>
    <w:p>
      <w:pPr>
        <w:jc w:val="both"/>
        <w:ind w:right="180"/>
        <w:spacing w:after="0" w:line="277" w:lineRule="auto"/>
        <w:rPr>
          <w:rFonts w:ascii="Arial" w:cs="Arial" w:eastAsia="Arial" w:hAnsi="Arial"/>
          <w:sz w:val="16"/>
          <w:szCs w:val="16"/>
          <w:color w:val="auto"/>
        </w:rPr>
      </w:pPr>
      <w:r>
        <w:rPr>
          <w:rFonts w:ascii="Arial" w:cs="Arial" w:eastAsia="Arial" w:hAnsi="Arial"/>
          <w:sz w:val="17"/>
          <w:szCs w:val="17"/>
          <w:u w:val="single" w:color="auto"/>
          <w:color w:val="auto"/>
        </w:rPr>
        <w:t>Section 8.09(d)</w:t>
      </w:r>
      <w:r>
        <w:rPr>
          <w:rFonts w:ascii="Arial" w:cs="Arial" w:eastAsia="Arial" w:hAnsi="Arial"/>
          <w:sz w:val="17"/>
          <w:szCs w:val="17"/>
          <w:color w:val="auto"/>
        </w:rPr>
        <w:t xml:space="preserve"> shall be of no further force or effect. As used in this </w:t>
      </w:r>
      <w:r>
        <w:rPr>
          <w:rFonts w:ascii="Arial" w:cs="Arial" w:eastAsia="Arial" w:hAnsi="Arial"/>
          <w:sz w:val="17"/>
          <w:szCs w:val="17"/>
          <w:u w:val="single" w:color="auto"/>
          <w:color w:val="auto"/>
        </w:rPr>
        <w:t>Section 8.09</w:t>
      </w:r>
      <w:r>
        <w:rPr>
          <w:rFonts w:ascii="Arial" w:cs="Arial" w:eastAsia="Arial" w:hAnsi="Arial"/>
          <w:sz w:val="17"/>
          <w:szCs w:val="17"/>
          <w:color w:val="auto"/>
        </w:rPr>
        <w:t>, each of the terms Current Asset Coverage Ratio Test Date, Current Asset Coverage Ratio and Collateral Perfection Period shall have the meanings assigned thereto in the 364-Day Revolving Credit Agreement (taking into account all additional defined terms embedded therein, as such embedded terms are defined in the 364-Day Revolving Credit Agreement).</w:t>
      </w:r>
    </w:p>
    <w:p>
      <w:pPr>
        <w:spacing w:after="0" w:line="173"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Limitation on Transactions with Affiliates</w:t>
      </w:r>
      <w:r>
        <w:rPr>
          <w:rFonts w:ascii="Arial" w:cs="Arial" w:eastAsia="Arial" w:hAnsi="Arial"/>
          <w:sz w:val="16"/>
          <w:szCs w:val="16"/>
          <w:color w:val="auto"/>
        </w:rPr>
        <w:t xml:space="preserve">. WIL-Ireland shall not, and shall not permit any Restricted Subsidiary to, directly or indirectly, conduct any business or enter into, renew, extend or permit to exist any transaction or series of related transactions (including any purchase, sale, lease or other exchange of property or the rendering of any service) with any Affiliate that is not either (a) WIL-Ireland or one of WIL-Ireland’s Restricted Subsidiaries or a Person that becomes, pursuant to a Redomestication, a part of the consolidated group that includes WIL-Ireland, or (b) Weatherford\Al-Rushaid Limited or Weatherford Saudi Arabia Limited, other than on fair and reasonable terms (taking all related transactions into account and considering the terms of such related transactions in their entirety) substantially as favorable to WIL-Ireland or such Restricted Subsidiary, as the case may be, as would be available in a comparable arm’s length transaction with a Person that is not an Affiliate. Notwithstanding the foregoing, the restrictions set forth in this covenant shall not apply to (i) Investments in Unrestricted Subsidiaries permitted by </w:t>
      </w:r>
      <w:r>
        <w:rPr>
          <w:rFonts w:ascii="Arial" w:cs="Arial" w:eastAsia="Arial" w:hAnsi="Arial"/>
          <w:sz w:val="16"/>
          <w:szCs w:val="16"/>
          <w:u w:val="single" w:color="auto"/>
          <w:color w:val="auto"/>
        </w:rPr>
        <w:t>Section 8.06</w:t>
      </w:r>
      <w:r>
        <w:rPr>
          <w:rFonts w:ascii="Arial" w:cs="Arial" w:eastAsia="Arial" w:hAnsi="Arial"/>
          <w:sz w:val="16"/>
          <w:szCs w:val="16"/>
          <w:color w:val="auto"/>
        </w:rPr>
        <w:t>, (ii) the payment of reasonable and customary regular fees to directors of an Obligor or a Restricted Subsidiary of such Obligor who are not employees of such Obligor; (iii) loans and advances permitted hereby to officers and employees of an Obligor and its respective Restricted Subsidiaries for travel, entertainment and moving and other relocation expenses made in direct furtherance and in the ordinary course of business of an Obligor and its Restricted Subsidiaries; (iv) any other transaction with any employee, officer or director of an Obligor or any of its Restricted Subsidiaries pursuant to employee benefit, compensation or indemnification arrangements entered into in the ordinary course of business and approved by, as applicable, the Board of Directors of such Obligor or the Board of Directors of such Restricted Subsidiary permitted by this Agreement; and (v) non-exclusive licenses of patents, copyrights, trademarks, trade secrets and other intellectual property.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Restrictive Agreements</w:t>
      </w:r>
      <w:r>
        <w:rPr>
          <w:rFonts w:ascii="Arial" w:cs="Arial" w:eastAsia="Arial" w:hAnsi="Arial"/>
          <w:sz w:val="18"/>
          <w:szCs w:val="18"/>
          <w:color w:val="auto"/>
        </w:rPr>
        <w:t>. WIL-Ireland shall not, and shall not permit any Restricted Subsidiary to, directly or indirectly, enter into, incur, create or permit to exist any Restrictive Agreement, except for:</w:t>
      </w:r>
    </w:p>
    <w:p>
      <w:pPr>
        <w:spacing w:after="0" w:line="170" w:lineRule="exact"/>
        <w:rPr>
          <w:sz w:val="20"/>
          <w:szCs w:val="20"/>
          <w:color w:val="auto"/>
        </w:rPr>
      </w:pPr>
    </w:p>
    <w:p>
      <w:pPr>
        <w:ind w:left="1940" w:hanging="635"/>
        <w:spacing w:after="0"/>
        <w:tabs>
          <w:tab w:leader="none" w:pos="194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limitations or restrictions contained in any Loan Document, any of the Term Loan Documents and any of the 364-Day Revolving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Credit Documents;</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limitations or restrictions existing under or by reason of any Requirement of Law;</w:t>
      </w:r>
    </w:p>
    <w:p>
      <w:pPr>
        <w:spacing w:after="0" w:line="225" w:lineRule="exact"/>
        <w:rPr>
          <w:rFonts w:ascii="Arial" w:cs="Arial" w:eastAsia="Arial" w:hAnsi="Arial"/>
          <w:sz w:val="18"/>
          <w:szCs w:val="18"/>
          <w:color w:val="auto"/>
        </w:rPr>
      </w:pPr>
    </w:p>
    <w:p>
      <w:pPr>
        <w:ind w:right="40" w:firstLine="1305"/>
        <w:spacing w:after="0" w:line="312" w:lineRule="auto"/>
        <w:tabs>
          <w:tab w:leader="none" w:pos="195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customary restrictions with respect to any Restricted Subsidiary or any of its assets contained in any agreement for the Disposition of a material portion of the Capital Stock of, or any of the assets of, such Restricted Subsidiary pending such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apply only to the Restricted Subsidiary that is, or assets that are, the subject of such Disposition and such Disposition is permitted hereunder;</w:t>
      </w:r>
    </w:p>
    <w:p>
      <w:pPr>
        <w:spacing w:after="0" w:line="146" w:lineRule="exact"/>
        <w:rPr>
          <w:rFonts w:ascii="Arial" w:cs="Arial" w:eastAsia="Arial" w:hAnsi="Arial"/>
          <w:sz w:val="16"/>
          <w:szCs w:val="16"/>
          <w:color w:val="auto"/>
        </w:rPr>
      </w:pPr>
    </w:p>
    <w:p>
      <w:pPr>
        <w:jc w:val="both"/>
        <w:ind w:right="440" w:firstLine="1305"/>
        <w:spacing w:after="0" w:line="259" w:lineRule="auto"/>
        <w:tabs>
          <w:tab w:leader="none" w:pos="195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limitations or restrictions contained in contracts and agreements outstanding on the Effective Date and renewals, extensions, refinancings or replacements thereof identified on </w:t>
      </w:r>
      <w:r>
        <w:rPr>
          <w:rFonts w:ascii="Arial" w:cs="Arial" w:eastAsia="Arial" w:hAnsi="Arial"/>
          <w:sz w:val="18"/>
          <w:szCs w:val="18"/>
          <w:u w:val="single" w:color="auto"/>
          <w:color w:val="auto"/>
        </w:rPr>
        <w:t>Schedule 8.11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restrictions set forth in this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shall apply to any amendment or modification to, or any renewal, extension, refinancing or replacement of, any such contract or agreement that would have the effect of expanding the scope of any such limitation or restriction;</w:t>
      </w:r>
    </w:p>
    <w:p>
      <w:pPr>
        <w:spacing w:after="0" w:line="186" w:lineRule="exact"/>
        <w:rPr>
          <w:rFonts w:ascii="Arial" w:cs="Arial" w:eastAsia="Arial" w:hAnsi="Arial"/>
          <w:sz w:val="18"/>
          <w:szCs w:val="18"/>
          <w:color w:val="auto"/>
        </w:rPr>
      </w:pPr>
    </w:p>
    <w:p>
      <w:pPr>
        <w:ind w:right="260" w:firstLine="1305"/>
        <w:spacing w:after="0" w:line="302" w:lineRule="auto"/>
        <w:tabs>
          <w:tab w:leader="none" w:pos="195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limitations or restrictions contained in any agreement or instrument to which any Person is a party at the time such Person is merged or consolidated with or into, or the Capital Stock of such Person is otherwise acquired by, WIL-Ireland or any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 or limitation (i) is not applicable to any Person, or the properties or assets of any Person, other than the Person, or the property or assets of such Person, so acquired and (ii) is not incurred in connection with, or in contemplation of, such merger, consolidation or acquisition;</w:t>
      </w:r>
    </w:p>
    <w:p>
      <w:pPr>
        <w:spacing w:after="0" w:line="154" w:lineRule="exact"/>
        <w:rPr>
          <w:rFonts w:ascii="Arial" w:cs="Arial" w:eastAsia="Arial" w:hAnsi="Arial"/>
          <w:sz w:val="16"/>
          <w:szCs w:val="16"/>
          <w:color w:val="auto"/>
        </w:rPr>
      </w:pPr>
    </w:p>
    <w:p>
      <w:pPr>
        <w:ind w:right="120" w:firstLine="1305"/>
        <w:spacing w:after="0" w:line="259" w:lineRule="auto"/>
        <w:tabs>
          <w:tab w:leader="none" w:pos="194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(i) clause (a) of the definition of Restrictive Agreements shall not apply to restrictions or conditions imposed by any agreement relating to secured Indebtedness permitted by this Agreement or Liens permitted under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if such restrictions or conditions apply only to the property or assets securing such Indebtedness or (ii) customary restrictions or limitations in leases or other contracts restricting the assignment thereof or the assignment of the property that is the subject of such lease;</w:t>
      </w:r>
    </w:p>
    <w:p>
      <w:pPr>
        <w:spacing w:after="0" w:line="186" w:lineRule="exact"/>
        <w:rPr>
          <w:rFonts w:ascii="Arial" w:cs="Arial" w:eastAsia="Arial" w:hAnsi="Arial"/>
          <w:sz w:val="18"/>
          <w:szCs w:val="18"/>
          <w:color w:val="auto"/>
        </w:rPr>
      </w:pPr>
    </w:p>
    <w:p>
      <w:pPr>
        <w:ind w:right="40" w:firstLine="1305"/>
        <w:spacing w:after="0" w:line="264" w:lineRule="auto"/>
        <w:tabs>
          <w:tab w:leader="none" w:pos="196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limitations or restrictions contained in joint venture agreements, partnership agreements and other similar agreements with respect to a joint ownership arrangement restricting the disposition or distribution of assets or property of such joint venture, partnership or other joint ownership entity, so long as such encumbrances or restrictions are not applicable to the property or assets of any other Person;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customary restrictions and conditions contained in Permitted Factoring Transaction Documents.</w:t>
      </w:r>
    </w:p>
    <w:p>
      <w:pPr>
        <w:sectPr>
          <w:pgSz w:w="11900" w:h="16874" w:orient="portrait"/>
          <w:cols w:equalWidth="0" w:num="1">
            <w:col w:w="11400"/>
          </w:cols>
          <w:pgMar w:left="240" w:top="341" w:right="259" w:bottom="0" w:gutter="0" w:footer="0" w:header="0"/>
        </w:sectPr>
      </w:pPr>
    </w:p>
    <w:bookmarkStart w:id="74" w:name="page75"/>
    <w:bookmarkEnd w:id="74"/>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8.12</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225" w:lineRule="exact"/>
        <w:rPr>
          <w:sz w:val="20"/>
          <w:szCs w:val="20"/>
          <w:color w:val="auto"/>
        </w:rPr>
      </w:pPr>
    </w:p>
    <w:p>
      <w:pPr>
        <w:ind w:right="100" w:firstLine="1305"/>
        <w:spacing w:after="0" w:line="302" w:lineRule="auto"/>
        <w:tabs>
          <w:tab w:leader="none" w:pos="194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WIL-Ireland and the Borrowers shall not, and WIL-Ireland shall not permit any of its other Subsidiaries to, (i) use the proceeds of any Loans for any purpose other than for working capital and general corporate purposes, including providing financial accommodations to the Borrowers and their respective Subsidiaries (to the extent otherwise permitted hereunder), or (ii) arrange for the issuance of any Letters of Credit for any purpose other than general corporate purposes of WIL-Ireland and its Restricted Subsidiaries (to the extent otherwise permitted hereunder).</w:t>
      </w:r>
    </w:p>
    <w:p>
      <w:pPr>
        <w:spacing w:after="0" w:line="154" w:lineRule="exact"/>
        <w:rPr>
          <w:rFonts w:ascii="Arial" w:cs="Arial" w:eastAsia="Arial" w:hAnsi="Arial"/>
          <w:sz w:val="16"/>
          <w:szCs w:val="16"/>
          <w:color w:val="auto"/>
        </w:rPr>
      </w:pPr>
    </w:p>
    <w:p>
      <w:pPr>
        <w:ind w:firstLine="1305"/>
        <w:spacing w:after="0" w:line="271" w:lineRule="auto"/>
        <w:tabs>
          <w:tab w:leader="none" w:pos="1952" w:val="left"/>
        </w:tabs>
        <w:numPr>
          <w:ilvl w:val="0"/>
          <w:numId w:val="208"/>
        </w:numPr>
        <w:rPr>
          <w:rFonts w:ascii="Arial" w:cs="Arial" w:eastAsia="Arial" w:hAnsi="Arial"/>
          <w:sz w:val="17"/>
          <w:szCs w:val="17"/>
          <w:color w:val="auto"/>
        </w:rPr>
      </w:pPr>
      <w:r>
        <w:rPr>
          <w:rFonts w:ascii="Arial" w:cs="Arial" w:eastAsia="Arial" w:hAnsi="Arial"/>
          <w:sz w:val="17"/>
          <w:szCs w:val="17"/>
          <w:color w:val="auto"/>
        </w:rPr>
        <w:t>WIL-Ireland shall not, nor shall it permit any of its Subsidiaries to, use any Letter of Credit or the proceeds of any Loan under this Agreement directly or indirectly for the purpose of buying or carrying any “margin stock” within the meaning of Regulation U (herein called “margin stock”) or for the purpose of reducing or retiring any indebtedness which was originally incurred to buy or carry a margin stock (except that WIL-Ireland and any of its Restricted Subsidiaries may purchase the common stock of WIL-Ireland, subject to compliance with applicable law and provided that WIL-Ireland will not at any time permit the value of the assets of the WIL-Ireland and its Subsidiaries on a consolidated basis that comprise “margin stock” as defined in Regulation U to exceed an amount equal to 25% of all of the assets of WIL-Ireland and its Subsidiaries on a consolidated basis), or for any other purpose which would constitute this transaction a “purpose” credit within the meaning of Regulation U. WIL-Ireland shall not, nor shall it permit any of its Subsidiaries to, take any action which would cause this Agreement or any other Loan Document to violate Regulation T, U or X.</w:t>
      </w:r>
    </w:p>
    <w:p>
      <w:pPr>
        <w:spacing w:after="0" w:line="178" w:lineRule="exact"/>
        <w:rPr>
          <w:rFonts w:ascii="Arial" w:cs="Arial" w:eastAsia="Arial" w:hAnsi="Arial"/>
          <w:sz w:val="17"/>
          <w:szCs w:val="17"/>
          <w:color w:val="auto"/>
        </w:rPr>
      </w:pPr>
    </w:p>
    <w:p>
      <w:pPr>
        <w:ind w:right="20" w:firstLine="1305"/>
        <w:spacing w:after="0" w:line="297" w:lineRule="auto"/>
        <w:tabs>
          <w:tab w:leader="none" w:pos="1955" w:val="left"/>
        </w:tabs>
        <w:numPr>
          <w:ilvl w:val="0"/>
          <w:numId w:val="208"/>
        </w:numPr>
        <w:rPr>
          <w:rFonts w:ascii="Arial" w:cs="Arial" w:eastAsia="Arial" w:hAnsi="Arial"/>
          <w:sz w:val="16"/>
          <w:szCs w:val="16"/>
          <w:color w:val="auto"/>
        </w:rPr>
      </w:pPr>
      <w:r>
        <w:rPr>
          <w:rFonts w:ascii="Arial" w:cs="Arial" w:eastAsia="Arial" w:hAnsi="Arial"/>
          <w:sz w:val="16"/>
          <w:szCs w:val="16"/>
          <w:color w:val="auto"/>
        </w:rPr>
        <w:t>No Borrower will request any Loans, and WIL-Ireland shall not use or otherwise make available, and shall procure that its Subsidiaries and its or their respective directors, officers, employees and agents shall not use or otherwise make available, any proceeds of the Loans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8.13</w:t>
      </w:r>
      <w:r>
        <w:rPr>
          <w:sz w:val="20"/>
          <w:szCs w:val="20"/>
          <w:color w:val="auto"/>
        </w:rPr>
        <w:tab/>
      </w:r>
      <w:r>
        <w:rPr>
          <w:rFonts w:ascii="Arial" w:cs="Arial" w:eastAsia="Arial" w:hAnsi="Arial"/>
          <w:sz w:val="16"/>
          <w:szCs w:val="16"/>
          <w:u w:val="single" w:color="auto"/>
          <w:color w:val="auto"/>
        </w:rPr>
        <w:t>Changes to Fiscal Year</w:t>
      </w:r>
      <w:r>
        <w:rPr>
          <w:rFonts w:ascii="Arial" w:cs="Arial" w:eastAsia="Arial" w:hAnsi="Arial"/>
          <w:sz w:val="16"/>
          <w:szCs w:val="16"/>
          <w:color w:val="auto"/>
        </w:rPr>
        <w:t>. WIL-Ireland will not change its Fiscal Year from the basis in effect on the Effective Date.</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 xml:space="preserve">SECTION 8.14 </w:t>
      </w:r>
      <w:r>
        <w:rPr>
          <w:rFonts w:ascii="Arial" w:cs="Arial" w:eastAsia="Arial" w:hAnsi="Arial"/>
          <w:sz w:val="17"/>
          <w:szCs w:val="17"/>
          <w:u w:val="single" w:color="auto"/>
          <w:color w:val="auto"/>
        </w:rPr>
        <w:t>Amendments to Documents Governing Certain Indebtedness</w:t>
      </w:r>
      <w:r>
        <w:rPr>
          <w:rFonts w:ascii="Arial" w:cs="Arial" w:eastAsia="Arial" w:hAnsi="Arial"/>
          <w:sz w:val="17"/>
          <w:szCs w:val="17"/>
          <w:color w:val="auto"/>
        </w:rPr>
        <w:t>. WIL-Ireland shall not, and shall not permit any Restricted Subsidiary to, amend or otherwise modify any of the documentation governing (a) (i) the Term Loan Facility or Permitted Refinancing Indebtedness in respect thereof, (ii) the 364-Day Revolving Credit Facility or Permitted Refinancing Indebtedness in respect thereof or (iii) any Existing Senior Notes or Permitted Refinancing Indebtedness in respect thereof, in each case to the extent that any such amendment or other modification, taken as a whole, would be materially adverse to the Lenders (</w:t>
      </w:r>
      <w:r>
        <w:rPr>
          <w:rFonts w:ascii="Arial" w:cs="Arial" w:eastAsia="Arial" w:hAnsi="Arial"/>
          <w:sz w:val="17"/>
          <w:szCs w:val="17"/>
          <w:u w:val="single" w:color="auto"/>
          <w:color w:val="auto"/>
        </w:rPr>
        <w:t>provided that</w:t>
      </w:r>
      <w:r>
        <w:rPr>
          <w:rFonts w:ascii="Arial" w:cs="Arial" w:eastAsia="Arial" w:hAnsi="Arial"/>
          <w:sz w:val="17"/>
          <w:szCs w:val="17"/>
          <w:color w:val="auto"/>
        </w:rPr>
        <w:t>, for the avoidance of doubt, any amendment or other modification in order to incorporate (x) any 364-Day Revolving Credit Incremental Commitment permitted hereby or (y) the replacement of the Adjusted LIBO Rate or the LIBO Rate (each as defined in the Term Loan Agreement and the 364-Day Revolving Credit Agreement) shall be deemed to not be materially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adverse to the Lenders), (b) any unsecured Indebtedness incurred pursuant to </w:t>
      </w:r>
      <w:r>
        <w:rPr>
          <w:rFonts w:ascii="Arial" w:cs="Arial" w:eastAsia="Arial" w:hAnsi="Arial"/>
          <w:sz w:val="16"/>
          <w:szCs w:val="16"/>
          <w:u w:val="single" w:color="auto"/>
          <w:color w:val="auto"/>
        </w:rPr>
        <w:t>Section 8.01(k)</w:t>
      </w:r>
      <w:r>
        <w:rPr>
          <w:rFonts w:ascii="Arial" w:cs="Arial" w:eastAsia="Arial" w:hAnsi="Arial"/>
          <w:sz w:val="16"/>
          <w:szCs w:val="16"/>
          <w:color w:val="auto"/>
        </w:rPr>
        <w:t xml:space="preserve"> to reduce the stated maturity of any such Indebtedness to be sooner than 91 days after the latest to occur of the Extended Maturity Date, the 364-Day Revolving Credit Maturity Date and the Term Loan Maturity Date or</w:t>
      </w:r>
    </w:p>
    <w:p>
      <w:pPr>
        <w:ind w:right="460" w:firstLine="8"/>
        <w:spacing w:after="0" w:line="261" w:lineRule="auto"/>
        <w:tabs>
          <w:tab w:leader="none" w:pos="24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any Subordinated Indebtedness incurred pursuant to </w:t>
      </w:r>
      <w:r>
        <w:rPr>
          <w:rFonts w:ascii="Arial" w:cs="Arial" w:eastAsia="Arial" w:hAnsi="Arial"/>
          <w:sz w:val="18"/>
          <w:szCs w:val="18"/>
          <w:u w:val="single" w:color="auto"/>
          <w:color w:val="auto"/>
        </w:rPr>
        <w:t>Section 8.01(l)</w:t>
      </w:r>
      <w:r>
        <w:rPr>
          <w:rFonts w:ascii="Arial" w:cs="Arial" w:eastAsia="Arial" w:hAnsi="Arial"/>
          <w:sz w:val="18"/>
          <w:szCs w:val="18"/>
          <w:color w:val="auto"/>
        </w:rPr>
        <w:t xml:space="preserve"> to amend or otherwise modify the subordination terms of such Indebtedness in a manner adverse to the Lenders.</w:t>
      </w:r>
    </w:p>
    <w:p>
      <w:pPr>
        <w:spacing w:after="0" w:line="184"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 xml:space="preserve">SECTION 8.15 </w:t>
      </w:r>
      <w:r>
        <w:rPr>
          <w:rFonts w:ascii="Arial" w:cs="Arial" w:eastAsia="Arial" w:hAnsi="Arial"/>
          <w:sz w:val="16"/>
          <w:szCs w:val="16"/>
          <w:u w:val="single" w:color="auto"/>
          <w:color w:val="auto"/>
        </w:rPr>
        <w:t>Limit on Credit Support Instruments</w:t>
      </w:r>
      <w:r>
        <w:rPr>
          <w:rFonts w:ascii="Arial" w:cs="Arial" w:eastAsia="Arial" w:hAnsi="Arial"/>
          <w:sz w:val="16"/>
          <w:szCs w:val="16"/>
          <w:color w:val="auto"/>
        </w:rPr>
        <w:t>. WIL-Ireland shall not permit the aggregate amount of all obligations (contingent or otherwise) of WIL-Ireland and its Restricted Subsidiaries with respect to letters of credit, bank guarantees, bid bonds, surety bonds, performance bonds, customs bonds, advance payment bonds and similar instruments (including Letters of Credit issued pursuant to this Agreement) to exceed $1,000,000,000.</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EVENTS OF DEFAULT AND REMEDIES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Events of Default and Remedies</w:t>
      </w:r>
      <w:r>
        <w:rPr>
          <w:rFonts w:ascii="Arial" w:cs="Arial" w:eastAsia="Arial" w:hAnsi="Arial"/>
          <w:sz w:val="16"/>
          <w:szCs w:val="16"/>
          <w:color w:val="auto"/>
        </w:rPr>
        <w:t>. If any of the following events (“</w:t>
      </w:r>
      <w:r>
        <w:rPr>
          <w:rFonts w:ascii="Arial" w:cs="Arial" w:eastAsia="Arial" w:hAnsi="Arial"/>
          <w:sz w:val="16"/>
          <w:szCs w:val="16"/>
          <w:u w:val="single" w:color="auto"/>
          <w:color w:val="auto"/>
        </w:rPr>
        <w:t>Events of Default</w:t>
      </w:r>
      <w:r>
        <w:rPr>
          <w:rFonts w:ascii="Arial" w:cs="Arial" w:eastAsia="Arial" w:hAnsi="Arial"/>
          <w:sz w:val="16"/>
          <w:szCs w:val="16"/>
          <w:color w:val="auto"/>
        </w:rPr>
        <w:t>”) shall occur and be continuing:</w:t>
      </w:r>
    </w:p>
    <w:p>
      <w:pPr>
        <w:spacing w:after="0" w:line="225" w:lineRule="exact"/>
        <w:rPr>
          <w:sz w:val="20"/>
          <w:szCs w:val="20"/>
          <w:color w:val="auto"/>
        </w:rPr>
      </w:pPr>
    </w:p>
    <w:p>
      <w:pPr>
        <w:ind w:right="160" w:firstLine="1305"/>
        <w:spacing w:after="0" w:line="279" w:lineRule="auto"/>
        <w:tabs>
          <w:tab w:leader="none" w:pos="1942"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(i) the principal of any Loan or any reimbursement obligation in respect of any LC Disbursement shall not be paid when such payment is due (whether at the due date thereof or at a date fixed for prepayment thereof or otherwise), or (ii) any interest on any Loan, any fee or any other amount (other than an amount referred to in clause (i) of this </w:t>
      </w:r>
      <w:r>
        <w:rPr>
          <w:rFonts w:ascii="Arial" w:cs="Arial" w:eastAsia="Arial" w:hAnsi="Arial"/>
          <w:sz w:val="17"/>
          <w:szCs w:val="17"/>
          <w:u w:val="single" w:color="auto"/>
          <w:color w:val="auto"/>
        </w:rPr>
        <w:t>Section 9.01(a)</w:t>
      </w:r>
      <w:r>
        <w:rPr>
          <w:rFonts w:ascii="Arial" w:cs="Arial" w:eastAsia="Arial" w:hAnsi="Arial"/>
          <w:sz w:val="17"/>
          <w:szCs w:val="17"/>
          <w:color w:val="auto"/>
        </w:rPr>
        <w:t>) payable hereunder or any other Loan Document shall not be paid within five calendar days following the date on which the payment of interest, fee or such other amount is due; or</w:t>
      </w:r>
    </w:p>
    <w:p>
      <w:pPr>
        <w:spacing w:after="0" w:line="171" w:lineRule="exact"/>
        <w:rPr>
          <w:rFonts w:ascii="Arial" w:cs="Arial" w:eastAsia="Arial" w:hAnsi="Arial"/>
          <w:sz w:val="17"/>
          <w:szCs w:val="17"/>
          <w:color w:val="auto"/>
        </w:rPr>
      </w:pPr>
    </w:p>
    <w:p>
      <w:pPr>
        <w:ind w:right="20" w:firstLine="1305"/>
        <w:spacing w:after="0" w:line="259" w:lineRule="auto"/>
        <w:tabs>
          <w:tab w:leader="none" w:pos="195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any representation or warranty made or, for purposes of </w:t>
      </w:r>
      <w:r>
        <w:rPr>
          <w:rFonts w:ascii="Arial" w:cs="Arial" w:eastAsia="Arial" w:hAnsi="Arial"/>
          <w:sz w:val="18"/>
          <w:szCs w:val="18"/>
          <w:u w:val="single" w:color="auto"/>
          <w:color w:val="auto"/>
        </w:rPr>
        <w:t>Article V</w:t>
      </w:r>
      <w:r>
        <w:rPr>
          <w:rFonts w:ascii="Arial" w:cs="Arial" w:eastAsia="Arial" w:hAnsi="Arial"/>
          <w:sz w:val="18"/>
          <w:szCs w:val="18"/>
          <w:color w:val="auto"/>
        </w:rPr>
        <w:t>, deemed made by or on behalf of WIL-Ireland or any Subsidiary herein or in any other Loan Document or in any document, certificate or financial statement delivered in connection with this Agreement or any other Loan Document shall prove to have been incorrect in any material respect (or, to the extent qualified by materiality or reference to Material Adverse Effect, in all respects) when made or deemed made or reaffirmed, as the case may be; or</w:t>
      </w:r>
    </w:p>
    <w:p>
      <w:pPr>
        <w:spacing w:after="0" w:line="186" w:lineRule="exact"/>
        <w:rPr>
          <w:rFonts w:ascii="Arial" w:cs="Arial" w:eastAsia="Arial" w:hAnsi="Arial"/>
          <w:sz w:val="18"/>
          <w:szCs w:val="18"/>
          <w:color w:val="auto"/>
        </w:rPr>
      </w:pPr>
    </w:p>
    <w:p>
      <w:pPr>
        <w:ind w:right="40" w:firstLine="1305"/>
        <w:spacing w:after="0" w:line="259" w:lineRule="auto"/>
        <w:tabs>
          <w:tab w:leader="none" w:pos="195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any Obligor Party shall (i) fail to perform or observe any covenant, condition or agreement contained in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(with respect to the existence of any Obligor) or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(ii) fail to give any notice required by </w:t>
      </w:r>
      <w:r>
        <w:rPr>
          <w:rFonts w:ascii="Arial" w:cs="Arial" w:eastAsia="Arial" w:hAnsi="Arial"/>
          <w:sz w:val="18"/>
          <w:szCs w:val="18"/>
          <w:u w:val="single" w:color="auto"/>
          <w:color w:val="auto"/>
        </w:rPr>
        <w:t>Section 7.01(d)(ii)</w:t>
      </w:r>
      <w:r>
        <w:rPr>
          <w:rFonts w:ascii="Arial" w:cs="Arial" w:eastAsia="Arial" w:hAnsi="Arial"/>
          <w:sz w:val="18"/>
          <w:szCs w:val="18"/>
          <w:color w:val="auto"/>
        </w:rPr>
        <w:t xml:space="preserve"> or (iii) fail to perform or observe any Additional Financial Covenant (subject to any grace period applicable to such Additional Financial Covenant in the Other Debt Document that contains such Additional Financial Covenant); or</w:t>
      </w:r>
    </w:p>
    <w:p>
      <w:pPr>
        <w:spacing w:after="0" w:line="186" w:lineRule="exact"/>
        <w:rPr>
          <w:rFonts w:ascii="Arial" w:cs="Arial" w:eastAsia="Arial" w:hAnsi="Arial"/>
          <w:sz w:val="18"/>
          <w:szCs w:val="18"/>
          <w:color w:val="auto"/>
        </w:rPr>
      </w:pPr>
    </w:p>
    <w:p>
      <w:pPr>
        <w:ind w:right="40" w:firstLine="1305"/>
        <w:spacing w:after="0" w:line="259" w:lineRule="auto"/>
        <w:tabs>
          <w:tab w:leader="none" w:pos="195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any Obligor Party shall fail to give any notice required by </w:t>
      </w:r>
      <w:r>
        <w:rPr>
          <w:rFonts w:ascii="Arial" w:cs="Arial" w:eastAsia="Arial" w:hAnsi="Arial"/>
          <w:sz w:val="18"/>
          <w:szCs w:val="18"/>
          <w:u w:val="single" w:color="auto"/>
          <w:color w:val="auto"/>
        </w:rPr>
        <w:t>Section 7.01(c)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7.01(d)(i)</w:t>
      </w:r>
      <w:r>
        <w:rPr>
          <w:rFonts w:ascii="Arial" w:cs="Arial" w:eastAsia="Arial" w:hAnsi="Arial"/>
          <w:sz w:val="18"/>
          <w:szCs w:val="18"/>
          <w:color w:val="auto"/>
        </w:rPr>
        <w:t xml:space="preserve">, </w:t>
      </w:r>
      <w:r>
        <w:rPr>
          <w:rFonts w:ascii="Arial" w:cs="Arial" w:eastAsia="Arial" w:hAnsi="Arial"/>
          <w:sz w:val="18"/>
          <w:szCs w:val="18"/>
          <w:u w:val="single" w:color="auto"/>
          <w:color w:val="auto"/>
        </w:rPr>
        <w:t>7.01(d)(iii)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7.01(f)</w:t>
      </w:r>
      <w:r>
        <w:rPr>
          <w:rFonts w:ascii="Arial" w:cs="Arial" w:eastAsia="Arial" w:hAnsi="Arial"/>
          <w:sz w:val="18"/>
          <w:szCs w:val="18"/>
          <w:color w:val="auto"/>
        </w:rPr>
        <w:t xml:space="preserve"> and, in any event, such failure shall remain unremedied for five Business Days after the earlier to occur of (i) receipt by a Principal Financial Officer of any Obligor Party of notice of such failure (given by the Administrative Agent or any Lender) and (ii) a Principal Financial Officer of any Obligor Party otherwise becoming aware of such failure;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74" w:orient="portrait"/>
          <w:cols w:equalWidth="0" w:num="1">
            <w:col w:w="11400"/>
          </w:cols>
          <w:pgMar w:left="240" w:top="341" w:right="259" w:bottom="0" w:gutter="0" w:footer="0" w:header="0"/>
        </w:sectPr>
      </w:pPr>
    </w:p>
    <w:bookmarkStart w:id="75" w:name="page76"/>
    <w:bookmarkEnd w:id="75"/>
    <w:p>
      <w:pPr>
        <w:ind w:right="80" w:firstLine="1305"/>
        <w:spacing w:after="0" w:line="279" w:lineRule="auto"/>
        <w:tabs>
          <w:tab w:leader="none" w:pos="1955" w:val="left"/>
        </w:tabs>
        <w:numPr>
          <w:ilvl w:val="1"/>
          <w:numId w:val="2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any Obligor shall fail to perform or observe any other term, covenant or agreement contained in this Agreement (other than those specified in </w:t>
      </w:r>
      <w:r>
        <w:rPr>
          <w:rFonts w:ascii="Arial" w:cs="Arial" w:eastAsia="Arial" w:hAnsi="Arial"/>
          <w:sz w:val="17"/>
          <w:szCs w:val="17"/>
          <w:u w:val="single" w:color="auto"/>
          <w:color w:val="auto"/>
        </w:rPr>
        <w:t>Section 9.01(a)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9.01(c)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9.01(d)</w:t>
      </w:r>
      <w:r>
        <w:rPr>
          <w:rFonts w:ascii="Arial" w:cs="Arial" w:eastAsia="Arial" w:hAnsi="Arial"/>
          <w:sz w:val="17"/>
          <w:szCs w:val="17"/>
          <w:color w:val="auto"/>
        </w:rPr>
        <w:t>) or any other Loan Document to which it is a party and, in any event, such failure shall remain unremedied for 30 calendar days after the earlier to occur of (i) receipt by a Principal Financial Officer of any Obligor of notice of such failure (given by the Administrative Agent or any Lender) and (ii) a Principal Financial Officer of any Obligor otherwise becoming aware of such failure; or</w:t>
      </w:r>
    </w:p>
    <w:p>
      <w:pPr>
        <w:spacing w:after="0" w:line="171" w:lineRule="exact"/>
        <w:rPr>
          <w:rFonts w:ascii="Arial" w:cs="Arial" w:eastAsia="Arial" w:hAnsi="Arial"/>
          <w:sz w:val="17"/>
          <w:szCs w:val="17"/>
          <w:color w:val="auto"/>
        </w:rPr>
      </w:pPr>
    </w:p>
    <w:p>
      <w:pPr>
        <w:ind w:right="20" w:firstLine="1305"/>
        <w:spacing w:after="0" w:line="264" w:lineRule="auto"/>
        <w:tabs>
          <w:tab w:leader="none" w:pos="1949" w:val="left"/>
        </w:tabs>
        <w:numPr>
          <w:ilvl w:val="1"/>
          <w:numId w:val="211"/>
        </w:numPr>
        <w:rPr>
          <w:rFonts w:ascii="Arial" w:cs="Arial" w:eastAsia="Arial" w:hAnsi="Arial"/>
          <w:sz w:val="18"/>
          <w:szCs w:val="18"/>
          <w:color w:val="auto"/>
        </w:rPr>
      </w:pPr>
      <w:r>
        <w:rPr>
          <w:rFonts w:ascii="Arial" w:cs="Arial" w:eastAsia="Arial" w:hAnsi="Arial"/>
          <w:sz w:val="18"/>
          <w:szCs w:val="18"/>
          <w:color w:val="auto"/>
        </w:rPr>
        <w:t>WIL-Ireland or any of its Restricted Subsidiaries shall fail to make (whether as primary obligor or as guarantor or other surety) any payment (regardless of amount) of principal or interest or premium, if any, in respect of any Material Indebtedness, when and as the same shall become due and payable (after giving effect to any grace period thereto); or</w:t>
      </w:r>
    </w:p>
    <w:p>
      <w:pPr>
        <w:spacing w:after="0" w:line="181" w:lineRule="exact"/>
        <w:rPr>
          <w:rFonts w:ascii="Arial" w:cs="Arial" w:eastAsia="Arial" w:hAnsi="Arial"/>
          <w:sz w:val="18"/>
          <w:szCs w:val="18"/>
          <w:color w:val="auto"/>
        </w:rPr>
      </w:pPr>
    </w:p>
    <w:p>
      <w:pPr>
        <w:jc w:val="both"/>
        <w:ind w:right="20" w:firstLine="1305"/>
        <w:spacing w:after="0" w:line="288" w:lineRule="auto"/>
        <w:tabs>
          <w:tab w:leader="none" w:pos="1965" w:val="left"/>
        </w:tabs>
        <w:numPr>
          <w:ilvl w:val="1"/>
          <w:numId w:val="211"/>
        </w:numPr>
        <w:rPr>
          <w:rFonts w:ascii="Arial" w:cs="Arial" w:eastAsia="Arial" w:hAnsi="Arial"/>
          <w:sz w:val="16"/>
          <w:szCs w:val="16"/>
          <w:color w:val="auto"/>
        </w:rPr>
      </w:pPr>
      <w:r>
        <w:rPr>
          <w:rFonts w:ascii="Arial" w:cs="Arial" w:eastAsia="Arial" w:hAnsi="Arial"/>
          <w:sz w:val="16"/>
          <w:szCs w:val="16"/>
          <w:color w:val="auto"/>
        </w:rPr>
        <w:t>(i) any event or condition occurs that results in any Material Indebtedness (other than under Swap Agreements) becoming due prior to its scheduled maturity or that enables or permits the holder or holders of any Material Indebtedness or any trustee or agent on its or their behalf to cause any Material Indebtedness to become due, or to require the prepayment, repurchase, redemption or defeasance thereof, prior to its scheduled maturity or</w:t>
      </w:r>
    </w:p>
    <w:p>
      <w:pPr>
        <w:ind w:right="580" w:firstLine="8"/>
        <w:spacing w:after="0" w:line="255" w:lineRule="auto"/>
        <w:tabs>
          <w:tab w:leader="none" w:pos="26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any event, condition or default occurs under any Swap Agreement that constitutes Material Indebtedness which default could enable the other counterparty to terminate such Swap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clause (g)(i) shall not apply to secured Indebtedness that becomes due as a result of the voluntary sale or transfer of the property or assets securing such Indebtedness; or</w:t>
      </w:r>
    </w:p>
    <w:p>
      <w:pPr>
        <w:spacing w:after="0" w:line="190" w:lineRule="exact"/>
        <w:rPr>
          <w:rFonts w:ascii="Arial" w:cs="Arial" w:eastAsia="Arial" w:hAnsi="Arial"/>
          <w:sz w:val="18"/>
          <w:szCs w:val="18"/>
          <w:color w:val="auto"/>
        </w:rPr>
      </w:pPr>
    </w:p>
    <w:p>
      <w:pPr>
        <w:ind w:left="1960" w:hanging="655"/>
        <w:spacing w:after="0"/>
        <w:tabs>
          <w:tab w:leader="none" w:pos="196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any Obligor or any Material Subsidiary shall become unable, admit in writing its inability or fail generally to pay its debts as they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become due; or</w:t>
      </w:r>
    </w:p>
    <w:p>
      <w:pPr>
        <w:spacing w:after="0" w:line="210" w:lineRule="exact"/>
        <w:rPr>
          <w:rFonts w:ascii="Arial" w:cs="Arial" w:eastAsia="Arial" w:hAnsi="Arial"/>
          <w:sz w:val="16"/>
          <w:szCs w:val="16"/>
          <w:color w:val="auto"/>
        </w:rPr>
      </w:pPr>
    </w:p>
    <w:p>
      <w:pPr>
        <w:jc w:val="both"/>
        <w:ind w:right="160" w:firstLine="1305"/>
        <w:spacing w:after="0" w:line="291" w:lineRule="auto"/>
        <w:tabs>
          <w:tab w:leader="none" w:pos="1966" w:val="left"/>
        </w:tabs>
        <w:numPr>
          <w:ilvl w:val="1"/>
          <w:numId w:val="212"/>
        </w:numPr>
        <w:rPr>
          <w:rFonts w:ascii="Arial" w:cs="Arial" w:eastAsia="Arial" w:hAnsi="Arial"/>
          <w:sz w:val="16"/>
          <w:szCs w:val="16"/>
          <w:color w:val="auto"/>
        </w:rPr>
      </w:pPr>
      <w:r>
        <w:rPr>
          <w:rFonts w:ascii="Arial" w:cs="Arial" w:eastAsia="Arial" w:hAnsi="Arial"/>
          <w:sz w:val="16"/>
          <w:szCs w:val="16"/>
          <w:color w:val="auto"/>
        </w:rPr>
        <w:t>the entry by a court having jurisdiction in the premises of (i) a decree or order for relief in respect of any Obligor or any Material Subsidiary in an involuntary case or proceeding under any applicable federal, state or foreign bankruptcy, insolvency, reorganization or other similar law or</w:t>
      </w:r>
    </w:p>
    <w:p>
      <w:pPr>
        <w:ind w:right="20" w:firstLine="8"/>
        <w:spacing w:after="0" w:line="254" w:lineRule="auto"/>
        <w:tabs>
          <w:tab w:leader="none" w:pos="26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 decree or order adjudging any Obligor or any Material Subsidiary bankrupt or insolvent, or approving as properly filed a petition seeking reorganization, arrangement, adjustment or composition of or in respect of any Obligor or any Material Subsidiary under any applicable federal, state or foreign law, or appointing a custodian, receiver, liquidator, assignee, trustee, examiner, administrator, sequestrator or other similar official of any Obligor or any Material Subsidiary of any substantial part of its property, or ordering the winding up or liquidation of its affairs; or</w:t>
      </w:r>
    </w:p>
    <w:p>
      <w:pPr>
        <w:spacing w:after="0" w:line="189" w:lineRule="exact"/>
        <w:rPr>
          <w:rFonts w:ascii="Arial" w:cs="Arial" w:eastAsia="Arial" w:hAnsi="Arial"/>
          <w:sz w:val="18"/>
          <w:szCs w:val="18"/>
          <w:color w:val="auto"/>
        </w:rPr>
      </w:pPr>
    </w:p>
    <w:p>
      <w:pPr>
        <w:ind w:right="20" w:firstLine="1305"/>
        <w:spacing w:after="0" w:line="273" w:lineRule="auto"/>
        <w:tabs>
          <w:tab w:leader="none" w:pos="1953" w:val="left"/>
        </w:tabs>
        <w:numPr>
          <w:ilvl w:val="1"/>
          <w:numId w:val="213"/>
        </w:numPr>
        <w:rPr>
          <w:rFonts w:ascii="Arial" w:cs="Arial" w:eastAsia="Arial" w:hAnsi="Arial"/>
          <w:sz w:val="17"/>
          <w:szCs w:val="17"/>
          <w:color w:val="auto"/>
        </w:rPr>
      </w:pPr>
      <w:r>
        <w:rPr>
          <w:rFonts w:ascii="Arial" w:cs="Arial" w:eastAsia="Arial" w:hAnsi="Arial"/>
          <w:sz w:val="17"/>
          <w:szCs w:val="17"/>
          <w:color w:val="auto"/>
        </w:rPr>
        <w:t>any Obligor or any Material Subsidiary shall (i) voluntarily commence a case or proceeding under any applicable federal, state or foreign bankruptcy, insolvency, reorganization or other similar law or of any other case or proceeding to be adjudicated a bankrupt or insolvent, (ii) consent to the entry of a decree or order for relief in respect of such Obligor or such Material Subsidiary in an involuntary case or proceeding under any applicable federal, state or foreign bankruptcy, insolvency, reorganization or other similar law or to the commencement of any bankruptcy or insolvency case or proceeding against it, (iii) file a petition or answer or consent seeking reorganization or relief under any applicable federal, state or foreign law, (iv) apply for or consent to the appointment of or taking possession by a custodian,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receiver, liquidator, assignee, trustee, examiner, administrator, sequestrator or similar official of such Obligor or such Material Subsidiary or of any substantial part of its property, (v) make an assignment for the benefit of creditors, or (vi) take any corporate or other action in furtherance of any of the foregoing; or</w:t>
      </w:r>
    </w:p>
    <w:p>
      <w:pPr>
        <w:spacing w:after="0" w:line="124" w:lineRule="exact"/>
        <w:rPr>
          <w:sz w:val="20"/>
          <w:szCs w:val="20"/>
          <w:color w:val="auto"/>
        </w:rPr>
      </w:pPr>
    </w:p>
    <w:p>
      <w:pPr>
        <w:ind w:right="180" w:firstLine="1305"/>
        <w:spacing w:after="0" w:line="286" w:lineRule="auto"/>
        <w:tabs>
          <w:tab w:leader="none" w:pos="1952"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 judgment or order for monetary damages shall be entered against any Obligor or any Restricted Subsidiary, which with other outstanding judgments and orders for monetary damages entered against the Obligors and the Restricted Subsidiaries equals or exceeds $100,000,000 in the aggregate (to the extent not covered by independent third-party insurance as to which the respective insurer is financially sound and has not disputed coverage), and (i) within 60 days after entry thereof such judgment shall not have been discharged or execution thereof stayed pending appeal or, within</w:t>
      </w:r>
    </w:p>
    <w:p>
      <w:pPr>
        <w:spacing w:after="0" w:line="1" w:lineRule="exact"/>
        <w:rPr>
          <w:rFonts w:ascii="Arial" w:cs="Arial" w:eastAsia="Arial" w:hAnsi="Arial"/>
          <w:sz w:val="16"/>
          <w:szCs w:val="16"/>
          <w:color w:val="auto"/>
        </w:rPr>
      </w:pPr>
    </w:p>
    <w:p>
      <w:pPr>
        <w:ind w:right="18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60 days after the expiration of any such stay, such judgment shall not have been discharged, or (ii) any enforcement proceeding shall have been commenced (and not stayed) by any creditor upon any such judgment;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judgment or order provides for any Obligor or any Restricted Subsidiary to make periodic payments over time, no Event of Default shall arise under this clause (i) if such Obligor or such Restricted Subsidiary makes each such periodic payment when due in accordance with the terms of such judgment or order (or within 30 days after the due date of each such periodic payment, but only so long as no Lien attaches during such 30-day period and no enforcement proceeding is commenced by any creditor for payment of such judgment or order during such 30-day period); or</w:t>
      </w:r>
    </w:p>
    <w:p>
      <w:pPr>
        <w:spacing w:after="0" w:line="194" w:lineRule="exact"/>
        <w:rPr>
          <w:rFonts w:ascii="Arial" w:cs="Arial" w:eastAsia="Arial" w:hAnsi="Arial"/>
          <w:sz w:val="16"/>
          <w:szCs w:val="16"/>
          <w:color w:val="auto"/>
        </w:rPr>
      </w:pPr>
    </w:p>
    <w:p>
      <w:pPr>
        <w:jc w:val="both"/>
        <w:ind w:right="40" w:firstLine="1305"/>
        <w:spacing w:after="0" w:line="259" w:lineRule="auto"/>
        <w:tabs>
          <w:tab w:leader="none" w:pos="196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at any time prior to Payment in Full, any Loan Document shall (other than to the extent permitted by the terms hereof or thereof or with the consent of the Administrative Agent and the Lenders), at any time after its execution and delivery and for any reason, cease to be in full force and, or shall be declared to be null and void, or the validity or enforceability thereof shall be contested by any Obligor or any Obligor shall deny that it has any or further liability or obligation thereunder; or</w:t>
      </w:r>
    </w:p>
    <w:p>
      <w:pPr>
        <w:spacing w:after="0" w:line="186" w:lineRule="exact"/>
        <w:rPr>
          <w:rFonts w:ascii="Arial" w:cs="Arial" w:eastAsia="Arial" w:hAnsi="Arial"/>
          <w:sz w:val="18"/>
          <w:szCs w:val="18"/>
          <w:color w:val="auto"/>
        </w:rPr>
      </w:pPr>
    </w:p>
    <w:p>
      <w:pPr>
        <w:ind w:right="20" w:firstLine="1305"/>
        <w:spacing w:after="0" w:line="269" w:lineRule="auto"/>
        <w:tabs>
          <w:tab w:leader="none" w:pos="1948"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an ERISA Event has occurred that would reasonably be expected (individually or collectively) to have a Material Adverse Effect; any proceeding shall have occurred or is reasonably likely to occur by the PBGC under Section 4069(a) of ERISA to impose liability on WIL-Ireland, any of its Subsidiaries, any Borrower or any ERISA Affiliate which (individually or collectively) would reasonably be expected to have a Material Adverse Effect; or WIL-Ireland, any of its Subsidiaries, any Borrower or any ERISA Affiliate has incurred or is reasonably likely to incur a liability to or on account of a Plan or Multiemployer Plan under Section 515, 4062, 4063, 4064, 4201 or 4204 of ERISA, or a notice of intent to terminate any Plan in a distress termination shall have been or is reasonably expected to be filed with the PBGC or the PBGC shall have instituted proceedings under Section 4042 of ERISA to terminate or appoint a trustee to administer any Plan, or the PBGC shall have notified WIL-Ireland or any ERISA Affiliate that a Plan may become a subject of any such proceedings, and there shall result (individually or collectively) from any such event or events a material risk of either (i) the imposition of a Lien(s) upon, or the granting of a security interest(s) in, the assets of WIL-Ireland, any of its Subsidiaries and/or any Borrower or any ERISA Affiliate which would reasonably be expected to have a Material Adverse Effect, or (ii) WIL-Ireland, any of its Subsidiaries and/or any Borrower or any ERISA Affiliate incurring a liability(ies) or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obligation(s) with respect thereto which would reasonably be expected to have a Material Adverse Effect;</w:t>
      </w:r>
    </w:p>
    <w:p>
      <w:pPr>
        <w:sectPr>
          <w:pgSz w:w="11900" w:h="16838" w:orient="portrait"/>
          <w:cols w:equalWidth="0" w:num="1">
            <w:col w:w="11420"/>
          </w:cols>
          <w:pgMar w:left="240" w:top="733" w:right="239" w:bottom="0" w:gutter="0" w:footer="0" w:header="0"/>
        </w:sectPr>
      </w:pPr>
    </w:p>
    <w:bookmarkStart w:id="76" w:name="page77"/>
    <w:bookmarkEnd w:id="76"/>
    <w:p>
      <w:pPr>
        <w:spacing w:after="0" w:line="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then, and in every such event (other than an event with respect to any Obligor described in </w:t>
      </w:r>
      <w:r>
        <w:rPr>
          <w:rFonts w:ascii="Arial" w:cs="Arial" w:eastAsia="Arial" w:hAnsi="Arial"/>
          <w:sz w:val="18"/>
          <w:szCs w:val="18"/>
          <w:u w:val="single" w:color="auto"/>
          <w:color w:val="auto"/>
        </w:rPr>
        <w:t>Section 9.01(i)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9.01(j)</w:t>
      </w:r>
      <w:r>
        <w:rPr>
          <w:rFonts w:ascii="Arial" w:cs="Arial" w:eastAsia="Arial" w:hAnsi="Arial"/>
          <w:sz w:val="18"/>
          <w:szCs w:val="18"/>
          <w:color w:val="auto"/>
        </w:rPr>
        <w:t>), and at any time thereafter during the continuance of such event, the Administrative Agent may, and at the request of the Required Lenders shall, by notice to the Borrowers, take either or both of the following actions, at the same or different times:</w:t>
      </w:r>
    </w:p>
    <w:p>
      <w:pPr>
        <w:spacing w:after="0" w:line="181" w:lineRule="exact"/>
        <w:rPr>
          <w:sz w:val="20"/>
          <w:szCs w:val="20"/>
          <w:color w:val="auto"/>
        </w:rPr>
      </w:pPr>
    </w:p>
    <w:p>
      <w:pPr>
        <w:ind w:left="2620" w:hanging="667"/>
        <w:spacing w:after="0"/>
        <w:tabs>
          <w:tab w:leader="none" w:pos="26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terminate the Commitments, and thereupon the Commitments shall terminate immediately, and</w:t>
      </w:r>
    </w:p>
    <w:p>
      <w:pPr>
        <w:spacing w:after="0" w:line="225" w:lineRule="exact"/>
        <w:rPr>
          <w:rFonts w:ascii="Arial" w:cs="Arial" w:eastAsia="Arial" w:hAnsi="Arial"/>
          <w:sz w:val="18"/>
          <w:szCs w:val="18"/>
          <w:color w:val="auto"/>
        </w:rPr>
      </w:pPr>
    </w:p>
    <w:p>
      <w:pPr>
        <w:jc w:val="both"/>
        <w:ind w:left="660" w:right="40" w:firstLine="1293"/>
        <w:spacing w:after="0" w:line="302" w:lineRule="auto"/>
        <w:tabs>
          <w:tab w:leader="none" w:pos="2636" w:val="left"/>
        </w:tabs>
        <w:numPr>
          <w:ilvl w:val="0"/>
          <w:numId w:val="215"/>
        </w:numPr>
        <w:rPr>
          <w:rFonts w:ascii="Arial" w:cs="Arial" w:eastAsia="Arial" w:hAnsi="Arial"/>
          <w:sz w:val="16"/>
          <w:szCs w:val="16"/>
          <w:color w:val="auto"/>
        </w:rPr>
      </w:pPr>
      <w:r>
        <w:rPr>
          <w:rFonts w:ascii="Arial" w:cs="Arial" w:eastAsia="Arial" w:hAnsi="Arial"/>
          <w:sz w:val="16"/>
          <w:szCs w:val="16"/>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w:t>
      </w:r>
    </w:p>
    <w:p>
      <w:pPr>
        <w:spacing w:after="0" w:line="154"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 xml:space="preserve">and in case of any event with respect to any Obligor described in </w:t>
      </w:r>
      <w:r>
        <w:rPr>
          <w:rFonts w:ascii="Arial" w:cs="Arial" w:eastAsia="Arial" w:hAnsi="Arial"/>
          <w:sz w:val="16"/>
          <w:szCs w:val="16"/>
          <w:u w:val="single" w:color="auto"/>
          <w:color w:val="auto"/>
        </w:rPr>
        <w:t>Section 9.01(i)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9.01(j)</w:t>
      </w:r>
      <w:r>
        <w:rPr>
          <w:rFonts w:ascii="Arial" w:cs="Arial" w:eastAsia="Arial" w:hAnsi="Arial"/>
          <w:sz w:val="16"/>
          <w:szCs w:val="16"/>
          <w:color w:val="auto"/>
        </w:rPr>
        <w:t>, the Commitments shall automatically terminate and the principal of the Loans then outstanding, together with accrued interest thereon and all fees and other obligations of the Borrowers accrued hereunder, shall automatically become due and payable, without presentment, demand, protest or other notice of any kind, all of which are hereby waived by the Obligors.</w:t>
      </w:r>
    </w:p>
    <w:p>
      <w:pPr>
        <w:spacing w:after="0" w:line="14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Upon the occurrence and during the continuance of any Event of Default, each Lender and each Issuing Bank are hereby authorized at any time and from time to time, without notice to any Obligor (any such notice being expressly waived by each Obligor), to set off and apply any and all deposits (general or special, time or demand, provisional or final but excluding the funds held in accounts clearly designated as escrow or trust accounts held by any Obligor for the benefit of Persons which are not Affiliates of any Obligor), whether or not such setoff results in any loss of interest or other penalty, and including all certificates of deposit, at any time held and other obligations at any time owing by such Lender or such Issuing Bank or any of their respective Affiliates, as applicable, to or for the credit or the account of any Obligor against any and all of the Obligations irrespective of whether or not such Lender or such Issuing Bank or the Administrative Agent shall have made any demand under this Agreement, the Notes or any other Loan Document. Should the right of any Lender or Issuing Bank to realize funds in any manner set forth above be challenged and any application of such funds be reversed, whether by court order or otherwise, the Lenders shall make restitution or refund to the applicable Obligor, as the case may be, pro rata in accordance with their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Defaulting Lender shall exercise any such right of setoff, (x) all amounts so setoff shall be paid over immediately to the Administrative Agent for further application and/or cash collateralization pursuant to </w:t>
      </w:r>
      <w:r>
        <w:rPr>
          <w:rFonts w:ascii="Arial" w:cs="Arial" w:eastAsia="Arial" w:hAnsi="Arial"/>
          <w:sz w:val="17"/>
          <w:szCs w:val="17"/>
          <w:u w:val="single" w:color="auto"/>
          <w:color w:val="auto"/>
        </w:rPr>
        <w:t>Section 4.01(e)</w:t>
      </w:r>
      <w:r>
        <w:rPr>
          <w:rFonts w:ascii="Arial" w:cs="Arial" w:eastAsia="Arial" w:hAnsi="Arial"/>
          <w:sz w:val="17"/>
          <w:szCs w:val="17"/>
          <w:color w:val="auto"/>
        </w:rPr>
        <w:t xml:space="preserve"> and, pending such payment, shall be segregated by such Defaulting Lender from its other funds and deemed held in trust for the benefit of each Credit Party and each Obligor as herein provided, and (y) such Defaulting Lender shall promptly provide to the Administrative Agent a statement describing in reasonable detail the obligations owing to such Defaulting Lender as to which it exercised such right 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 xml:space="preserve">setoff. Each Lender and each Issuing Bank agree to promptly notify the applicable Obligor and the Administrative Agent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 The rights of the Administrative Agent, the Lenders and the Issuing Banks under this Section are in addition to other rights and remedies (including other rights of setoff) which the Administrative Agent, the Lenders or the Issuing Banks may have. This Section is subject to the terms and provisions of </w:t>
      </w:r>
      <w:r>
        <w:rPr>
          <w:rFonts w:ascii="Arial" w:cs="Arial" w:eastAsia="Arial" w:hAnsi="Arial"/>
          <w:sz w:val="17"/>
          <w:szCs w:val="17"/>
          <w:u w:val="single" w:color="auto"/>
          <w:color w:val="auto"/>
        </w:rPr>
        <w:t>Section 4.01(c)</w:t>
      </w:r>
      <w:r>
        <w:rPr>
          <w:rFonts w:ascii="Arial" w:cs="Arial" w:eastAsia="Arial" w:hAnsi="Arial"/>
          <w:sz w:val="17"/>
          <w:szCs w:val="17"/>
          <w:color w:val="auto"/>
        </w:rPr>
        <w:t>.</w:t>
      </w:r>
    </w:p>
    <w:p>
      <w:pPr>
        <w:spacing w:after="0" w:line="17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Other Remedies</w:t>
      </w:r>
      <w:r>
        <w:rPr>
          <w:rFonts w:ascii="Arial" w:cs="Arial" w:eastAsia="Arial" w:hAnsi="Arial"/>
          <w:sz w:val="18"/>
          <w:szCs w:val="18"/>
          <w:color w:val="auto"/>
        </w:rPr>
        <w:t>. No remedy conferred herein or in any of the other Loan Documents is to be exclusive of any other remedy, and each and every remedy contained herein or in any other Loan Document shall be cumulative and shall be in addition to every other remedy given hereunder and under the other Loan Documents now or hereafter existing at law or in equity or by statute or otherwise.</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u w:val="single" w:color="auto"/>
          <w:color w:val="auto"/>
        </w:rPr>
        <w:t>Application of Moneys During Continuation of Event of Default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4" w:lineRule="auto"/>
        <w:tabs>
          <w:tab w:leader="none" w:pos="194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So long as an Event of Default of which the Administrative Agent shall have given notice to the Lenders shall continue, all moneys received by the Administrative Agent from any Obligor under the Loan Documents shall, except as otherwise required by law, be distributed by the Administrative Agent on the dates selected by the Administrative Agent as follows:</w:t>
      </w:r>
    </w:p>
    <w:p>
      <w:pPr>
        <w:spacing w:after="0" w:line="181" w:lineRule="exact"/>
        <w:rPr>
          <w:sz w:val="20"/>
          <w:szCs w:val="20"/>
          <w:color w:val="auto"/>
        </w:rPr>
      </w:pPr>
    </w:p>
    <w:p>
      <w:pPr>
        <w:ind w:left="1300" w:right="800"/>
        <w:spacing w:after="0" w:line="34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the unreimbursed expenses for which the Administrative Agent or any Lender is to be reimbursed pursuant to </w:t>
      </w:r>
      <w:r>
        <w:rPr>
          <w:rFonts w:ascii="Arial" w:cs="Arial" w:eastAsia="Arial" w:hAnsi="Arial"/>
          <w:sz w:val="16"/>
          <w:szCs w:val="16"/>
          <w:u w:val="single" w:color="auto"/>
          <w:color w:val="auto"/>
        </w:rPr>
        <w:t>Section 11.03</w:t>
      </w:r>
      <w:r>
        <w:rPr>
          <w:rFonts w:ascii="Arial" w:cs="Arial" w:eastAsia="Arial" w:hAnsi="Arial"/>
          <w:sz w:val="16"/>
          <w:szCs w:val="16"/>
          <w:color w:val="auto"/>
        </w:rPr>
        <w:t xml:space="preserve"> and to any unpaid fees owing under the Loan Documents by the Obligors to the Administrative Agent;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the ratable payment of accrued but unpaid interest on the Loans;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the ratable payment of unpaid principal of the Loans;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the ratable payment of all other amounts payable by the Obligors 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secure the repayment and discharge of the outstanding amount of all LC Exposure in accordance with </w:t>
      </w:r>
      <w:r>
        <w:rPr>
          <w:rFonts w:ascii="Arial" w:cs="Arial" w:eastAsia="Arial" w:hAnsi="Arial"/>
          <w:sz w:val="18"/>
          <w:szCs w:val="18"/>
          <w:u w:val="single" w:color="auto"/>
          <w:color w:val="auto"/>
        </w:rPr>
        <w:t>Section 3.01(j)</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to the ratable payment of all other Obligations, until all Obligations shall have been paid in full;</w:t>
      </w:r>
    </w:p>
    <w:p>
      <w:pPr>
        <w:spacing w:after="0" w:line="225" w:lineRule="exact"/>
        <w:rPr>
          <w:sz w:val="20"/>
          <w:szCs w:val="20"/>
          <w:color w:val="auto"/>
        </w:rPr>
      </w:pPr>
    </w:p>
    <w:p>
      <w:pPr>
        <w:ind w:left="1300" w:right="400"/>
        <w:spacing w:after="0" w:line="277" w:lineRule="auto"/>
        <w:rPr>
          <w:sz w:val="20"/>
          <w:szCs w:val="20"/>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to the ratable payment of any Banking Services Obligations and Swap Obligations, until all Banking Services Obligations and Swap Obligations shall have been paid in full; and</w:t>
      </w:r>
    </w:p>
    <w:p>
      <w:pPr>
        <w:spacing w:after="0" w:line="170" w:lineRule="exact"/>
        <w:rPr>
          <w:sz w:val="20"/>
          <w:szCs w:val="20"/>
          <w:color w:val="auto"/>
        </w:rPr>
      </w:pPr>
    </w:p>
    <w:p>
      <w:pPr>
        <w:ind w:left="1300" w:right="480"/>
        <w:spacing w:after="0" w:line="277" w:lineRule="auto"/>
        <w:rPr>
          <w:sz w:val="20"/>
          <w:szCs w:val="20"/>
          <w:color w:val="auto"/>
        </w:rPr>
      </w:pPr>
      <w:r>
        <w:rPr>
          <w:rFonts w:ascii="Arial" w:cs="Arial" w:eastAsia="Arial" w:hAnsi="Arial"/>
          <w:sz w:val="18"/>
          <w:szCs w:val="18"/>
          <w:u w:val="single" w:color="auto"/>
          <w:color w:val="auto"/>
        </w:rPr>
        <w:t>finally</w:t>
      </w:r>
      <w:r>
        <w:rPr>
          <w:rFonts w:ascii="Arial" w:cs="Arial" w:eastAsia="Arial" w:hAnsi="Arial"/>
          <w:sz w:val="18"/>
          <w:szCs w:val="18"/>
          <w:color w:val="auto"/>
        </w:rPr>
        <w:t>, to payment to the Obligors, or their respective successors or assigns, or as a court of competent jurisdiction may direct, of any surplus then remaining from such proceeds.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firstLine="1305"/>
        <w:spacing w:after="0" w:line="264" w:lineRule="auto"/>
        <w:tabs>
          <w:tab w:leader="none" w:pos="195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The term “unpaid” as used in this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shall mean all relevant Obligations outstanding as of any such distribution date as to which prior distributions have not been made, after giving effect to any adjustments which are made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of which the Administrative Agent shall have been notified.</w:t>
      </w:r>
    </w:p>
    <w:p>
      <w:pPr>
        <w:sectPr>
          <w:pgSz w:w="11900" w:h="16918" w:orient="portrait"/>
          <w:cols w:equalWidth="0" w:num="1">
            <w:col w:w="11420"/>
          </w:cols>
          <w:pgMar w:left="240" w:top="341" w:right="239" w:bottom="0" w:gutter="0" w:footer="0" w:header="0"/>
        </w:sectPr>
      </w:pPr>
    </w:p>
    <w:bookmarkStart w:id="77" w:name="page78"/>
    <w:bookmarkEnd w:id="77"/>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Each of the Lenders, on behalf of itself and any of its Affiliates that are holders of Guaranteed Obligations, and each Issuing Bank hereby irrevocably appoints the Administrative Agent as its agent and authorizes the Administrative Agent to take such actions on its behalf, including execution of the other Loan Documents, and to exercise such powers as are delegated to the Administrative Agent by the terms hereof and of the other Loan Documents, together with such actions and powers as are reasonably incidental thereto.</w:t>
      </w:r>
    </w:p>
    <w:p>
      <w:pPr>
        <w:spacing w:after="0" w:line="18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any Obligor or any Subsidiary or other Affiliate thereof as if it were not the Administrative Agent hereunder.</w:t>
      </w:r>
    </w:p>
    <w:p>
      <w:pPr>
        <w:spacing w:after="0" w:line="14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or an Event of Default has occurred and is continuing, (b) the Administrative Agent shall not have any duty to take any discretionary action or exercise any discretionary powers, except discretionary rights and powers expressly contemplated hereby and by the other Loan Documents that the Administrative Agent is required to exercise in writing as directed by the Required Lenders (or such other number or percentage of the Lenders as shall be necessary under the circumstances as provided in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and (c) except as expressly set forth herein, the Administrative Agent shall not have any duty to disclose, and shall not be liable for the failure to disclose, any information relating to any of the Obligors or any of their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Arial" w:cs="Arial" w:eastAsia="Arial" w:hAnsi="Arial"/>
          <w:sz w:val="17"/>
          <w:szCs w:val="17"/>
          <w:u w:val="single" w:color="auto"/>
          <w:color w:val="auto"/>
        </w:rPr>
        <w:t>Section 11.01</w:t>
      </w:r>
      <w:r>
        <w:rPr>
          <w:rFonts w:ascii="Arial" w:cs="Arial" w:eastAsia="Arial" w:hAnsi="Arial"/>
          <w:sz w:val="17"/>
          <w:szCs w:val="17"/>
          <w:color w:val="auto"/>
        </w:rPr>
        <w:t>) or in the absence of its own gross negligence, willful misconduct or unlawful acts, as determined by a final nonappealable judgment of a court of competent jurisdiction. The Administrative Agent shall be deemed not to have knowledge of any Default or Event of Default unless and until written notice thereof is given to the Administrative Agent by a Borrower or a Lender, and the Administrative Agent shall not be responsible for or have any duty to ascertain or inquire into (v) any statement, warranty or representation made in or in connection with this Agreement or any other Loan Document, (w) the contents of any certificate, report or other document delivered under this Agreement or any other Loan Document or in connection with this Agreement or any other Loan Document, (x) the performance or observance of any of the covenants, agreements or other terms or conditions set forth herein or in any other Loan Document, (y) the validity, enforceability, effectiveness or genuineness of this Agreement or any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other agreement, instrument or document, or (z) the satisfaction of any condition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elsewhere herein, other than those conditions requiring delivery of items expressly required to be delivered to the Administrative Agent.</w:t>
      </w:r>
    </w:p>
    <w:p>
      <w:pPr>
        <w:spacing w:after="0" w:line="170"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The Administrative Agent shall be entitled to rely upon, and shall not incur any liability for relying upon, any notice, request, certificate, consent, statement, instrument, document or other writing believed in good faith by it to be genuine and to have been signed or sent by the proper Person. The Administrative Agent also may rely upon any statement made to it orally or by telephone and believed in good faith by it to be made by the proper Person, and shall not incur any liability for relying thereon. The Administrative Agent may consult with legal counsel (who may be counsel for any Borrower), independent accountants and other experts selected by it, and shall not be liable for any action taken or not taken by it, in each case in good faith in accordance with the advice of any such counsel, accountants or experts.</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Subject to the appointment and acceptance of a successor Administrative Agent as provided in this paragraph and the second succeeding paragraph, the Administrative Agent may resign at any time by notifying the Lenders, each Issuing Bank and the Borrowers. Upon any resignation of the Administrative Agent, the Required Lenders shall have the right, in consultation with the Borrowers,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w:t>
      </w:r>
    </w:p>
    <w:p>
      <w:pPr>
        <w:spacing w:after="0" w:line="17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In addition, in the event that (i) the Person serving as the Administrative Agent is a Defaulting Lender, (ii) such Person has been replaced in its capacity as a Lender pursuant to </w:t>
      </w:r>
      <w:r>
        <w:rPr>
          <w:rFonts w:ascii="Arial" w:cs="Arial" w:eastAsia="Arial" w:hAnsi="Arial"/>
          <w:sz w:val="18"/>
          <w:szCs w:val="18"/>
          <w:u w:val="single" w:color="auto"/>
          <w:color w:val="auto"/>
        </w:rPr>
        <w:t>Section 4.03(b)</w:t>
      </w:r>
      <w:r>
        <w:rPr>
          <w:rFonts w:ascii="Arial" w:cs="Arial" w:eastAsia="Arial" w:hAnsi="Arial"/>
          <w:sz w:val="18"/>
          <w:szCs w:val="18"/>
          <w:color w:val="auto"/>
        </w:rPr>
        <w:t xml:space="preserve">, (iii) if such Person is a Swingline Lender, such Person has been replaced in its capacity as a Swingline Lender pursuant to </w:t>
      </w:r>
      <w:r>
        <w:rPr>
          <w:rFonts w:ascii="Arial" w:cs="Arial" w:eastAsia="Arial" w:hAnsi="Arial"/>
          <w:sz w:val="18"/>
          <w:szCs w:val="18"/>
          <w:u w:val="single" w:color="auto"/>
          <w:color w:val="auto"/>
        </w:rPr>
        <w:t>Section 4.03(b)</w:t>
      </w:r>
      <w:r>
        <w:rPr>
          <w:rFonts w:ascii="Arial" w:cs="Arial" w:eastAsia="Arial" w:hAnsi="Arial"/>
          <w:sz w:val="18"/>
          <w:szCs w:val="18"/>
          <w:color w:val="auto"/>
        </w:rPr>
        <w:t xml:space="preserve">, and (iv) if such Person is an Issuing Bank, (A) the LC Commitment of such Person, as an Issuing Bank, has been terminated pursuant to </w:t>
      </w:r>
      <w:r>
        <w:rPr>
          <w:rFonts w:ascii="Arial" w:cs="Arial" w:eastAsia="Arial" w:hAnsi="Arial"/>
          <w:sz w:val="18"/>
          <w:szCs w:val="18"/>
          <w:u w:val="single" w:color="auto"/>
          <w:color w:val="auto"/>
        </w:rPr>
        <w:t>Section 3.01(i)</w:t>
      </w:r>
      <w:r>
        <w:rPr>
          <w:rFonts w:ascii="Arial" w:cs="Arial" w:eastAsia="Arial" w:hAnsi="Arial"/>
          <w:sz w:val="18"/>
          <w:szCs w:val="18"/>
          <w:color w:val="auto"/>
        </w:rPr>
        <w:t xml:space="preserve"> and (B) no Letters of Credit issued by such Person, as an Issuing Bank, are outstanding such time (unless arrangements satisfactory to such Person for the cash collateralization thereof have been made), then the Required Lenders or the Borrowers may, by written notice to the Administrative Agent, remove such Person from its capacity as Administrative Agent under the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consent or agreement of such Person, in any of its capacities, shall not be required in respect of its removal as a Lender or a Swingline Lender;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 successor Administrative Agent selected by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Required Lenders, in consultation with the Borrowers, shall be appointed concurrently with such removal.</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Upon the acceptance of its appointment as Administrative Agent hereunder by a successor, such successor shall succeed to and become vested with all the rights, powers, privileges and duties of the retiring or removed Administrative Agent, and the retiring or removed Administrative Agent shall be discharged from its duties and obligations hereunder. The fees payable by the Borrowers to a successor Administrative Agent shall be the same as those</w:t>
      </w:r>
    </w:p>
    <w:p>
      <w:pPr>
        <w:sectPr>
          <w:pgSz w:w="11900" w:h="16952" w:orient="portrait"/>
          <w:cols w:equalWidth="0" w:num="1">
            <w:col w:w="11400"/>
          </w:cols>
          <w:pgMar w:left="240" w:top="341" w:right="259" w:bottom="0" w:gutter="0" w:footer="0" w:header="0"/>
        </w:sectPr>
      </w:pPr>
    </w:p>
    <w:bookmarkStart w:id="78" w:name="page79"/>
    <w:bookmarkEnd w:id="78"/>
    <w:p>
      <w:pPr>
        <w:ind w:right="500"/>
        <w:spacing w:after="0" w:line="259" w:lineRule="auto"/>
        <w:rPr>
          <w:sz w:val="20"/>
          <w:szCs w:val="20"/>
          <w:color w:val="auto"/>
        </w:rPr>
      </w:pPr>
      <w:r>
        <w:rPr>
          <w:rFonts w:ascii="Arial" w:cs="Arial" w:eastAsia="Arial" w:hAnsi="Arial"/>
          <w:sz w:val="18"/>
          <w:szCs w:val="18"/>
          <w:color w:val="auto"/>
        </w:rPr>
        <w:t xml:space="preserve">payable to its predecessor unless otherwise agreed between the Borrowers and such successor. After the Administrative Agent’s resignation or removal hereunder, the provisions of this Article and </w:t>
      </w:r>
      <w:r>
        <w:rPr>
          <w:rFonts w:ascii="Arial" w:cs="Arial" w:eastAsia="Arial" w:hAnsi="Arial"/>
          <w:sz w:val="18"/>
          <w:szCs w:val="18"/>
          <w:u w:val="single" w:color="auto"/>
          <w:color w:val="auto"/>
        </w:rPr>
        <w:t>Sections 11.03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it was acting as Administrative Agent.</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Each Lender acknowledges and agrees that the extension of credit made hereunder are commercial loans and letters of credit and not investments in a business enterprise or securities. Each Lender further represents that it is engaged in making, acquiring or holding commercial loans in the ordinary course of its business and that it has, independently and without reliance upon the Administrative Agent or any other Lender and based on such documents and information as it has deemed appropriate, made its own credit analysis and decision to enter into this Agreement as a Lender, and to make, acquire or hold Loans hereunder. Each Lender also acknowledges that it shall, independently and without reliance upon the Administrative Agent or any other Lender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any related agreement or any document furnished hereunder or thereunder and in deciding whether or to the extent to which it will continue as a Lender or assign or otherwise transfer its rights, interests and obligations hereunder.</w:t>
      </w:r>
    </w:p>
    <w:p>
      <w:pPr>
        <w:spacing w:after="0" w:line="167" w:lineRule="exact"/>
        <w:rPr>
          <w:sz w:val="20"/>
          <w:szCs w:val="20"/>
          <w:color w:val="auto"/>
        </w:rPr>
      </w:pPr>
    </w:p>
    <w:p>
      <w:pPr>
        <w:ind w:right="600" w:firstLine="648"/>
        <w:spacing w:after="0" w:line="286" w:lineRule="auto"/>
        <w:rPr>
          <w:sz w:val="20"/>
          <w:szCs w:val="20"/>
          <w:color w:val="auto"/>
        </w:rPr>
      </w:pPr>
      <w:r>
        <w:rPr>
          <w:rFonts w:ascii="Arial" w:cs="Arial" w:eastAsia="Arial" w:hAnsi="Arial"/>
          <w:sz w:val="17"/>
          <w:szCs w:val="17"/>
          <w:color w:val="auto"/>
        </w:rPr>
        <w:t>Notwithstanding anything to the contrary contained herein, none of the Joint Lead Arrangers, Joint Bookrunners, Syndication Agent or Co-Documentation Agents listed on the cover page hereof shall have any powers, duties or responsibilities under this Agreement or any of the other Loan Documents, except in its capacity, as applicable, as the Administrative Agent, a Lender or an Issuing Bank hereunder.</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to the foregoing, (a) each Lender (x) represents and warrants, as of the date such Person became a Lender party hereto, to, and</w:t>
      </w:r>
    </w:p>
    <w:p>
      <w:pPr>
        <w:spacing w:after="0" w:line="35" w:lineRule="exact"/>
        <w:rPr>
          <w:sz w:val="20"/>
          <w:szCs w:val="20"/>
          <w:color w:val="auto"/>
        </w:rPr>
      </w:pPr>
    </w:p>
    <w:p>
      <w:pPr>
        <w:ind w:left="5580" w:right="1480" w:hanging="5572"/>
        <w:spacing w:after="0" w:line="511" w:lineRule="auto"/>
        <w:tabs>
          <w:tab w:leader="none" w:pos="26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covenants, from the date such Person became a Lender party hereto to the date such Person ceases being a Lender party hereto, for the 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benefit of, the Administrative Agent, and each Joint Lead Arranger and their respective Affiliates, and not, for the avoidance of doubt, to or for the benefit of the Borrowers or any other Loan Party, that at least one of the following is and will be true:</w:t>
      </w:r>
    </w:p>
    <w:p>
      <w:pPr>
        <w:spacing w:after="0" w:line="170" w:lineRule="exact"/>
        <w:rPr>
          <w:sz w:val="20"/>
          <w:szCs w:val="20"/>
          <w:color w:val="auto"/>
        </w:rPr>
      </w:pPr>
    </w:p>
    <w:p>
      <w:pPr>
        <w:ind w:left="660" w:right="300" w:firstLine="645"/>
        <w:spacing w:after="0" w:line="277" w:lineRule="auto"/>
        <w:tabs>
          <w:tab w:leader="none" w:pos="1523" w:val="left"/>
        </w:tabs>
        <w:numPr>
          <w:ilvl w:val="1"/>
          <w:numId w:val="219"/>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 the Letters of Credit or the Commitments,</w:t>
      </w:r>
    </w:p>
    <w:p>
      <w:pPr>
        <w:spacing w:after="0" w:line="170" w:lineRule="exact"/>
        <w:rPr>
          <w:rFonts w:ascii="Arial" w:cs="Arial" w:eastAsia="Arial" w:hAnsi="Arial"/>
          <w:sz w:val="18"/>
          <w:szCs w:val="18"/>
          <w:color w:val="auto"/>
        </w:rPr>
      </w:pPr>
    </w:p>
    <w:p>
      <w:pPr>
        <w:ind w:left="660" w:right="140" w:firstLine="645"/>
        <w:spacing w:after="0" w:line="255" w:lineRule="auto"/>
        <w:tabs>
          <w:tab w:leader="none" w:pos="1573"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and the conditions for exemptive relief thereunder are and will continue to be satisfied in connection therewith,</w:t>
      </w:r>
    </w:p>
    <w:p>
      <w:pPr>
        <w:spacing w:after="0" w:line="189" w:lineRule="exact"/>
        <w:rPr>
          <w:rFonts w:ascii="Arial" w:cs="Arial" w:eastAsia="Arial" w:hAnsi="Arial"/>
          <w:sz w:val="18"/>
          <w:szCs w:val="18"/>
          <w:color w:val="auto"/>
        </w:rPr>
      </w:pPr>
    </w:p>
    <w:p>
      <w:pPr>
        <w:ind w:left="660" w:right="60" w:firstLine="645"/>
        <w:spacing w:after="0" w:line="286" w:lineRule="auto"/>
        <w:tabs>
          <w:tab w:leader="none" w:pos="1623" w:val="left"/>
        </w:tabs>
        <w:numPr>
          <w:ilvl w:val="1"/>
          <w:numId w:val="219"/>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w:t>
      </w:r>
    </w:p>
    <w:p>
      <w:pPr>
        <w:spacing w:after="0" w:line="1" w:lineRule="exact"/>
        <w:rPr>
          <w:rFonts w:ascii="Arial" w:cs="Arial" w:eastAsia="Arial" w:hAnsi="Arial"/>
          <w:sz w:val="16"/>
          <w:szCs w:val="16"/>
          <w:color w:val="auto"/>
        </w:rPr>
      </w:pPr>
    </w:p>
    <w:p>
      <w:pPr>
        <w:jc w:val="both"/>
        <w:ind w:left="660" w:right="80" w:hanging="4"/>
        <w:spacing w:after="0" w:line="255" w:lineRule="auto"/>
        <w:tabs>
          <w:tab w:leader="none" w:pos="91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0" w:lineRule="exact"/>
        <w:rPr>
          <w:rFonts w:ascii="Arial" w:cs="Arial" w:eastAsia="Arial" w:hAnsi="Arial"/>
          <w:sz w:val="18"/>
          <w:szCs w:val="18"/>
          <w:color w:val="auto"/>
        </w:rPr>
      </w:pPr>
    </w:p>
    <w:p>
      <w:pPr>
        <w:ind w:left="660" w:right="140" w:firstLine="645"/>
        <w:spacing w:after="0" w:line="277" w:lineRule="auto"/>
        <w:tabs>
          <w:tab w:leader="none" w:pos="1613" w:val="left"/>
        </w:tabs>
        <w:numPr>
          <w:ilvl w:val="1"/>
          <w:numId w:val="220"/>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sz w:val="20"/>
          <w:szCs w:val="20"/>
          <w:color w:val="auto"/>
        </w:rPr>
      </w:pPr>
    </w:p>
    <w:p>
      <w:pPr>
        <w:ind w:right="40" w:firstLine="656"/>
        <w:spacing w:after="0" w:line="276" w:lineRule="auto"/>
        <w:tabs>
          <w:tab w:leader="none" w:pos="903" w:val="left"/>
        </w:tabs>
        <w:numPr>
          <w:ilvl w:val="0"/>
          <w:numId w:val="221"/>
        </w:numPr>
        <w:rPr>
          <w:rFonts w:ascii="Arial" w:cs="Arial" w:eastAsia="Arial" w:hAnsi="Arial"/>
          <w:sz w:val="17"/>
          <w:szCs w:val="17"/>
          <w:color w:val="auto"/>
        </w:rPr>
      </w:pPr>
      <w:r>
        <w:rPr>
          <w:rFonts w:ascii="Arial" w:cs="Arial" w:eastAsia="Arial" w:hAnsi="Arial"/>
          <w:sz w:val="17"/>
          <w:szCs w:val="17"/>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 or any other Loan Party, that:</w:t>
      </w:r>
    </w:p>
    <w:p>
      <w:pPr>
        <w:spacing w:after="0" w:line="172" w:lineRule="exact"/>
        <w:rPr>
          <w:rFonts w:ascii="Arial" w:cs="Arial" w:eastAsia="Arial" w:hAnsi="Arial"/>
          <w:sz w:val="17"/>
          <w:szCs w:val="17"/>
          <w:color w:val="auto"/>
        </w:rPr>
      </w:pPr>
    </w:p>
    <w:p>
      <w:pPr>
        <w:ind w:left="660" w:right="60" w:firstLine="645"/>
        <w:spacing w:after="0" w:line="277" w:lineRule="auto"/>
        <w:tabs>
          <w:tab w:leader="none" w:pos="1523" w:val="left"/>
        </w:tabs>
        <w:numPr>
          <w:ilvl w:val="1"/>
          <w:numId w:val="221"/>
        </w:numPr>
        <w:rPr>
          <w:rFonts w:ascii="Arial" w:cs="Arial" w:eastAsia="Arial" w:hAnsi="Arial"/>
          <w:sz w:val="18"/>
          <w:szCs w:val="18"/>
          <w:color w:val="auto"/>
        </w:rPr>
      </w:pPr>
      <w:r>
        <w:rPr>
          <w:rFonts w:ascii="Arial" w:cs="Arial" w:eastAsia="Arial" w:hAnsi="Arial"/>
          <w:sz w:val="18"/>
          <w:szCs w:val="18"/>
          <w:color w:val="auto"/>
        </w:rPr>
        <w:t>none of the Administrative Agent, or any Joint Lead Arranger or any of their respective Affiliates is a fiduciary with respect to the assets of such Lender (including in connection with the reservation or exercise of any rights by the Administrative Agent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this Agreement, any Loan Document or any documents related to hereto or thereto),</w:t>
      </w:r>
    </w:p>
    <w:p>
      <w:pPr>
        <w:spacing w:after="0" w:line="225" w:lineRule="exact"/>
        <w:rPr>
          <w:sz w:val="20"/>
          <w:szCs w:val="20"/>
          <w:color w:val="auto"/>
        </w:rPr>
      </w:pPr>
    </w:p>
    <w:p>
      <w:pPr>
        <w:jc w:val="both"/>
        <w:ind w:left="660" w:right="60" w:firstLine="645"/>
        <w:spacing w:after="0" w:line="302" w:lineRule="auto"/>
        <w:tabs>
          <w:tab w:leader="none" w:pos="1573"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ectPr>
          <w:pgSz w:w="11900" w:h="16838" w:orient="portrait"/>
          <w:cols w:equalWidth="0" w:num="1">
            <w:col w:w="11420"/>
          </w:cols>
          <w:pgMar w:left="240" w:top="125" w:right="239" w:bottom="0" w:gutter="0" w:footer="0" w:header="0"/>
        </w:sectPr>
      </w:pPr>
    </w:p>
    <w:bookmarkStart w:id="79" w:name="page80"/>
    <w:bookmarkEnd w:id="79"/>
    <w:p>
      <w:pPr>
        <w:spacing w:after="0" w:line="96" w:lineRule="exact"/>
        <w:rPr>
          <w:sz w:val="20"/>
          <w:szCs w:val="20"/>
          <w:color w:val="auto"/>
        </w:rPr>
      </w:pPr>
    </w:p>
    <w:p>
      <w:pPr>
        <w:ind w:left="660" w:right="20" w:firstLine="645"/>
        <w:spacing w:after="0" w:line="312" w:lineRule="auto"/>
        <w:tabs>
          <w:tab w:leader="none" w:pos="1623" w:val="left"/>
        </w:tabs>
        <w:numPr>
          <w:ilvl w:val="2"/>
          <w:numId w:val="223"/>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146" w:lineRule="exact"/>
        <w:rPr>
          <w:rFonts w:ascii="Arial" w:cs="Arial" w:eastAsia="Arial" w:hAnsi="Arial"/>
          <w:sz w:val="16"/>
          <w:szCs w:val="16"/>
          <w:color w:val="auto"/>
        </w:rPr>
      </w:pPr>
    </w:p>
    <w:p>
      <w:pPr>
        <w:ind w:left="660" w:right="20" w:firstLine="645"/>
        <w:spacing w:after="0" w:line="259" w:lineRule="auto"/>
        <w:tabs>
          <w:tab w:leader="none" w:pos="1613" w:val="left"/>
        </w:tabs>
        <w:numPr>
          <w:ilvl w:val="2"/>
          <w:numId w:val="223"/>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86" w:lineRule="exact"/>
        <w:rPr>
          <w:rFonts w:ascii="Arial" w:cs="Arial" w:eastAsia="Arial" w:hAnsi="Arial"/>
          <w:sz w:val="18"/>
          <w:szCs w:val="18"/>
          <w:color w:val="auto"/>
        </w:rPr>
      </w:pPr>
    </w:p>
    <w:p>
      <w:pPr>
        <w:ind w:left="660" w:right="260" w:firstLine="645"/>
        <w:spacing w:after="0" w:line="264" w:lineRule="auto"/>
        <w:tabs>
          <w:tab w:leader="none" w:pos="1563" w:val="left"/>
        </w:tabs>
        <w:numPr>
          <w:ilvl w:val="2"/>
          <w:numId w:val="223"/>
        </w:numPr>
        <w:rPr>
          <w:rFonts w:ascii="Arial" w:cs="Arial" w:eastAsia="Arial" w:hAnsi="Arial"/>
          <w:sz w:val="18"/>
          <w:szCs w:val="18"/>
          <w:color w:val="auto"/>
        </w:rPr>
      </w:pPr>
      <w:r>
        <w:rPr>
          <w:rFonts w:ascii="Arial" w:cs="Arial" w:eastAsia="Arial" w:hAnsi="Arial"/>
          <w:sz w:val="18"/>
          <w:szCs w:val="18"/>
          <w:color w:val="auto"/>
        </w:rPr>
        <w:t>no fee or other compensation is being paid directly to the Administrative Agent, or any Joint Lead Arranger or any of their respective Affiliates for investment advice (as opposed to other services) in connection with the Loans, the Letters of Credit, the Commitments or this Agreement.</w:t>
      </w:r>
    </w:p>
    <w:p>
      <w:pPr>
        <w:spacing w:after="0" w:line="181" w:lineRule="exact"/>
        <w:rPr>
          <w:rFonts w:ascii="Arial" w:cs="Arial" w:eastAsia="Arial" w:hAnsi="Arial"/>
          <w:sz w:val="18"/>
          <w:szCs w:val="18"/>
          <w:color w:val="auto"/>
        </w:rPr>
      </w:pPr>
    </w:p>
    <w:p>
      <w:pPr>
        <w:ind w:right="120" w:firstLine="656"/>
        <w:spacing w:after="0" w:line="285" w:lineRule="auto"/>
        <w:tabs>
          <w:tab w:leader="none" w:pos="89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The Administrative Agent, and each Joint Lead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w:t>
      </w:r>
    </w:p>
    <w:p>
      <w:pPr>
        <w:spacing w:after="0" w:line="2" w:lineRule="exact"/>
        <w:rPr>
          <w:rFonts w:ascii="Arial" w:cs="Arial" w:eastAsia="Arial" w:hAnsi="Arial"/>
          <w:sz w:val="16"/>
          <w:szCs w:val="16"/>
          <w:color w:val="auto"/>
        </w:rPr>
      </w:pPr>
    </w:p>
    <w:p>
      <w:pPr>
        <w:ind w:right="80" w:firstLine="8"/>
        <w:spacing w:after="0" w:line="273" w:lineRule="auto"/>
        <w:tabs>
          <w:tab w:leader="none" w:pos="315" w:val="left"/>
        </w:tabs>
        <w:numPr>
          <w:ilvl w:val="0"/>
          <w:numId w:val="225"/>
        </w:numPr>
        <w:rPr>
          <w:rFonts w:ascii="Arial" w:cs="Arial" w:eastAsia="Arial" w:hAnsi="Arial"/>
          <w:sz w:val="17"/>
          <w:szCs w:val="17"/>
          <w:color w:val="auto"/>
        </w:rPr>
      </w:pPr>
      <w:r>
        <w:rPr>
          <w:rFonts w:ascii="Arial" w:cs="Arial" w:eastAsia="Arial" w:hAnsi="Arial"/>
          <w:sz w:val="17"/>
          <w:szCs w:val="17"/>
          <w:color w:val="auto"/>
        </w:rPr>
        <w:t>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Waiver; Amendments; Joinder; Removal of Certain Borrowers; Release of Guarantors</w:t>
      </w:r>
      <w:r>
        <w:rPr>
          <w:rFonts w:ascii="Arial" w:cs="Arial" w:eastAsia="Arial" w:hAnsi="Arial"/>
          <w:sz w:val="18"/>
          <w:szCs w:val="18"/>
          <w:color w:val="auto"/>
        </w:rPr>
        <w:t>.</w:t>
      </w:r>
    </w:p>
    <w:p>
      <w:pPr>
        <w:spacing w:after="0" w:line="225" w:lineRule="exact"/>
        <w:rPr>
          <w:sz w:val="20"/>
          <w:szCs w:val="20"/>
          <w:color w:val="auto"/>
        </w:rPr>
      </w:pPr>
    </w:p>
    <w:p>
      <w:pPr>
        <w:ind w:right="40" w:firstLine="1305"/>
        <w:spacing w:after="0" w:line="289" w:lineRule="auto"/>
        <w:tabs>
          <w:tab w:leader="none" w:pos="1942"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this Agreement or any other Loan Document or consent to any departure by any Obligor therefrom shall in any event be effective unless the same shall be permitted by paragraph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or Event of Default, regardless of whether the Administrative Agent, any Lender or any Issuing Bank may have had notice or knowledge of such Default at the time.</w:t>
      </w:r>
    </w:p>
    <w:p>
      <w:pPr>
        <w:spacing w:after="0" w:line="166" w:lineRule="exact"/>
        <w:rPr>
          <w:rFonts w:ascii="Arial" w:cs="Arial" w:eastAsia="Arial" w:hAnsi="Arial"/>
          <w:sz w:val="16"/>
          <w:szCs w:val="16"/>
          <w:color w:val="auto"/>
        </w:rPr>
      </w:pPr>
    </w:p>
    <w:p>
      <w:pPr>
        <w:ind w:right="100" w:firstLine="1305"/>
        <w:spacing w:after="0" w:line="268" w:lineRule="auto"/>
        <w:tabs>
          <w:tab w:leader="none" w:pos="1952" w:val="left"/>
        </w:tabs>
        <w:numPr>
          <w:ilvl w:val="0"/>
          <w:numId w:val="226"/>
        </w:numPr>
        <w:rPr>
          <w:rFonts w:ascii="Arial" w:cs="Arial" w:eastAsia="Arial" w:hAnsi="Arial"/>
          <w:sz w:val="17"/>
          <w:szCs w:val="17"/>
          <w:color w:val="auto"/>
        </w:rPr>
      </w:pPr>
      <w:r>
        <w:rPr>
          <w:rFonts w:ascii="Arial" w:cs="Arial" w:eastAsia="Arial" w:hAnsi="Arial"/>
          <w:sz w:val="17"/>
          <w:szCs w:val="17"/>
          <w:color w:val="auto"/>
        </w:rPr>
        <w:t xml:space="preserve">Neither this Agreement nor any provision hereof may be waived, amended or modified except pursuant to an agreement or agreements in writing entered into by the Obligor Parties and the Required Lenders or by the Obligor Parties and the Administrative Agent, with the consent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agreement shall (i) increase the Commitment of any Lender without the written consent of such Lender (irrespective of whether such Lender is a Defaulting Lender), (ii) reduce or forgive the principal amount of any Loan or LC Disbursement or reduce the rate of interest thereon, or reduce or forgive any interest or fees payable hereunder, without the written consent of each Lender affected thereby (including Defaulting Lenders),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affected thereby (including Defaulting Lenders), (iv) change </w:t>
      </w:r>
      <w:r>
        <w:rPr>
          <w:rFonts w:ascii="Arial" w:cs="Arial" w:eastAsia="Arial" w:hAnsi="Arial"/>
          <w:sz w:val="17"/>
          <w:szCs w:val="17"/>
          <w:u w:val="single" w:color="auto"/>
          <w:color w:val="auto"/>
        </w:rPr>
        <w:t>Section 4.01(b)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4.01(c)</w:t>
      </w:r>
      <w:r>
        <w:rPr>
          <w:rFonts w:ascii="Arial" w:cs="Arial" w:eastAsia="Arial" w:hAnsi="Arial"/>
          <w:sz w:val="17"/>
          <w:szCs w:val="17"/>
          <w:color w:val="auto"/>
        </w:rPr>
        <w:t xml:space="preserve"> in a manner that would alter the pro rata sharing of payments required thereby, without the written consent of each Lender (other than Defaulting Lenders), (v) change any of the provisions of this Section or the definition of “Required Lenders” or any other provision of any Loan Document specifying the number or percentage of Lenders required to waive, amend or modify any rights hereunder or thereunder or make any determination or grant any consent hereunder or thereunder, without the written consent of each Lender (other than Defaulting Lenders), (vi) except as provided in </w:t>
      </w:r>
      <w:r>
        <w:rPr>
          <w:rFonts w:ascii="Arial" w:cs="Arial" w:eastAsia="Arial" w:hAnsi="Arial"/>
          <w:sz w:val="17"/>
          <w:szCs w:val="17"/>
          <w:u w:val="single" w:color="auto"/>
          <w:color w:val="auto"/>
        </w:rPr>
        <w:t>Section 11.01(d)</w:t>
      </w:r>
      <w:r>
        <w:rPr>
          <w:rFonts w:ascii="Arial" w:cs="Arial" w:eastAsia="Arial" w:hAnsi="Arial"/>
          <w:sz w:val="17"/>
          <w:szCs w:val="17"/>
          <w:color w:val="auto"/>
        </w:rPr>
        <w:t xml:space="preserve">, release any Borrower from its joint and several liability for the Obligations, without the written consent of each Lender (other than Defaulting Lenders), or (vii) release any Person from its liability under a guaranty (other than the release of WII from its obligations under the Guaranty Agreement in accordance with the terms set forth in the Guaranty Agreement), without the written consent of each Lender (other than Defaulting Lenders);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such agreement shall amend, modify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otherwise affect the rights or duties of the Administrative Agent, any Swingline Lender or any Issuing Bank hereunder without the prior written consent of the Administrative Agent, such Swingline Lender or such Issuing Bank, as the case may be;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such agreement shall amend or modify any provision of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without the consent of the Administrative Agent, each Swingline Lender, each Issuing Bank and the Required Lenders. Subject to the foregoing, the waiver, amendment or modification of any provision of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may be effected with the consent of the Required Lenders. Notwithstanding anything to the contrary herein, this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shall, in respect of a Defaulting Lender, be subject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2.17(b)</w:t>
      </w:r>
      <w:r>
        <w:rPr>
          <w:rFonts w:ascii="Arial" w:cs="Arial" w:eastAsia="Arial" w:hAnsi="Arial"/>
          <w:sz w:val="18"/>
          <w:szCs w:val="18"/>
          <w:color w:val="auto"/>
        </w:rPr>
        <w:t>.</w:t>
      </w:r>
    </w:p>
    <w:p>
      <w:pPr>
        <w:spacing w:after="0" w:line="211" w:lineRule="exact"/>
        <w:rPr>
          <w:sz w:val="20"/>
          <w:szCs w:val="20"/>
          <w:color w:val="auto"/>
        </w:rPr>
      </w:pPr>
    </w:p>
    <w:p>
      <w:pPr>
        <w:ind w:right="220" w:firstLine="1305"/>
        <w:spacing w:after="0" w:line="293" w:lineRule="auto"/>
        <w:tabs>
          <w:tab w:leader="none" w:pos="195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From time to time, WIL-Ireland may cause one or more additional Wholly-Owned Subsidiaries to become Borrowers hereunder by delivering, or causing to be delivered, to the Administrative Agent in respect of each applicable Subsidiary, the following, each in form and substance reasonably satisfactory to the Administrative Agent: (i) a Joinder Agreement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attached hereto, executed and delivered by such Subsidiary (the date of each such Joinder Agreement being referred to herein as a “</w:t>
      </w:r>
      <w:r>
        <w:rPr>
          <w:rFonts w:ascii="Arial" w:cs="Arial" w:eastAsia="Arial" w:hAnsi="Arial"/>
          <w:sz w:val="16"/>
          <w:szCs w:val="16"/>
          <w:u w:val="single" w:color="auto"/>
          <w:color w:val="auto"/>
        </w:rPr>
        <w:t>Joinder Date</w:t>
      </w:r>
      <w:r>
        <w:rPr>
          <w:rFonts w:ascii="Arial" w:cs="Arial" w:eastAsia="Arial" w:hAnsi="Arial"/>
          <w:sz w:val="16"/>
          <w:szCs w:val="16"/>
          <w:color w:val="auto"/>
        </w:rPr>
        <w:t xml:space="preserve">”, which date shall be at least ten days after WIL-Ireland provides notice to the Administrative Agent of its intention to cause such Subsidiary to become a Borrower hereunder), (ii) each of the documents or other closing deliverables specified in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that would have been required to be delivered by or on behalf of such Subsidiary had such Subsidiary been a</w:t>
      </w:r>
    </w:p>
    <w:p>
      <w:pPr>
        <w:sectPr>
          <w:pgSz w:w="11900" w:h="16934" w:orient="portrait"/>
          <w:cols w:equalWidth="0" w:num="1">
            <w:col w:w="11420"/>
          </w:cols>
          <w:pgMar w:left="240" w:top="125" w:right="239" w:bottom="0" w:gutter="0" w:footer="0" w:header="0"/>
        </w:sectPr>
      </w:pPr>
    </w:p>
    <w:bookmarkStart w:id="80" w:name="page81"/>
    <w:bookmarkEnd w:id="80"/>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Borrower on the Effective Date, each such deliverable to be dated as of the applicable Joinder Date unless otherwise agreed by the Administrative Agent,</w:t>
      </w:r>
    </w:p>
    <w:p>
      <w:pPr>
        <w:spacing w:after="0" w:line="46" w:lineRule="exact"/>
        <w:rPr>
          <w:sz w:val="20"/>
          <w:szCs w:val="20"/>
          <w:color w:val="auto"/>
        </w:rPr>
      </w:pPr>
    </w:p>
    <w:p>
      <w:pPr>
        <w:ind w:right="40" w:firstLine="8"/>
        <w:spacing w:after="0" w:line="284" w:lineRule="auto"/>
        <w:tabs>
          <w:tab w:leader="none" w:pos="31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replacement Notes dated as of the applicable Joinder Date payable to each Lender for which an existing Note is outstanding on such Joinder Date, (iv) a written confirmation by the Guarantors that their guarantee obligations shall apply to the obligations of such Subsidiary under the Loan Documents from and after the Joinder Date and (v) such other approvals, opinions or documents as the Administrative Agent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Subsidiary may become a Borrower hereunder pursuant to this paragraph </w:t>
      </w:r>
      <w:r>
        <w:rPr>
          <w:rFonts w:ascii="Arial" w:cs="Arial" w:eastAsia="Arial" w:hAnsi="Arial"/>
          <w:sz w:val="16"/>
          <w:szCs w:val="16"/>
          <w:u w:val="single" w:color="auto"/>
          <w:color w:val="auto"/>
        </w:rPr>
        <w:t>(c)</w:t>
      </w:r>
      <w:r>
        <w:rPr>
          <w:rFonts w:ascii="Arial" w:cs="Arial" w:eastAsia="Arial" w:hAnsi="Arial"/>
          <w:sz w:val="16"/>
          <w:szCs w:val="16"/>
          <w:color w:val="auto"/>
        </w:rPr>
        <w:t xml:space="preserve"> if (x) a Default or Event of Default shall have occurred and be continuing on the applicable Joinder Date, or shall result from the joinder of such Subsidiary as a Borrower on such Joinder Date, or (y) such Subsidiary is not organized under the laws of any jurisdiction of the United States and any Lender notifies the Administrative Agent that such Subsidiary is organized in a jurisdiction in which such Lender and its Affiliates cannot legally lend or do business. Without limiting the foregoing, if the designation of any additional Wholly-Owned Subsidiary as a Borrower hereunder obligates the Administrative Agent or any Lender to comply with “know your customer” or similar regulatory requirements and the information necessary for such compliance is not already available to the Administrative Agent or such Lender, as applicable, WIL-Ireland shall, promptly upon the request of the Administrative Agent or such Lender, as applicable, supply such documentation and other evidence as is reasonably requested by the Administrative Agent or such Lender, as applicable, in order for it to comply with all “know your customer” and/or similar identification procedures required under all applicable laws and regulations. If WIL-Ireland shall designate an additional Wholly-Owned Subsidiary as a Borrower hereunder that is not organized under the laws of any jurisdiction of the United States, the Republic of Hungary or Bermuda, WIL-Ireland shall notify the Administrative Agent and the Lenders, on or prior to the Joinder Date applicable to such Subsidiary, of all documentation prescribed by the law of the jurisdiction in which such Subsidiary is organized, tax resident or otherwise located, or any treaty to which any such jurisdiction is a party, as shall permit payments made by such Subsidiary under this Agreement and the other Loan Documents to be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made without withholding or at a reduced rate to the extent an exemption or reduction is available under any such applicable law or treaty.</w:t>
      </w:r>
    </w:p>
    <w:p>
      <w:pPr>
        <w:spacing w:after="0" w:line="225" w:lineRule="exact"/>
        <w:rPr>
          <w:sz w:val="20"/>
          <w:szCs w:val="20"/>
          <w:color w:val="auto"/>
        </w:rPr>
      </w:pPr>
    </w:p>
    <w:p>
      <w:pPr>
        <w:ind w:right="40" w:firstLine="1305"/>
        <w:spacing w:after="0" w:line="268" w:lineRule="auto"/>
        <w:tabs>
          <w:tab w:leader="none" w:pos="1952" w:val="left"/>
        </w:tabs>
        <w:numPr>
          <w:ilvl w:val="0"/>
          <w:numId w:val="229"/>
        </w:numPr>
        <w:rPr>
          <w:rFonts w:ascii="Arial" w:cs="Arial" w:eastAsia="Arial" w:hAnsi="Arial"/>
          <w:sz w:val="17"/>
          <w:szCs w:val="17"/>
          <w:color w:val="auto"/>
        </w:rPr>
      </w:pPr>
      <w:r>
        <w:rPr>
          <w:rFonts w:ascii="Arial" w:cs="Arial" w:eastAsia="Arial" w:hAnsi="Arial"/>
          <w:sz w:val="17"/>
          <w:szCs w:val="17"/>
          <w:color w:val="auto"/>
        </w:rPr>
        <w:t>From time to time, WIL-Ireland may cause any Borrower (other than WIL) to cease to be a Borrower hereunder by (i) delivering to the Administrative Agent a notice to such effect, specifying the identity of the applicable Borrower and the proposed date on which such Borrower shall no longer be a Borrower hereunder, which date shall be no earlier than three Business Days after delivery of such notice (each such date being referred to herein as a “</w:t>
      </w:r>
      <w:r>
        <w:rPr>
          <w:rFonts w:ascii="Arial" w:cs="Arial" w:eastAsia="Arial" w:hAnsi="Arial"/>
          <w:sz w:val="17"/>
          <w:szCs w:val="17"/>
          <w:u w:val="single" w:color="auto"/>
          <w:color w:val="auto"/>
        </w:rPr>
        <w:t>Borrower Removal Date</w:t>
      </w:r>
      <w:r>
        <w:rPr>
          <w:rFonts w:ascii="Arial" w:cs="Arial" w:eastAsia="Arial" w:hAnsi="Arial"/>
          <w:sz w:val="17"/>
          <w:szCs w:val="17"/>
          <w:color w:val="auto"/>
        </w:rPr>
        <w:t xml:space="preserve">”) and (ii) delivering, or causing to be delivered, to the Administrative Agent replacement Notes dated as of the applicable Borrower Removal Date payable to each Lender for which an existing Note is outstanding on such Borrower Removal Date, executed by WIL and each other Borrower that shall not cease to be a Borrower on such Borrower Removal Date, in form and substance reasonably satisfactory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Borrower may cease to be a Borrower hereunder pursuant to this </w:t>
      </w:r>
      <w:r>
        <w:rPr>
          <w:rFonts w:ascii="Arial" w:cs="Arial" w:eastAsia="Arial" w:hAnsi="Arial"/>
          <w:sz w:val="17"/>
          <w:szCs w:val="17"/>
          <w:u w:val="single" w:color="auto"/>
          <w:color w:val="auto"/>
        </w:rPr>
        <w:t>Section 11.01(d)</w:t>
      </w:r>
      <w:r>
        <w:rPr>
          <w:rFonts w:ascii="Arial" w:cs="Arial" w:eastAsia="Arial" w:hAnsi="Arial"/>
          <w:sz w:val="17"/>
          <w:szCs w:val="17"/>
          <w:color w:val="auto"/>
        </w:rPr>
        <w:t xml:space="preserve"> if a Default or Event of Default shall have occurred and be continuing on the applicable Borrower Removal Date, or shall result from such Borrower ceasing to be a Borrower hereunder on such Borrower Removal Date. Upon satisfaction of the conditions set forth in the preceding sentence, on the applicable Borrower Removal Date, the applicable Borrower shall no longer be a “Borrower”, an “Obligor” or an “Obligor Party” hereunder or under any other Loan Document. Notwithstanding anything to the contrary contained herein, in the event that any Borrower shall cease to be a Borrower hereunder in accordance with this </w:t>
      </w:r>
      <w:r>
        <w:rPr>
          <w:rFonts w:ascii="Arial" w:cs="Arial" w:eastAsia="Arial" w:hAnsi="Arial"/>
          <w:sz w:val="17"/>
          <w:szCs w:val="17"/>
          <w:u w:val="single" w:color="auto"/>
          <w:color w:val="auto"/>
        </w:rPr>
        <w:t>Section 11.01(d)</w:t>
      </w:r>
      <w:r>
        <w:rPr>
          <w:rFonts w:ascii="Arial" w:cs="Arial" w:eastAsia="Arial" w:hAnsi="Arial"/>
          <w:sz w:val="17"/>
          <w:szCs w:val="17"/>
          <w:color w:val="auto"/>
        </w:rPr>
        <w:t>, the other Obligors shall remain jointly and severally liable with respect to each Loan made to such Borrower and each Letter of Credit issued for the account of such Borrower outstanding on the applicable Borrower Removal Date.</w:t>
      </w:r>
    </w:p>
    <w:p>
      <w:pPr>
        <w:spacing w:after="0" w:line="187" w:lineRule="exact"/>
        <w:rPr>
          <w:rFonts w:ascii="Arial" w:cs="Arial" w:eastAsia="Arial" w:hAnsi="Arial"/>
          <w:sz w:val="17"/>
          <w:szCs w:val="17"/>
          <w:color w:val="auto"/>
        </w:rPr>
      </w:pPr>
    </w:p>
    <w:p>
      <w:pPr>
        <w:jc w:val="both"/>
        <w:ind w:right="60" w:firstLine="1305"/>
        <w:spacing w:after="0" w:line="312" w:lineRule="auto"/>
        <w:tabs>
          <w:tab w:leader="none" w:pos="195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Promptly upon receipt of a written request therefor from the Borrowers, the Administrative Agent will execute and deliver all documents as may reasonably be requested to effect a release of a Guarantor that ceases to exist in accordance with </w:t>
      </w:r>
      <w:r>
        <w:rPr>
          <w:rFonts w:ascii="Arial" w:cs="Arial" w:eastAsia="Arial" w:hAnsi="Arial"/>
          <w:sz w:val="16"/>
          <w:szCs w:val="16"/>
          <w:u w:val="single" w:color="auto"/>
          <w:color w:val="auto"/>
        </w:rPr>
        <w:t>Section 8.02</w:t>
      </w:r>
      <w:r>
        <w:rPr>
          <w:rFonts w:ascii="Arial" w:cs="Arial" w:eastAsia="Arial" w:hAnsi="Arial"/>
          <w:sz w:val="16"/>
          <w:szCs w:val="16"/>
          <w:color w:val="auto"/>
        </w:rPr>
        <w:t>. The Borrowers hereby, jointly and severally, agree to pay all reasonable costs and expenses incurred by the Administrative Agent in connection with any such release of a Guarantor.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left="1940" w:hanging="635"/>
        <w:spacing w:after="0"/>
        <w:tabs>
          <w:tab w:leader="none" w:pos="19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Except in the case of notices and other communications expressly permitted to be given by telephone (and subject to</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paragraph (b) below), all notices and other communications provided for herein shall be in writing and shall be delivered by hand or overnight courier service, mailed by certified or registered mail or sent by electronic transmission (in .pdf format), as follows:</w:t>
      </w:r>
    </w:p>
    <w:p>
      <w:pPr>
        <w:spacing w:after="0" w:line="184" w:lineRule="exact"/>
        <w:rPr>
          <w:sz w:val="20"/>
          <w:szCs w:val="20"/>
          <w:color w:val="auto"/>
        </w:rPr>
      </w:pPr>
    </w:p>
    <w:p>
      <w:pPr>
        <w:ind w:left="2620" w:hanging="667"/>
        <w:spacing w:after="0"/>
        <w:tabs>
          <w:tab w:leader="none" w:pos="26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if to any Borrower or Guarantor, to it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Weatherford International,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(713) 836-4000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LegalWeatherford@weatherford.com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Weatherford International,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(713) 836-7460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Mark.Rothleitner@weatherford.com;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Josh.Silverman@weatherford.com</w:t>
      </w:r>
    </w:p>
    <w:p>
      <w:pPr>
        <w:spacing w:after="0" w:line="211" w:lineRule="exact"/>
        <w:rPr>
          <w:sz w:val="20"/>
          <w:szCs w:val="20"/>
          <w:color w:val="auto"/>
        </w:rPr>
      </w:pPr>
    </w:p>
    <w:p>
      <w:pPr>
        <w:ind w:left="2640" w:hanging="687"/>
        <w:spacing w:after="0"/>
        <w:tabs>
          <w:tab w:leader="none" w:pos="26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 to the Administrative Agent or to JPMorgan, in its capacity as an Issuing Bank or a Swingline Lender, to it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Chase Tower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CLS Unit: MC Loan &amp; Agency 7th Floor</w:t>
      </w:r>
    </w:p>
    <w:p>
      <w:pPr>
        <w:sectPr>
          <w:pgSz w:w="11900" w:h="16888" w:orient="portrait"/>
          <w:cols w:equalWidth="0" w:num="1">
            <w:col w:w="11420"/>
          </w:cols>
          <w:pgMar w:left="240" w:top="125" w:right="239" w:bottom="0" w:gutter="0" w:footer="0" w:header="0"/>
        </w:sectPr>
      </w:pPr>
    </w:p>
    <w:bookmarkStart w:id="81" w:name="page82"/>
    <w:bookmarkEnd w:id="81"/>
    <w:p>
      <w:pPr>
        <w:ind w:left="1960"/>
        <w:spacing w:after="0"/>
        <w:rPr>
          <w:sz w:val="20"/>
          <w:szCs w:val="20"/>
          <w:color w:val="auto"/>
        </w:rPr>
      </w:pPr>
      <w:r>
        <w:rPr>
          <w:rFonts w:ascii="Arial" w:cs="Arial" w:eastAsia="Arial" w:hAnsi="Arial"/>
          <w:sz w:val="18"/>
          <w:szCs w:val="18"/>
          <w:color w:val="auto"/>
        </w:rPr>
        <w:t>21 S. Clark</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Chicago, IL 60603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April Yebd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(312) 732-2628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(888) 208-7168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jpm.agency.servicing.6@jpmchase.com</w:t>
      </w:r>
    </w:p>
    <w:p>
      <w:pPr>
        <w:spacing w:after="0" w:line="211" w:lineRule="exact"/>
        <w:rPr>
          <w:sz w:val="20"/>
          <w:szCs w:val="20"/>
          <w:color w:val="auto"/>
        </w:rPr>
      </w:pPr>
    </w:p>
    <w:p>
      <w:pPr>
        <w:ind w:left="2640" w:hanging="687"/>
        <w:spacing w:after="0"/>
        <w:tabs>
          <w:tab w:leader="none" w:pos="26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to Deutsche Bank, in its capacity as an Issuing Bank, to it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Deutsche Bank AG New York Branch</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Global Loan Operations,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Standby Letter of Credit Unit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Everardus Rozing</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(212) 250-1014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(212) 797-0403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everardus.rozing@db.com;</w:t>
      </w:r>
    </w:p>
    <w:p>
      <w:pPr>
        <w:spacing w:after="0" w:line="207" w:lineRule="exact"/>
        <w:rPr>
          <w:sz w:val="20"/>
          <w:szCs w:val="20"/>
          <w:color w:val="auto"/>
        </w:rPr>
      </w:pPr>
    </w:p>
    <w:p>
      <w:pPr>
        <w:ind w:left="2620" w:hanging="667"/>
        <w:spacing w:after="0"/>
        <w:tabs>
          <w:tab w:leader="none" w:pos="2620" w:val="left"/>
        </w:tabs>
        <w:numPr>
          <w:ilvl w:val="0"/>
          <w:numId w:val="234"/>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reserved</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2600" w:hanging="647"/>
        <w:spacing w:after="0"/>
        <w:tabs>
          <w:tab w:leader="none" w:pos="26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if to Wells Fargo, in its capacity as an Issuing Bank, to it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1000 Louisiana Street, 9th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MAC T5002-090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Texas 77002-5005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Gracie Ramirez</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(713) 319-1307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(713) 739-1087</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gricelda.ramirez@wellsfargo.com;</w:t>
      </w:r>
    </w:p>
    <w:p>
      <w:pPr>
        <w:spacing w:after="0" w:line="211" w:lineRule="exact"/>
        <w:rPr>
          <w:sz w:val="20"/>
          <w:szCs w:val="20"/>
          <w:color w:val="auto"/>
        </w:rPr>
      </w:pPr>
    </w:p>
    <w:p>
      <w:pPr>
        <w:ind w:left="2620" w:hanging="667"/>
        <w:spacing w:after="0"/>
        <w:tabs>
          <w:tab w:leader="none" w:pos="26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if to Toronto Dominion, in its capacity as an Issuing Bank, to it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Toronto Dominion Bank, New York Branch</w:t>
      </w:r>
    </w:p>
    <w:p>
      <w:pPr>
        <w:ind w:left="1960"/>
        <w:spacing w:after="0" w:line="218" w:lineRule="auto"/>
        <w:rPr>
          <w:sz w:val="20"/>
          <w:szCs w:val="20"/>
          <w:color w:val="auto"/>
        </w:rPr>
      </w:pPr>
      <w:r>
        <w:rPr>
          <w:rFonts w:ascii="Arial" w:cs="Arial" w:eastAsia="Arial" w:hAnsi="Arial"/>
          <w:sz w:val="18"/>
          <w:szCs w:val="18"/>
          <w:color w:val="auto"/>
        </w:rPr>
        <w:t>77 King Street West,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Toronto ON M5K 1A2</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Maryam Royan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(416) 982-3503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(416) 982-8619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maryam.royan@tdsecurities.com</w:t>
      </w:r>
    </w:p>
    <w:p>
      <w:pPr>
        <w:spacing w:after="0" w:line="211" w:lineRule="exact"/>
        <w:rPr>
          <w:sz w:val="20"/>
          <w:szCs w:val="20"/>
          <w:color w:val="auto"/>
        </w:rPr>
      </w:pPr>
    </w:p>
    <w:p>
      <w:pPr>
        <w:ind w:left="660" w:right="740" w:firstLine="1293"/>
        <w:spacing w:after="0" w:line="277" w:lineRule="auto"/>
        <w:tabs>
          <w:tab w:leader="none" w:pos="263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if to any other Issuing Bank, to it at such address (or facsimile number) as shall be specified in the Issuing Bank Agreement to which such Issuing Bank shall be a party; and</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if to any Lender, to it at its address (or facsimile number) set forth in its Administrative Questionnaire.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to the extent provided in paragraph (b) below, shall be effective as provided in said paragraph (b).</w:t>
      </w:r>
    </w:p>
    <w:p>
      <w:pPr>
        <w:spacing w:after="0" w:line="187" w:lineRule="exact"/>
        <w:rPr>
          <w:sz w:val="20"/>
          <w:szCs w:val="20"/>
          <w:color w:val="auto"/>
        </w:rPr>
      </w:pPr>
    </w:p>
    <w:p>
      <w:pPr>
        <w:ind w:right="260" w:firstLine="1305"/>
        <w:spacing w:after="0" w:line="257" w:lineRule="auto"/>
        <w:tabs>
          <w:tab w:leader="none" w:pos="195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and the Issuing Banks hereunder may be delivered or furnished by Electronic Systems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unless otherwise agreed by the Administrative Agent and the applicable Lenders. The Administrative Agent or any Obligor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82" w:name="page83"/>
    <w:bookmarkEnd w:id="82"/>
    <w:p>
      <w:pPr>
        <w:spacing w:after="0" w:line="137" w:lineRule="exact"/>
        <w:rPr>
          <w:sz w:val="20"/>
          <w:szCs w:val="20"/>
          <w:color w:val="auto"/>
        </w:rPr>
      </w:pPr>
    </w:p>
    <w:p>
      <w:pPr>
        <w:ind w:left="1960" w:hanging="655"/>
        <w:spacing w:after="0"/>
        <w:tabs>
          <w:tab w:leader="none" w:pos="196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Any party hereto may change its address or telecopy number for notices and other communications hereunder by notice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parties hereto.</w:t>
      </w:r>
    </w:p>
    <w:p>
      <w:pPr>
        <w:spacing w:after="0" w:line="210" w:lineRule="exact"/>
        <w:rPr>
          <w:rFonts w:ascii="Arial" w:cs="Arial" w:eastAsia="Arial" w:hAnsi="Arial"/>
          <w:sz w:val="16"/>
          <w:szCs w:val="16"/>
          <w:color w:val="auto"/>
        </w:rPr>
      </w:pPr>
    </w:p>
    <w:p>
      <w:pPr>
        <w:ind w:right="300" w:firstLine="1305"/>
        <w:spacing w:after="0" w:line="308" w:lineRule="auto"/>
        <w:tabs>
          <w:tab w:leader="none" w:pos="1952"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Administrative Agent shall deliver to any Borrower, upon written request, the address and facsimile number of any Lender and the name of the appropriate contact person at such Lender, in each case as provided in such Lender’s Administrative Questionnaire.</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Electronic Systems.</w:t>
      </w:r>
    </w:p>
    <w:p>
      <w:pPr>
        <w:spacing w:after="0" w:line="225" w:lineRule="exact"/>
        <w:rPr>
          <w:rFonts w:ascii="Arial" w:cs="Arial" w:eastAsia="Arial" w:hAnsi="Arial"/>
          <w:sz w:val="18"/>
          <w:szCs w:val="18"/>
          <w:color w:val="auto"/>
        </w:rPr>
      </w:pPr>
    </w:p>
    <w:p>
      <w:pPr>
        <w:ind w:left="660" w:right="120" w:firstLine="1293"/>
        <w:spacing w:after="0" w:line="264" w:lineRule="auto"/>
        <w:tabs>
          <w:tab w:leader="none" w:pos="2626" w:val="left"/>
        </w:tabs>
        <w:numPr>
          <w:ilvl w:val="1"/>
          <w:numId w:val="238"/>
        </w:numPr>
        <w:rPr>
          <w:rFonts w:ascii="Arial" w:cs="Arial" w:eastAsia="Arial" w:hAnsi="Arial"/>
          <w:sz w:val="18"/>
          <w:szCs w:val="18"/>
          <w:color w:val="auto"/>
        </w:rPr>
      </w:pPr>
      <w:r>
        <w:rPr>
          <w:rFonts w:ascii="Arial" w:cs="Arial" w:eastAsia="Arial" w:hAnsi="Arial"/>
          <w:sz w:val="18"/>
          <w:szCs w:val="18"/>
          <w:color w:val="auto"/>
        </w:rPr>
        <w:t>Each Borrower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spacing w:after="0" w:line="181" w:lineRule="exact"/>
        <w:rPr>
          <w:rFonts w:ascii="Arial" w:cs="Arial" w:eastAsia="Arial" w:hAnsi="Arial"/>
          <w:sz w:val="18"/>
          <w:szCs w:val="18"/>
          <w:color w:val="auto"/>
        </w:rPr>
      </w:pPr>
    </w:p>
    <w:p>
      <w:pPr>
        <w:ind w:left="660" w:right="40" w:firstLine="1293"/>
        <w:spacing w:after="0" w:line="269" w:lineRule="auto"/>
        <w:tabs>
          <w:tab w:leader="none" w:pos="2636" w:val="left"/>
        </w:tabs>
        <w:numPr>
          <w:ilvl w:val="1"/>
          <w:numId w:val="238"/>
        </w:numPr>
        <w:rPr>
          <w:rFonts w:ascii="Arial" w:cs="Arial" w:eastAsia="Arial" w:hAnsi="Arial"/>
          <w:sz w:val="17"/>
          <w:szCs w:val="17"/>
          <w:color w:val="auto"/>
        </w:rPr>
      </w:pPr>
      <w:r>
        <w:rPr>
          <w:rFonts w:ascii="Arial" w:cs="Arial" w:eastAsia="Arial" w:hAnsi="Arial"/>
          <w:sz w:val="17"/>
          <w:szCs w:val="17"/>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Arial" w:cs="Arial" w:eastAsia="Arial" w:hAnsi="Arial"/>
          <w:sz w:val="17"/>
          <w:szCs w:val="17"/>
          <w:u w:val="single" w:color="auto"/>
          <w:color w:val="auto"/>
        </w:rPr>
        <w:t>Agent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Parties</w:t>
      </w:r>
      <w:r>
        <w:rPr>
          <w:rFonts w:ascii="Arial" w:cs="Arial" w:eastAsia="Arial" w:hAnsi="Arial"/>
          <w:sz w:val="17"/>
          <w:szCs w:val="17"/>
          <w:color w:val="auto"/>
        </w:rPr>
        <w:t>”) have any liability to any Obligor, any Lender, the Issuing Bank or any other Person or entity for damages of any kind, including direct or indirect, special, incidental or consequential damages, losses or expenses (whether in tort, contract or otherwise) arising out of any Obligor’s or the Administrative Agent’s transmission of Communications through an Electronic System. “Communications” means, collectively, any notice, demand, communication, information, document or other material provided by or on behalf of any Obligor pursuant to any Loan Document or the transactions contemplated therein which is distributed by the Administrative Agent, any Lender or the Issuing Bank by means of electronic communications pursuant to this Section, including through an Electronic System.</w:t>
      </w:r>
    </w:p>
    <w:p>
      <w:pPr>
        <w:spacing w:after="0" w:line="183"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u w:val="single" w:color="auto"/>
          <w:color w:val="auto"/>
        </w:rPr>
        <w:t>Expenses, Etc.</w:t>
      </w:r>
      <w:r>
        <w:rPr>
          <w:rFonts w:ascii="Arial" w:cs="Arial" w:eastAsia="Arial" w:hAnsi="Arial"/>
          <w:sz w:val="17"/>
          <w:szCs w:val="17"/>
          <w:color w:val="auto"/>
        </w:rPr>
        <w:t xml:space="preserve"> The Borrowers, jointly and severally, shall pay (a) all reasonable and documented out-of-pocket expenses incurred by the Administrative Agent and its Affiliates, including the reasonable and documented or invoiced fees, charges and disbursements of counsel for the Administrative Agent, in connection with the syndication and distribution (including via the internet or through a services such as Intralinks) of the credit facilities provided for herein, the preparation, registration and administration of this Agreement and the other Loan Documents or any amendments, modifications or waivers of the provisions hereof or thereof (whether or not the transactions contemplated hereby or thereby shall be consummated), (b) all reasonable and documented out-of-pocket expenses incurred by JPMorgan, Deutsche Bank Securities Inc. and their respective Affiliates, including the reasonable and documented or invoiced fees, charges and disbursements of counsel for each of JPMorgan and Deutsche Bank Securities Inc., in connection with the syndication of the credit facilities provided for herein, provided that such fees, charges and disbursements of counsel for Deutsche Bank Securities Inc. shall not exceed $15,000 in the aggregate, (c) all reasonable 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documented out-of-pocket expenses incurred by any Issuing Bank in connection with the issuance, amendment, renewal or extension of any Letter of Credit or any demand for payment thereunder, (d) all transfer, stamp, documentary or other similar taxes, assessments or charges levied by any governmental or revenue authority in respect of this Agreement or any other Loan Document or any other document referred to herein or therein, and (e) all documented out-of-pocket expenses incurred by the Administrative Agent, any Issuing Bank and/or any Lender (including the documented or invoiced fees, disbursements and other charges of (i) any counsel for the Administrative Agent (which, for the avoidance of doubt, may include counsel in foreign jurisdictions) and</w:t>
      </w:r>
    </w:p>
    <w:p>
      <w:pPr>
        <w:spacing w:after="0" w:line="2" w:lineRule="exact"/>
        <w:rPr>
          <w:sz w:val="20"/>
          <w:szCs w:val="20"/>
          <w:color w:val="auto"/>
        </w:rPr>
      </w:pPr>
    </w:p>
    <w:p>
      <w:pPr>
        <w:ind w:firstLine="8"/>
        <w:spacing w:after="0" w:line="252" w:lineRule="auto"/>
        <w:tabs>
          <w:tab w:leader="none" w:pos="26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one counsel to the Lenders licensed in the State of New York and licensed in each jurisdiction (including any state) where any Obligor or any Subsidiary of an Obligor is organized, has its chief executive office or has assets with a material value) in connection with the enforcement, collection or protection of its rights in connection with this Agreement or any other Loan Document, including its rights under this Section, or in connection with the Loans made or Letters of Credit issued hereunder, including all such out-of-pocket expenses incurred during any workout, restructuring or negotiations in respect of such Loans or Letters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Defaulting Lender will not be reimbursed for its costs and expenses related to the replacement of such Defaulting Lender or other matters incidental thereto.</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Indemnity</w:t>
      </w:r>
      <w:r>
        <w:rPr>
          <w:rFonts w:ascii="Arial" w:cs="Arial" w:eastAsia="Arial" w:hAnsi="Arial"/>
          <w:sz w:val="18"/>
          <w:szCs w:val="18"/>
          <w:color w:val="auto"/>
        </w:rPr>
        <w:t>.</w:t>
      </w:r>
    </w:p>
    <w:p>
      <w:pPr>
        <w:spacing w:after="0" w:line="225" w:lineRule="exact"/>
        <w:rPr>
          <w:sz w:val="20"/>
          <w:szCs w:val="20"/>
          <w:color w:val="auto"/>
        </w:rPr>
      </w:pPr>
    </w:p>
    <w:p>
      <w:pPr>
        <w:ind w:right="60" w:firstLine="1305"/>
        <w:spacing w:after="0" w:line="285" w:lineRule="auto"/>
        <w:tabs>
          <w:tab w:leader="none" w:pos="1942"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Borrowers, jointly and severally, shall indemnify the Administrative Agent, each Lead Arranger, each Issuing Bank and each Lender, and each Affiliate of each of the foregoing, and their respective directors, officers, employees and agents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from, and hold each Indemnitee harmless against, any and all losses, liabilities, claims or damages (including reasonable and documented or invoiced legal fees and expenses) to which any Indemnitee may become subject, insofar as such losses, liabilities, claims or damages arise out of or result from (i) any claim, investigation, litigation or proceeding (including any threatened claim, investigation, litigation or proceeding) relating to this Agreement, any Loan, any Letter of Credit or any other Loan Document (whether or not such claim, investigation, litigation or proceeding is brought by a Borrower or any other Obligor or its or their respective equity holders, Affiliates, creditors or any other third Person and whether based on contract, tort or any other theory and regardless of whether any Indemnitee is a party thereto), (ii) any actual or alleged presence or release of Hazardous Materials on or from any property owned or operated by WIL-Ireland or any of its Subsidiaries, or any Environmental Liability related in any way to WIL-Ireland or any of its Subsidiaries, except, in each case, insofar as the Environmental Liability or liability relating to the presence or release of Hazardous Materials arises out of actions taken by, or failed to be taken by, such Indemnitee after the date on which WIL-Ireland or any of its Subsidiaries is divested of ownership of such property (whether by foreclosure or deed in lieu of foreclosure, as mortgagee-in-possession or otherwise), or (iii) any actual or proposed use by any Borrower or any of its Subsidiaries of the proceeds of any extension of credit by any Lender or any Issuing Bank hereunder, and the Borrowers, jointly and severally, shall reimburse each Indemnitee upon demand for any expenses (including reasonable and documented or invoiced legal fees) incurred in connection with any such claim, investigation, litigation or proceeding; but excluding any such losses, liabilities, claims, damages or expenses (A) found by a final, nonappealable judgment of a court of competent jurisdiction to have been incurred by reason of the gross negligence, willful misconduct or unlawful conduct of such Indemnitee, (B) that arise from any dispute solely between or among Indemnitees (not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arising as a result of any act or omission by the Obligors or their Affiliates), other than claims against an Indemnitee in its capacity as, or in fulfilling its role or roles as an arranger, administrative agent, syndication agent or documentation agent for the facility evidence by this Agreement or (C) incurred by any</w:t>
      </w:r>
    </w:p>
    <w:p>
      <w:pPr>
        <w:sectPr>
          <w:pgSz w:w="11900" w:h="16975" w:orient="portrait"/>
          <w:cols w:equalWidth="0" w:num="1">
            <w:col w:w="11420"/>
          </w:cols>
          <w:pgMar w:left="240" w:top="125" w:right="239" w:bottom="0" w:gutter="0" w:footer="0" w:header="0"/>
        </w:sectPr>
      </w:pPr>
    </w:p>
    <w:bookmarkStart w:id="83" w:name="page84"/>
    <w:bookmarkEnd w:id="83"/>
    <w:p>
      <w:pPr>
        <w:spacing w:after="0" w:line="253" w:lineRule="auto"/>
        <w:rPr>
          <w:sz w:val="20"/>
          <w:szCs w:val="20"/>
          <w:color w:val="auto"/>
        </w:rPr>
      </w:pPr>
      <w:r>
        <w:rPr>
          <w:rFonts w:ascii="Arial" w:cs="Arial" w:eastAsia="Arial" w:hAnsi="Arial"/>
          <w:sz w:val="18"/>
          <w:szCs w:val="18"/>
          <w:color w:val="auto"/>
        </w:rPr>
        <w:t xml:space="preserve">Defaulting Lender to the extent directly arising from or caused by the conduct, acts, omissions or events of or applicable to such Defaulting Lender that were the cause of such Lender’s becoming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be deemed to limit the Borrower’s payment obligations under any other provision of this Agreement or any other Loan Document as a result of such Lender’s becoming a Defaulting Lender. WITHOUT LIMITING ANY PROVISION OF THIS AGREEMENT, IT IS THE EXPRESS INTENTION OF THE PARTIES HERETO THAT EACH INDEMNITEE HEREUNDER SHALL BE INDEMNIFIED AND HELD HARMLESS AGAINST ANY AND ALL LOSSES, LIABILITIES, CLAIMS OR DAMAGES ARISING OUT OF OR RESULTING FROM THE SOLE OR CONCURRENT ORDINARY NEGLIGENCE OF SUCH INDEMNITEE. WITHOUT PREJUDICE TO THE SURVIVAL OF ANY OTHER OBLIGATIONS OF THE BORROWERS HEREUNDER AND UNDER THE OTHER LOAN DOCUMENTS TO WHICH IT IS A PARTY, THE OBLIGATIONS OF THE BORROWERS UNDER THIS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SHALL SURVIVE THE TERMINATION OF THIS AGREEMENT AND THE OTHER LOAN DOCUMENTS AND THE PAYMENT OF THE OTHER OBLIGATIONS OR THE ASSIGNMENT OF THE NOTES.</w:t>
      </w:r>
    </w:p>
    <w:p>
      <w:pPr>
        <w:spacing w:after="0" w:line="195" w:lineRule="exact"/>
        <w:rPr>
          <w:sz w:val="20"/>
          <w:szCs w:val="20"/>
          <w:color w:val="auto"/>
        </w:rPr>
      </w:pPr>
    </w:p>
    <w:p>
      <w:pPr>
        <w:ind w:firstLine="1305"/>
        <w:spacing w:after="0" w:line="255" w:lineRule="auto"/>
        <w:tabs>
          <w:tab w:leader="none" w:pos="195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To the extent that any Borrower fails to pay any amount required to be paid by it to the Administrative Agent, any Swingline Lender or any Issuing Bank under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or paragraph </w:t>
      </w:r>
      <w:r>
        <w:rPr>
          <w:rFonts w:ascii="Arial" w:cs="Arial" w:eastAsia="Arial" w:hAnsi="Arial"/>
          <w:sz w:val="18"/>
          <w:szCs w:val="18"/>
          <w:u w:val="single" w:color="auto"/>
          <w:color w:val="auto"/>
        </w:rPr>
        <w:t>(a)</w:t>
      </w:r>
      <w:r>
        <w:rPr>
          <w:rFonts w:ascii="Arial" w:cs="Arial" w:eastAsia="Arial" w:hAnsi="Arial"/>
          <w:sz w:val="18"/>
          <w:szCs w:val="18"/>
          <w:color w:val="auto"/>
        </w:rPr>
        <w:t xml:space="preserve"> of this Section, each Lender severally agrees to pay to the Administrative Agent, such Swingline Lender or such Issuing Bank, as the case may be, such Lender’s Applicable Percentage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such Swingline Lender or such Issuing Bank in its capacity as such.</w:t>
      </w:r>
    </w:p>
    <w:p>
      <w:pPr>
        <w:spacing w:after="0" w:line="193" w:lineRule="exact"/>
        <w:rPr>
          <w:rFonts w:ascii="Arial" w:cs="Arial" w:eastAsia="Arial" w:hAnsi="Arial"/>
          <w:sz w:val="18"/>
          <w:szCs w:val="18"/>
          <w:color w:val="auto"/>
        </w:rPr>
      </w:pPr>
    </w:p>
    <w:p>
      <w:pPr>
        <w:ind w:firstLine="1305"/>
        <w:spacing w:after="0" w:line="273" w:lineRule="auto"/>
        <w:tabs>
          <w:tab w:leader="none" w:pos="1955" w:val="left"/>
        </w:tabs>
        <w:numPr>
          <w:ilvl w:val="0"/>
          <w:numId w:val="241"/>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 neither any party hereto nor any of their respective directors, officers, employees and agents shall assert, and each hereby waives, any claim against any other such Person, on any theory of liability, for special, indirect, consequential or punitive damages (as opposed to direct or actual damages) arising out of, in connection with, or as a result of, this Agreement or any other Loan Document or any agreement or instrument contemplated hereby or thereby, the transactions contemplated hereby, any Loan or Letter of Credit or the use of the proceeds thereof (it being understood that, to the extent any Indemnitee suffers any such special, indirect, consequential or punitive damages, the indemnification obligations of the Borrowers set forth in the paragraph </w:t>
      </w:r>
      <w:r>
        <w:rPr>
          <w:rFonts w:ascii="Arial" w:cs="Arial" w:eastAsia="Arial" w:hAnsi="Arial"/>
          <w:sz w:val="17"/>
          <w:szCs w:val="17"/>
          <w:u w:val="single" w:color="auto"/>
          <w:color w:val="auto"/>
        </w:rPr>
        <w:t>(a)</w:t>
      </w:r>
      <w:r>
        <w:rPr>
          <w:rFonts w:ascii="Arial" w:cs="Arial" w:eastAsia="Arial" w:hAnsi="Arial"/>
          <w:sz w:val="17"/>
          <w:szCs w:val="17"/>
          <w:color w:val="auto"/>
        </w:rPr>
        <w:t xml:space="preserve"> of this Section shall apply).</w:t>
      </w:r>
    </w:p>
    <w:p>
      <w:pPr>
        <w:spacing w:after="0" w:line="178" w:lineRule="exact"/>
        <w:rPr>
          <w:rFonts w:ascii="Arial" w:cs="Arial" w:eastAsia="Arial" w:hAnsi="Arial"/>
          <w:sz w:val="17"/>
          <w:szCs w:val="17"/>
          <w:color w:val="auto"/>
        </w:rPr>
      </w:pPr>
    </w:p>
    <w:p>
      <w:pPr>
        <w:ind w:right="80" w:firstLine="1305"/>
        <w:spacing w:after="0" w:line="312" w:lineRule="auto"/>
        <w:tabs>
          <w:tab w:leader="none" w:pos="1952"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No Indemnitee referred to in </w:t>
      </w:r>
      <w:r>
        <w:rPr>
          <w:rFonts w:ascii="Arial" w:cs="Arial" w:eastAsia="Arial" w:hAnsi="Arial"/>
          <w:sz w:val="16"/>
          <w:szCs w:val="16"/>
          <w:u w:val="single" w:color="auto"/>
          <w:color w:val="auto"/>
        </w:rPr>
        <w:t>Section 11.04(a)</w:t>
      </w:r>
      <w:r>
        <w:rPr>
          <w:rFonts w:ascii="Arial" w:cs="Arial" w:eastAsia="Arial" w:hAnsi="Arial"/>
          <w:sz w:val="16"/>
          <w:szCs w:val="16"/>
          <w:color w:val="auto"/>
        </w:rPr>
        <w:t xml:space="preser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for any such damages found by a final, nonappealable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judgment of a court of competent jurisdiction to have been incurred by reason of the gross negligence, willful misconduct or unlawful conduct of such Indemnitee.</w:t>
      </w:r>
    </w:p>
    <w:p>
      <w:pPr>
        <w:spacing w:after="0" w:line="170" w:lineRule="exact"/>
        <w:rPr>
          <w:sz w:val="20"/>
          <w:szCs w:val="20"/>
          <w:color w:val="auto"/>
        </w:rPr>
      </w:pPr>
    </w:p>
    <w:p>
      <w:pPr>
        <w:ind w:right="180" w:firstLine="1305"/>
        <w:spacing w:after="0" w:line="277" w:lineRule="auto"/>
        <w:tabs>
          <w:tab w:leader="none" w:pos="195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All amounts due under this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and under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shall be payable not later than ten Business Days after written demand therefor and presentation of any documents required to be delivered in connection therewith.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90" w:lineRule="auto"/>
        <w:tabs>
          <w:tab w:leader="none" w:pos="1942"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assigns permitted hereby (including any Affiliate of any Issuing Bank that issues any Letter of Credit), except that (i) no Obligor may assign or otherwise transfer any of its rights or obligations hereunder without the prior written consent of each Lender (and any attempted assignment or transfer by such Obligor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Section) and, to the extent expressly contemplated hereby, the Related Parties of each of the Administrative Agent, the Issuing Banks and the Lenders) any legal or equitable right, remedy or claim under or by reason of this Agreement.</w:t>
      </w:r>
    </w:p>
    <w:p>
      <w:pPr>
        <w:spacing w:after="0" w:line="166" w:lineRule="exact"/>
        <w:rPr>
          <w:rFonts w:ascii="Arial" w:cs="Arial" w:eastAsia="Arial" w:hAnsi="Arial"/>
          <w:sz w:val="16"/>
          <w:szCs w:val="16"/>
          <w:color w:val="auto"/>
        </w:rPr>
      </w:pPr>
    </w:p>
    <w:p>
      <w:pPr>
        <w:ind w:right="20" w:firstLine="1305"/>
        <w:spacing w:after="0" w:line="288" w:lineRule="auto"/>
        <w:tabs>
          <w:tab w:leader="none" w:pos="1952"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(i) Subject to the conditions set forth in this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(including subparagraph </w:t>
      </w:r>
      <w:r>
        <w:rPr>
          <w:rFonts w:ascii="Arial" w:cs="Arial" w:eastAsia="Arial" w:hAnsi="Arial"/>
          <w:sz w:val="16"/>
          <w:szCs w:val="16"/>
          <w:u w:val="single" w:color="auto"/>
          <w:color w:val="auto"/>
        </w:rPr>
        <w:t>(b)(ii)</w:t>
      </w:r>
      <w:r>
        <w:rPr>
          <w:rFonts w:ascii="Arial" w:cs="Arial" w:eastAsia="Arial" w:hAnsi="Arial"/>
          <w:sz w:val="16"/>
          <w:szCs w:val="16"/>
          <w:color w:val="auto"/>
        </w:rPr>
        <w:t xml:space="preserve"> below), any Lender may assign to one or more assignees all or a portion of its rights and obligations under this Agreement (including all or a portion of its Commitment and the Loans at the time owing to it) with the prior written consent (such consent not to be unreasonably withheld and, additionally, in the case of assignments pursuant to</w:t>
      </w: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4.03</w:t>
      </w:r>
      <w:r>
        <w:rPr>
          <w:rFonts w:ascii="Arial" w:cs="Arial" w:eastAsia="Arial" w:hAnsi="Arial"/>
          <w:sz w:val="18"/>
          <w:szCs w:val="18"/>
          <w:color w:val="auto"/>
        </w:rPr>
        <w:t>, delayed or conditioned) of:</w:t>
      </w:r>
    </w:p>
    <w:p>
      <w:pPr>
        <w:spacing w:after="0" w:line="210" w:lineRule="exact"/>
        <w:rPr>
          <w:rFonts w:ascii="Arial" w:cs="Arial" w:eastAsia="Arial" w:hAnsi="Arial"/>
          <w:sz w:val="16"/>
          <w:szCs w:val="16"/>
          <w:color w:val="auto"/>
        </w:rPr>
      </w:pPr>
    </w:p>
    <w:p>
      <w:pPr>
        <w:ind w:left="1300" w:right="20" w:firstLine="653"/>
        <w:spacing w:after="0" w:line="277" w:lineRule="auto"/>
        <w:tabs>
          <w:tab w:leader="none" w:pos="2617" w:val="left"/>
        </w:tabs>
        <w:numPr>
          <w:ilvl w:val="1"/>
          <w:numId w:val="243"/>
        </w:numPr>
        <w:rPr>
          <w:rFonts w:ascii="Arial" w:cs="Arial" w:eastAsia="Arial" w:hAnsi="Arial"/>
          <w:sz w:val="18"/>
          <w:szCs w:val="18"/>
          <w:color w:val="auto"/>
        </w:rPr>
      </w:pPr>
      <w:r>
        <w:rPr>
          <w:rFonts w:ascii="Arial" w:cs="Arial" w:eastAsia="Arial" w:hAnsi="Arial"/>
          <w:sz w:val="18"/>
          <w:szCs w:val="18"/>
          <w:color w:val="auto"/>
        </w:rPr>
        <w:t xml:space="preserve">WIL-Bermuda,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WIL-Bermuda shall be required for an assignment to a Lender, an Affiliate of a Lender, an Approved Fund or, if an Event of Default has occurred and is continuing, any other assignee; and</w:t>
      </w:r>
    </w:p>
    <w:p>
      <w:pPr>
        <w:spacing w:after="0" w:line="170" w:lineRule="exact"/>
        <w:rPr>
          <w:rFonts w:ascii="Arial" w:cs="Arial" w:eastAsia="Arial" w:hAnsi="Arial"/>
          <w:sz w:val="18"/>
          <w:szCs w:val="18"/>
          <w:color w:val="auto"/>
        </w:rPr>
      </w:pPr>
    </w:p>
    <w:p>
      <w:pPr>
        <w:ind w:left="1300" w:right="140" w:firstLine="653"/>
        <w:spacing w:after="0" w:line="308" w:lineRule="auto"/>
        <w:tabs>
          <w:tab w:leader="none" w:pos="2607" w:val="left"/>
        </w:tabs>
        <w:numPr>
          <w:ilvl w:val="1"/>
          <w:numId w:val="243"/>
        </w:numPr>
        <w:rPr>
          <w:rFonts w:ascii="Arial" w:cs="Arial" w:eastAsia="Arial" w:hAnsi="Arial"/>
          <w:sz w:val="17"/>
          <w:szCs w:val="17"/>
          <w:color w:val="auto"/>
        </w:rPr>
      </w:pPr>
      <w:r>
        <w:rPr>
          <w:rFonts w:ascii="Arial" w:cs="Arial" w:eastAsia="Arial" w:hAnsi="Arial"/>
          <w:sz w:val="17"/>
          <w:szCs w:val="17"/>
          <w:color w:val="auto"/>
        </w:rPr>
        <w:t xml:space="preserve">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Administrative Agent shall be required for an assignment to a Lender, an Affiliate of a Lender, an Approved Fund immediately prior to giving effect to such assignment; and</w:t>
      </w:r>
    </w:p>
    <w:p>
      <w:pPr>
        <w:spacing w:after="0" w:line="146" w:lineRule="exact"/>
        <w:rPr>
          <w:rFonts w:ascii="Arial" w:cs="Arial" w:eastAsia="Arial" w:hAnsi="Arial"/>
          <w:sz w:val="17"/>
          <w:szCs w:val="17"/>
          <w:color w:val="auto"/>
        </w:rPr>
      </w:pPr>
    </w:p>
    <w:p>
      <w:pPr>
        <w:ind w:left="2620" w:hanging="667"/>
        <w:spacing w:after="0"/>
        <w:tabs>
          <w:tab w:leader="none" w:pos="262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each Issuing Bank; and</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each Swingline Lender;</w:t>
      </w:r>
    </w:p>
    <w:p>
      <w:pPr>
        <w:spacing w:after="0" w:line="225"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consent to an assignment required by WIL-Bermuda under this </w:t>
      </w:r>
      <w:r>
        <w:rPr>
          <w:rFonts w:ascii="Arial" w:cs="Arial" w:eastAsia="Arial" w:hAnsi="Arial"/>
          <w:sz w:val="18"/>
          <w:szCs w:val="18"/>
          <w:u w:val="single" w:color="auto"/>
          <w:color w:val="auto"/>
        </w:rPr>
        <w:t>Section 11.05(b)(i)</w:t>
      </w:r>
      <w:r>
        <w:rPr>
          <w:rFonts w:ascii="Arial" w:cs="Arial" w:eastAsia="Arial" w:hAnsi="Arial"/>
          <w:sz w:val="18"/>
          <w:szCs w:val="18"/>
          <w:color w:val="auto"/>
        </w:rPr>
        <w:t xml:space="preserve"> shall be deemed to have been given by WIL-Bermuda unless it shall have objected thereto by written notice to the Administrative Agent within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ten (10) Business Days after receiving a written request for its consent to such assignment.</w:t>
      </w:r>
    </w:p>
    <w:p>
      <w:pPr>
        <w:spacing w:after="0" w:line="225" w:lineRule="exact"/>
        <w:rPr>
          <w:sz w:val="20"/>
          <w:szCs w:val="20"/>
          <w:color w:val="auto"/>
        </w:rPr>
      </w:pPr>
    </w:p>
    <w:p>
      <w:pPr>
        <w:ind w:left="2640" w:hanging="687"/>
        <w:spacing w:after="0"/>
        <w:tabs>
          <w:tab w:leader="none" w:pos="26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ectPr>
          <w:pgSz w:w="11900" w:h="16838" w:orient="portrait"/>
          <w:cols w:equalWidth="0" w:num="1">
            <w:col w:w="11400"/>
          </w:cols>
          <w:pgMar w:left="240" w:top="125" w:right="259" w:bottom="0" w:gutter="0" w:footer="0" w:header="0"/>
        </w:sectPr>
      </w:pPr>
    </w:p>
    <w:bookmarkStart w:id="84" w:name="page85"/>
    <w:bookmarkEnd w:id="84"/>
    <w:p>
      <w:pPr>
        <w:ind w:left="640" w:right="20" w:firstLine="653"/>
        <w:spacing w:after="0" w:line="255" w:lineRule="auto"/>
        <w:tabs>
          <w:tab w:leader="none" w:pos="195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an Affiliate of a Lender or an Approved Fund or an assignment of the entire remaining amount of the assigning Lender’s Commitment or Loans of any Type, the amount of the Commitment or Loans of the assigning Lender subject to each such assignment (determined as of the date the Assignment and Assumption with respect to such assignment is delivered to the Administrative Agent) shall not be less than $5,000,000 unless each of WIL-Bermuda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consent of WIL-Bermuda shall be required if an Event of Default has occurred and is continuing;</w:t>
      </w:r>
    </w:p>
    <w:p>
      <w:pPr>
        <w:spacing w:after="0" w:line="193" w:lineRule="exact"/>
        <w:rPr>
          <w:rFonts w:ascii="Arial" w:cs="Arial" w:eastAsia="Arial" w:hAnsi="Arial"/>
          <w:sz w:val="18"/>
          <w:szCs w:val="18"/>
          <w:color w:val="auto"/>
        </w:rPr>
      </w:pPr>
    </w:p>
    <w:p>
      <w:pPr>
        <w:ind w:left="640" w:right="120" w:firstLine="653"/>
        <w:spacing w:after="0" w:line="255" w:lineRule="auto"/>
        <w:tabs>
          <w:tab w:leader="none" w:pos="194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each partial assignment shall be made as an assignment of a proportionate part of all the assigning Lender’s rights and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(x) any assignment of the Non-Extended Commitment and related Obligations of a Non-Extending Lender shall include all rights, obligations and terms applicable thereto (including termination of such Extended Commitment on the Existing Maturity Date), and (y) any assignment of the Extended Commitment and related Obligations of an Extending Lender shall include all rights, obligations and terms applicable thereto (including termination of such Extended Commitment on the Extended Maturity Date);</w:t>
      </w:r>
    </w:p>
    <w:p>
      <w:pPr>
        <w:spacing w:after="0" w:line="193" w:lineRule="exact"/>
        <w:rPr>
          <w:rFonts w:ascii="Arial" w:cs="Arial" w:eastAsia="Arial" w:hAnsi="Arial"/>
          <w:sz w:val="18"/>
          <w:szCs w:val="18"/>
          <w:color w:val="auto"/>
        </w:rPr>
      </w:pPr>
    </w:p>
    <w:p>
      <w:pPr>
        <w:ind w:left="640" w:right="360" w:firstLine="653"/>
        <w:spacing w:after="0" w:line="277" w:lineRule="auto"/>
        <w:tabs>
          <w:tab w:leader="none" w:pos="194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Assumption, together with a processing and recordation fee of $3,500;</w:t>
      </w:r>
    </w:p>
    <w:p>
      <w:pPr>
        <w:spacing w:after="0" w:line="170" w:lineRule="exact"/>
        <w:rPr>
          <w:rFonts w:ascii="Arial" w:cs="Arial" w:eastAsia="Arial" w:hAnsi="Arial"/>
          <w:sz w:val="18"/>
          <w:szCs w:val="18"/>
          <w:color w:val="auto"/>
        </w:rPr>
      </w:pPr>
    </w:p>
    <w:p>
      <w:pPr>
        <w:ind w:left="640" w:right="60" w:firstLine="653"/>
        <w:spacing w:after="0" w:line="257" w:lineRule="auto"/>
        <w:tabs>
          <w:tab w:leader="none" w:pos="195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Obligor Parties and their respective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8" w:lineRule="exact"/>
        <w:rPr>
          <w:rFonts w:ascii="Arial" w:cs="Arial" w:eastAsia="Arial" w:hAnsi="Arial"/>
          <w:sz w:val="18"/>
          <w:szCs w:val="18"/>
          <w:color w:val="auto"/>
        </w:rPr>
      </w:pPr>
    </w:p>
    <w:p>
      <w:pPr>
        <w:jc w:val="both"/>
        <w:ind w:left="640" w:right="40" w:firstLine="653"/>
        <w:spacing w:after="0" w:line="259" w:lineRule="auto"/>
        <w:tabs>
          <w:tab w:leader="none" w:pos="195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except in connection with assignments made while an Event of Default has occurred and is continuing, all prospective assignees of a Lender shall be required, as a condition to the effectiveness of such assignment, to execute and deliver the forms required under </w:t>
      </w:r>
      <w:r>
        <w:rPr>
          <w:rFonts w:ascii="Arial" w:cs="Arial" w:eastAsia="Arial" w:hAnsi="Arial"/>
          <w:sz w:val="18"/>
          <w:szCs w:val="18"/>
          <w:u w:val="single" w:color="auto"/>
          <w:color w:val="auto"/>
        </w:rPr>
        <w:t>Section 4.02(c)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4.02(e)</w:t>
      </w:r>
      <w:r>
        <w:rPr>
          <w:rFonts w:ascii="Arial" w:cs="Arial" w:eastAsia="Arial" w:hAnsi="Arial"/>
          <w:sz w:val="18"/>
          <w:szCs w:val="18"/>
          <w:color w:val="auto"/>
        </w:rPr>
        <w:t xml:space="preserve"> for any Lender, and no assignment shall be effective in connection herewith unless and until such forms are so delivered;</w:t>
      </w:r>
    </w:p>
    <w:p>
      <w:pPr>
        <w:spacing w:after="0" w:line="1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00" w:firstLine="653"/>
        <w:spacing w:after="0" w:line="312" w:lineRule="auto"/>
        <w:tabs>
          <w:tab w:leader="none" w:pos="195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except in the case when no consent of WIL-Bermuda is required because an Event of Default has occurred and is continuing, no assignment shall be made to any such assignee unless such assignee provides a written representation to WIL-Bermuda that such assignee is not subject under then current law to any withholding tax on amounts payable to such assignee under this Agreement;</w:t>
      </w:r>
    </w:p>
    <w:p>
      <w:pPr>
        <w:spacing w:after="0" w:line="146" w:lineRule="exact"/>
        <w:rPr>
          <w:rFonts w:ascii="Arial" w:cs="Arial" w:eastAsia="Arial" w:hAnsi="Arial"/>
          <w:sz w:val="16"/>
          <w:szCs w:val="16"/>
          <w:color w:val="auto"/>
        </w:rPr>
      </w:pPr>
    </w:p>
    <w:p>
      <w:pPr>
        <w:ind w:left="1960" w:hanging="667"/>
        <w:spacing w:after="0"/>
        <w:tabs>
          <w:tab w:leader="none" w:pos="19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no assignment shall be made to an Ineligible Institution; and</w:t>
      </w:r>
    </w:p>
    <w:p>
      <w:pPr>
        <w:spacing w:after="0" w:line="225" w:lineRule="exact"/>
        <w:rPr>
          <w:rFonts w:ascii="Arial" w:cs="Arial" w:eastAsia="Arial" w:hAnsi="Arial"/>
          <w:sz w:val="18"/>
          <w:szCs w:val="18"/>
          <w:color w:val="auto"/>
        </w:rPr>
      </w:pPr>
    </w:p>
    <w:p>
      <w:pPr>
        <w:ind w:left="1940" w:hanging="647"/>
        <w:spacing w:after="0"/>
        <w:tabs>
          <w:tab w:leader="none" w:pos="19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WIL-Ireland and the Administrative Agent an Assignee</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or elsewhere in any Loan Document, the consent of each Swiss Borrower, if any,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WIL-Ireland shall, so long as no Specified Event of Default has occurred and is continuing, be required for an assignment or participation 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assignee or Participant that is a Swiss Non-Qualifying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a consent shall not be unreasonably withheld or delayed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in any event, such consent shall be deemed given if any Swiss Borrower or WIL-Ireland, as applicable, does not give its written decision within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10 Business Days after a request for such consent from the Administrative Agent. For the avoidance of doubt, if any Swiss Borrower or WIL-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Ireland determines in its reasonable discretion that any assignment or participation would result in noncompliance with the Swiss Non-Bank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Rules and/or that the number of Lenders and Participants that are Swiss Non-Qualifying Lenders would exceed the number of eight, then such Swiss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Borrower’s or WIL-Ireland’s objection to such assignment or participation shall be deemed to be reasonable.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11.05</w:t>
      </w:r>
      <w:r>
        <w:rPr>
          <w:rFonts w:ascii="Arial" w:cs="Arial" w:eastAsia="Arial" w:hAnsi="Arial"/>
          <w:sz w:val="18"/>
          <w:szCs w:val="18"/>
          <w:color w:val="auto"/>
        </w:rPr>
        <w:t>, the terms “</w:t>
      </w:r>
      <w:r>
        <w:rPr>
          <w:rFonts w:ascii="Arial" w:cs="Arial" w:eastAsia="Arial" w:hAnsi="Arial"/>
          <w:sz w:val="18"/>
          <w:szCs w:val="18"/>
          <w:u w:val="single" w:color="auto"/>
          <w:color w:val="auto"/>
        </w:rPr>
        <w:t>Approved Fund</w:t>
      </w:r>
      <w:r>
        <w:rPr>
          <w:rFonts w:ascii="Arial" w:cs="Arial" w:eastAsia="Arial" w:hAnsi="Arial"/>
          <w:sz w:val="18"/>
          <w:szCs w:val="18"/>
          <w:color w:val="auto"/>
        </w:rPr>
        <w:t>” and “</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have the following meanings: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means (a) a natural person, (b) a Defaulting Lender or its Lender Parent, (c) WIL-Ireland any of its Subsidiaries or any of its Affiliates, or (d) a company, investment vehicle or trust for, or owned and operated for the primary benefit of, a natural person or relative(s) thereof.</w:t>
      </w:r>
    </w:p>
    <w:p>
      <w:pPr>
        <w:spacing w:after="0" w:line="181" w:lineRule="exact"/>
        <w:rPr>
          <w:sz w:val="20"/>
          <w:szCs w:val="20"/>
          <w:color w:val="auto"/>
        </w:rPr>
      </w:pPr>
    </w:p>
    <w:p>
      <w:pPr>
        <w:jc w:val="both"/>
        <w:ind w:right="80" w:firstLine="1293"/>
        <w:spacing w:after="0" w:line="257" w:lineRule="auto"/>
        <w:tabs>
          <w:tab w:leader="none" w:pos="198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Subject to acceptance and recording thereof pursuant to subparagraph </w:t>
      </w:r>
      <w:r>
        <w:rPr>
          <w:rFonts w:ascii="Arial" w:cs="Arial" w:eastAsia="Arial" w:hAnsi="Arial"/>
          <w:sz w:val="18"/>
          <w:szCs w:val="18"/>
          <w:u w:val="single" w:color="auto"/>
          <w:color w:val="auto"/>
        </w:rPr>
        <w:t>(b)(iv)</w:t>
      </w:r>
      <w:r>
        <w:rPr>
          <w:rFonts w:ascii="Arial" w:cs="Arial" w:eastAsia="Arial" w:hAnsi="Arial"/>
          <w:sz w:val="18"/>
          <w:szCs w:val="18"/>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w:t>
      </w:r>
    </w:p>
    <w:p>
      <w:pPr>
        <w:spacing w:after="0" w:line="18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Any assignment or transfer by a Lender of rights or obligations under this Agreement that does not comply with this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shall be treated for purposes of this Agreement as a sale by such Lender of a participation in such rights and obligations in accordance with paragraph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Section.</w:t>
      </w:r>
    </w:p>
    <w:p>
      <w:pPr>
        <w:sectPr>
          <w:pgSz w:w="11900" w:h="16838" w:orient="portrait"/>
          <w:cols w:equalWidth="0" w:num="1">
            <w:col w:w="10740"/>
          </w:cols>
          <w:pgMar w:left="900" w:top="125" w:right="259" w:bottom="0" w:gutter="0" w:footer="0" w:header="0"/>
        </w:sectPr>
      </w:pPr>
    </w:p>
    <w:bookmarkStart w:id="85" w:name="page86"/>
    <w:bookmarkEnd w:id="85"/>
    <w:p>
      <w:pPr>
        <w:spacing w:after="0" w:line="88" w:lineRule="exact"/>
        <w:rPr>
          <w:sz w:val="20"/>
          <w:szCs w:val="20"/>
          <w:color w:val="auto"/>
        </w:rPr>
      </w:pPr>
    </w:p>
    <w:p>
      <w:pPr>
        <w:ind w:left="660" w:right="20" w:firstLine="1293"/>
        <w:spacing w:after="0" w:line="291" w:lineRule="auto"/>
        <w:tabs>
          <w:tab w:leader="none" w:pos="2622"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an agent of the Borrowers, shall maintain at one of its offices a copy of each Assignment and Assumption delivered to it and a register for the recordation of the names and addresses of the Lenders, and the Commitment of, and principal amount (and stated interest) of the Loans and LC Disbursements owing by each Borrower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presumed correct, in the absence of manifest error, and the Obligors,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Obligors, any Issuing Bank and any Lender, at any reasonable time and from time to time upon reasonable prior notice.</w:t>
      </w:r>
    </w:p>
    <w:p>
      <w:pPr>
        <w:spacing w:after="0" w:line="167" w:lineRule="exact"/>
        <w:rPr>
          <w:rFonts w:ascii="Arial" w:cs="Arial" w:eastAsia="Arial" w:hAnsi="Arial"/>
          <w:sz w:val="16"/>
          <w:szCs w:val="16"/>
          <w:color w:val="auto"/>
        </w:rPr>
      </w:pPr>
    </w:p>
    <w:p>
      <w:pPr>
        <w:ind w:left="660" w:right="20" w:firstLine="1293"/>
        <w:spacing w:after="0" w:line="253" w:lineRule="auto"/>
        <w:tabs>
          <w:tab w:leader="none" w:pos="261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Upon its receipt of a duly completed Assignment and Assumption executed by an assigning Lender and an assignee permitted under paragraph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such assignee’s completed Administrative Questionnaire (unless such assignee shall already be a Lender hereunder), the processing and recordation fee referred to in paragraph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and any written consent to such assignment required by paragraph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the Administrative Agent shall accept such Assignment and Assumption and record the information contained therein in the Register;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either the assigning Lender or such assignee shall have failed to make any payment required to be made by it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4.01(d)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11.04(b)</w:t>
      </w:r>
      <w:r>
        <w:rPr>
          <w:rFonts w:ascii="Arial" w:cs="Arial" w:eastAsia="Arial" w:hAnsi="Arial"/>
          <w:sz w:val="18"/>
          <w:szCs w:val="18"/>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97" w:lineRule="exact"/>
        <w:rPr>
          <w:sz w:val="20"/>
          <w:szCs w:val="20"/>
          <w:color w:val="auto"/>
        </w:rPr>
      </w:pPr>
    </w:p>
    <w:p>
      <w:pPr>
        <w:ind w:left="660" w:right="320" w:firstLine="1293"/>
        <w:spacing w:after="0" w:line="272" w:lineRule="auto"/>
        <w:tabs>
          <w:tab w:leader="none" w:pos="2615" w:val="left"/>
        </w:tabs>
        <w:numPr>
          <w:ilvl w:val="0"/>
          <w:numId w:val="249"/>
        </w:numPr>
        <w:rPr>
          <w:rFonts w:ascii="Arial" w:cs="Arial" w:eastAsia="Arial" w:hAnsi="Arial"/>
          <w:sz w:val="17"/>
          <w:szCs w:val="17"/>
          <w:color w:val="auto"/>
        </w:rPr>
      </w:pPr>
      <w:r>
        <w:rPr>
          <w:rFonts w:ascii="Arial" w:cs="Arial" w:eastAsia="Arial" w:hAnsi="Arial"/>
          <w:sz w:val="17"/>
          <w:szCs w:val="17"/>
          <w:color w:val="auto"/>
        </w:rPr>
        <w:t>(i) Except as otherwise provided in this Agreement or any other Loan Document, any Lender may, without the consent of any Obligor, the Administrative Agent, any Swingline Lender or any Issuing Bank, sell participations to one or more banks or other entities other than an Ineligible Institution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 obligations under this Agreement (including all or a portion of its Commitment and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Lender’s obligations under this Agreement shall remain unchanged, (B) such Lender shall remain solely responsible to the other parties hereto for the performance of such obligations, (C) the Borrowers, the Administrative Agent, the Issuing Banks and the other Lenders shall continue to deal solely and directly with such Lender in connection with such Lender’s rights and obligations under this Agreement and (D) such Participant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 xml:space="preserve">delivers a Participant Certificate to such Lender, the Administrative Agent and WIL-Ireland.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that affects such Participant. Subject to subparagraph </w:t>
      </w:r>
      <w:r>
        <w:rPr>
          <w:rFonts w:ascii="Arial" w:cs="Arial" w:eastAsia="Arial" w:hAnsi="Arial"/>
          <w:sz w:val="16"/>
          <w:szCs w:val="16"/>
          <w:u w:val="single" w:color="auto"/>
          <w:color w:val="auto"/>
        </w:rPr>
        <w:t>(c)(ii)</w:t>
      </w:r>
      <w:r>
        <w:rPr>
          <w:rFonts w:ascii="Arial" w:cs="Arial" w:eastAsia="Arial" w:hAnsi="Arial"/>
          <w:sz w:val="16"/>
          <w:szCs w:val="16"/>
          <w:color w:val="auto"/>
        </w:rPr>
        <w:t xml:space="preserve"> of this Section, each Borrower agrees that each Participant shall be entitled to the benefits of </w:t>
      </w:r>
      <w:r>
        <w:rPr>
          <w:rFonts w:ascii="Arial" w:cs="Arial" w:eastAsia="Arial" w:hAnsi="Arial"/>
          <w:sz w:val="16"/>
          <w:szCs w:val="16"/>
          <w:u w:val="single" w:color="auto"/>
          <w:color w:val="auto"/>
        </w:rPr>
        <w:t>Sections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to the same extent as if it were a Lender and had acquired its interest by assignment pursuant to paragraph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To the extent permitted by law, each Participant also shall be entitled to the benefits of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and to deliver the forms required by </w:t>
      </w:r>
      <w:r>
        <w:rPr>
          <w:rFonts w:ascii="Arial" w:cs="Arial" w:eastAsia="Arial" w:hAnsi="Arial"/>
          <w:sz w:val="16"/>
          <w:szCs w:val="16"/>
          <w:u w:val="single" w:color="auto"/>
          <w:color w:val="auto"/>
        </w:rPr>
        <w:t>Sections 4.02(c)</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4.02(i)</w:t>
      </w:r>
      <w:r>
        <w:rPr>
          <w:rFonts w:ascii="Arial" w:cs="Arial" w:eastAsia="Arial" w:hAnsi="Arial"/>
          <w:sz w:val="16"/>
          <w:szCs w:val="16"/>
          <w:color w:val="auto"/>
        </w:rPr>
        <w:t xml:space="preserve"> as though it were a Lender. Each Lender that sells a participation shall, acting solely for this purpose as a non-fiduciary agent of the Borrowers (and such agency being solely for tax purposes),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Provided the requirements of this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(including, but not limited to, </w:t>
      </w:r>
      <w:r>
        <w:rPr>
          <w:rFonts w:ascii="Arial" w:cs="Arial" w:eastAsia="Arial" w:hAnsi="Arial"/>
          <w:sz w:val="16"/>
          <w:szCs w:val="16"/>
          <w:u w:val="single" w:color="auto"/>
          <w:color w:val="auto"/>
        </w:rPr>
        <w:t>Section 11.05(c)(ii)</w:t>
      </w:r>
      <w:r>
        <w:rPr>
          <w:rFonts w:ascii="Arial" w:cs="Arial" w:eastAsia="Arial" w:hAnsi="Arial"/>
          <w:sz w:val="16"/>
          <w:szCs w:val="16"/>
          <w:color w:val="auto"/>
        </w:rPr>
        <w:t>) are satisfied,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9" w:lineRule="exact"/>
        <w:rPr>
          <w:sz w:val="20"/>
          <w:szCs w:val="20"/>
          <w:color w:val="auto"/>
        </w:rPr>
      </w:pPr>
    </w:p>
    <w:p>
      <w:pPr>
        <w:jc w:val="both"/>
        <w:ind w:left="660" w:firstLine="1293"/>
        <w:spacing w:after="0" w:line="257" w:lineRule="auto"/>
        <w:tabs>
          <w:tab w:leader="none" w:pos="2636" w:val="left"/>
        </w:tabs>
        <w:numPr>
          <w:ilvl w:val="1"/>
          <w:numId w:val="250"/>
        </w:numPr>
        <w:rPr>
          <w:rFonts w:ascii="Arial" w:cs="Arial" w:eastAsia="Arial" w:hAnsi="Arial"/>
          <w:sz w:val="18"/>
          <w:szCs w:val="18"/>
          <w:color w:val="auto"/>
        </w:rPr>
      </w:pPr>
      <w:r>
        <w:rPr>
          <w:rFonts w:ascii="Arial" w:cs="Arial" w:eastAsia="Arial" w:hAnsi="Arial"/>
          <w:sz w:val="18"/>
          <w:szCs w:val="18"/>
          <w:color w:val="auto"/>
        </w:rPr>
        <w:t xml:space="preserve">A Participant shall not be entitled to receive any greater payment under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WIL-Bermuda’s prior written consent. WIL-Bermuda shall be notified of each participation sold to a Participant, and each Participant shall comply with </w:t>
      </w:r>
      <w:r>
        <w:rPr>
          <w:rFonts w:ascii="Arial" w:cs="Arial" w:eastAsia="Arial" w:hAnsi="Arial"/>
          <w:sz w:val="18"/>
          <w:szCs w:val="18"/>
          <w:u w:val="single" w:color="auto"/>
          <w:color w:val="auto"/>
        </w:rPr>
        <w:t>Sections 4.02(c)</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4.02(d)</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4.02(i)</w:t>
      </w:r>
      <w:r>
        <w:rPr>
          <w:rFonts w:ascii="Arial" w:cs="Arial" w:eastAsia="Arial" w:hAnsi="Arial"/>
          <w:sz w:val="18"/>
          <w:szCs w:val="18"/>
          <w:color w:val="auto"/>
        </w:rPr>
        <w:t xml:space="preserve"> as though it were a Lender. A Participant that fails to comply with the preceding sentence shall not be entitled to any of the benefits of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60" w:firstLine="1305"/>
        <w:spacing w:after="0" w:line="259" w:lineRule="auto"/>
        <w:tabs>
          <w:tab w:leader="none" w:pos="195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SECTION 11.06 </w:t>
      </w:r>
      <w:r>
        <w:rPr>
          <w:rFonts w:ascii="Arial" w:cs="Arial" w:eastAsia="Arial" w:hAnsi="Arial"/>
          <w:sz w:val="17"/>
          <w:szCs w:val="17"/>
          <w:u w:val="single" w:color="auto"/>
          <w:color w:val="auto"/>
        </w:rPr>
        <w:t>Confidentiality</w:t>
      </w:r>
      <w:r>
        <w:rPr>
          <w:rFonts w:ascii="Arial" w:cs="Arial" w:eastAsia="Arial" w:hAnsi="Arial"/>
          <w:sz w:val="17"/>
          <w:szCs w:val="17"/>
          <w:color w:val="auto"/>
        </w:rPr>
        <w:t>.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confidential nature of such Information and instructed to keep such Information confidential to the extent set forth herein), (b) to the extent requested by any regulatory authority or self-regulatory body having or claiming jurisdiction over such Person, (c) to the extent required by applicable laws or regulations or by any subpoena, court order or similar legal or regulatory process, (d) to any other party to this Agreement or any other Loan Document,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other Loan Document or (ii) any actual or prospective counterparty (or its advisors) to any swap or derivative transaction to which an Obligor is a direct counterparty relating to any Obligors and their respective obligations hereunder, and to any insurer or insurance broker, (g) with the consent of the applicable Obligors, (h) to the extent such Information (i) becomes publicly available other than as a result of a breach of this Section or (ii) becomes available to the Administrative Agent, any Issuing Bank or any Lender on a non-confidential basis from a source other than an Obligor, or (i) on a confidential basis to (i) any rating agency in connection with rating the Borrower or its Subsidiaries or the credit facilities provided for herein or (ii) the CUSIP Service Bureau or any</w:t>
      </w:r>
    </w:p>
    <w:p>
      <w:pPr>
        <w:sectPr>
          <w:pgSz w:w="11900" w:h="16926" w:orient="portrait"/>
          <w:cols w:equalWidth="0" w:num="1">
            <w:col w:w="11400"/>
          </w:cols>
          <w:pgMar w:left="240" w:top="125" w:right="259" w:bottom="0" w:gutter="0" w:footer="0" w:header="0"/>
        </w:sectPr>
      </w:pPr>
    </w:p>
    <w:bookmarkStart w:id="86" w:name="page87"/>
    <w:bookmarkEnd w:id="86"/>
    <w:p>
      <w:pPr>
        <w:ind w:right="20"/>
        <w:spacing w:after="0" w:line="269" w:lineRule="auto"/>
        <w:rPr>
          <w:sz w:val="20"/>
          <w:szCs w:val="20"/>
          <w:color w:val="auto"/>
        </w:rPr>
      </w:pPr>
      <w:r>
        <w:rPr>
          <w:rFonts w:ascii="Arial" w:cs="Arial" w:eastAsia="Arial" w:hAnsi="Arial"/>
          <w:sz w:val="17"/>
          <w:szCs w:val="17"/>
          <w:color w:val="auto"/>
        </w:rPr>
        <w:t>similar agency in connection with the issuance and monitoring of CUSIP numbers with respect to the credit facilities provided for herein. For the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means all information received from any Obligor relating to such Obligor or any other Obligor or their respective businesses, other than any such information that is available to the Administrative Agent, any Issuing Bank or any Lender on a non-confidential basis prior to disclosure by the applicable Obligor and other than information pertaining to this Agreement routinely provided by arrangers to data service providers, including league table providers, that serve the lending industry and service providers to the Administrative Agent, any Issuing Bank or any other Lender in connection with the administration and management of this Agreement and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Each of the Administrative Agent, the Issuing Banks and the Lenders shall endeavor to notify WIL-Bermuda as promptly as possible of any Information that it is required to disclose pursuant to any subpoena, court order or similar legal or regulatory process so long as it is not legally prohibited from providing such notice.</w:t>
      </w:r>
    </w:p>
    <w:p>
      <w:pPr>
        <w:spacing w:after="0" w:line="179"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EACH LENDER ACKNOWLEDGES THAT INFORMATION AS DEFINED IN THE IMMEDIATELY PRECEDING PARAGRAPH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93"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covenants, agreements, representations and warranties made by the Obligors herein, in the other Loan Documents and in the certificates or other instruments delivered in connection with or pursuant to this Agreement or any other Loan Document shall be considered to have been relied upon by the other parties hereto and thereto and shall survive the execution and delivery of this Agreement and the other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Payment in Full. The provisions of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9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the other Loan Documents and all other documents executed in connection herewith and therewith and the rights and obligations of the parties hereto and thereto, shall be construed in accordance with and governed by the law of the State of New York.</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Independence of Covenants</w:t>
      </w:r>
      <w:r>
        <w:rPr>
          <w:rFonts w:ascii="Arial" w:cs="Arial" w:eastAsia="Arial" w:hAnsi="Arial"/>
          <w:sz w:val="18"/>
          <w:szCs w:val="18"/>
          <w:color w:val="auto"/>
        </w:rPr>
        <w:t>. All covenants contained in this Agreement and in the other Loan Documents shall be given independent effect so that if a particular action or condition is not permitted by any of such covenants, the fact that such action or condition would be permitted by an exception to, or otherwise be within the limitations of, another covenant, shall not avoid the occurrence of a Default or an Event of Default if such action is taken or condition exists.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Counterparts; Integration; Effectiveness; Electronic Execution</w:t>
      </w:r>
      <w:r>
        <w:rPr>
          <w:rFonts w:ascii="Arial" w:cs="Arial" w:eastAsia="Arial" w:hAnsi="Arial"/>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the Notes,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This Agreement shall become effective on the Effective Date, and thereafter shall be binding upon and inure to the benefit of the parties hereto and their respective successors and assigns. Delivery of an executed counterpart of a signature page to this Agreement by facsimile transmission or electronic transmission (in .pdf format) shall be effective for all purposes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w:t>
      </w:r>
    </w:p>
    <w:p>
      <w:pPr>
        <w:spacing w:after="0" w:line="19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ectPr>
          <w:pgSz w:w="11900" w:h="16838" w:orient="portrait"/>
          <w:cols w:equalWidth="0" w:num="1">
            <w:col w:w="11400"/>
          </w:cols>
          <w:pgMar w:left="240" w:top="125" w:right="259" w:bottom="0" w:gutter="0" w:footer="0" w:header="0"/>
        </w:sectPr>
      </w:pPr>
    </w:p>
    <w:bookmarkStart w:id="87" w:name="page88"/>
    <w:bookmarkEnd w:id="87"/>
    <w:p>
      <w:pPr>
        <w:spacing w:after="0" w:line="3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Conflicts Between This Agreement and the Other Loan Documents</w:t>
      </w:r>
      <w:r>
        <w:rPr>
          <w:rFonts w:ascii="Arial" w:cs="Arial" w:eastAsia="Arial" w:hAnsi="Arial"/>
          <w:sz w:val="18"/>
          <w:szCs w:val="18"/>
          <w:color w:val="auto"/>
        </w:rPr>
        <w:t>. In the event of any conflict between, or inconsistency with, the terms of this Agreement and the terms of any of the other Loan Documents, the terms of this Agreement shall control.</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SECTION 11.14 </w:t>
      </w:r>
      <w:r>
        <w:rPr>
          <w:rFonts w:ascii="Arial" w:cs="Arial" w:eastAsia="Arial" w:hAnsi="Arial"/>
          <w:sz w:val="17"/>
          <w:szCs w:val="17"/>
          <w:u w:val="single" w:color="auto"/>
          <w:color w:val="auto"/>
        </w:rPr>
        <w:t>Limitation of Interest</w:t>
      </w:r>
      <w:r>
        <w:rPr>
          <w:rFonts w:ascii="Arial" w:cs="Arial" w:eastAsia="Arial" w:hAnsi="Arial"/>
          <w:sz w:val="17"/>
          <w:szCs w:val="17"/>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7"/>
          <w:szCs w:val="17"/>
          <w:u w:val="single" w:color="auto"/>
          <w:color w:val="auto"/>
        </w:rPr>
        <w:t>Charges</w:t>
      </w:r>
      <w:r>
        <w:rPr>
          <w:rFonts w:ascii="Arial" w:cs="Arial" w:eastAsia="Arial" w:hAnsi="Arial"/>
          <w:sz w:val="17"/>
          <w:szCs w:val="17"/>
          <w:color w:val="auto"/>
        </w:rPr>
        <w:t>”),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Submission to Jurisdiction; Consent to Service of Process</w:t>
      </w:r>
      <w:r>
        <w:rPr>
          <w:rFonts w:ascii="Arial" w:cs="Arial" w:eastAsia="Arial" w:hAnsi="Arial"/>
          <w:sz w:val="18"/>
          <w:szCs w:val="18"/>
          <w:color w:val="auto"/>
        </w:rPr>
        <w:t>.</w:t>
      </w:r>
    </w:p>
    <w:p>
      <w:pPr>
        <w:spacing w:after="0" w:line="225" w:lineRule="exact"/>
        <w:rPr>
          <w:sz w:val="20"/>
          <w:szCs w:val="20"/>
          <w:color w:val="auto"/>
        </w:rPr>
      </w:pPr>
    </w:p>
    <w:p>
      <w:pPr>
        <w:ind w:right="60" w:firstLine="1305"/>
        <w:spacing w:after="0" w:line="253" w:lineRule="auto"/>
        <w:tabs>
          <w:tab w:leader="none" w:pos="194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Each Obligor Party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 Nothing in this Agreement or any other Loan Document (including this </w:t>
      </w:r>
      <w:r>
        <w:rPr>
          <w:rFonts w:ascii="Arial" w:cs="Arial" w:eastAsia="Arial" w:hAnsi="Arial"/>
          <w:sz w:val="18"/>
          <w:szCs w:val="18"/>
          <w:u w:val="single" w:color="auto"/>
          <w:color w:val="auto"/>
        </w:rPr>
        <w:t>Section 11.15</w:t>
      </w:r>
      <w:r>
        <w:rPr>
          <w:rFonts w:ascii="Arial" w:cs="Arial" w:eastAsia="Arial" w:hAnsi="Arial"/>
          <w:sz w:val="18"/>
          <w:szCs w:val="18"/>
          <w:color w:val="auto"/>
        </w:rPr>
        <w:t>) shall affect any right that the Administrative Agent, any Issuing Bank or any Lender may otherwise have to bring any suit, action or proceeding relating to this Agreement or any other Loan Document against any Obligor or its properties in the courts of any jurisdiction.</w:t>
      </w:r>
    </w:p>
    <w:p>
      <w:pPr>
        <w:spacing w:after="0" w:line="194" w:lineRule="exact"/>
        <w:rPr>
          <w:rFonts w:ascii="Arial" w:cs="Arial" w:eastAsia="Arial" w:hAnsi="Arial"/>
          <w:sz w:val="18"/>
          <w:szCs w:val="18"/>
          <w:color w:val="auto"/>
        </w:rPr>
      </w:pPr>
    </w:p>
    <w:p>
      <w:pPr>
        <w:ind w:right="20" w:firstLine="1305"/>
        <w:spacing w:after="0" w:line="259" w:lineRule="auto"/>
        <w:tabs>
          <w:tab w:leader="none" w:pos="195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Each Obligor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w:t>
      </w:r>
      <w:r>
        <w:rPr>
          <w:rFonts w:ascii="Arial" w:cs="Arial" w:eastAsia="Arial" w:hAnsi="Arial"/>
          <w:sz w:val="18"/>
          <w:szCs w:val="18"/>
          <w:u w:val="single" w:color="auto"/>
          <w:color w:val="auto"/>
        </w:rPr>
        <w:t>(a)</w:t>
      </w:r>
      <w:r>
        <w:rPr>
          <w:rFonts w:ascii="Arial" w:cs="Arial" w:eastAsia="Arial" w:hAnsi="Arial"/>
          <w:sz w:val="18"/>
          <w:szCs w:val="18"/>
          <w:color w:val="auto"/>
        </w:rPr>
        <w:t xml:space="preserve"> of this Section. Each Obligor Party hereby irrevocably waives, to the fullest extent permitted by law, the defense of an inconvenient forum to the maintenance of such action or proceeding in any such court.</w:t>
      </w:r>
    </w:p>
    <w:p>
      <w:pPr>
        <w:spacing w:after="0" w:line="186" w:lineRule="exact"/>
        <w:rPr>
          <w:rFonts w:ascii="Arial" w:cs="Arial" w:eastAsia="Arial" w:hAnsi="Arial"/>
          <w:sz w:val="18"/>
          <w:szCs w:val="18"/>
          <w:color w:val="auto"/>
        </w:rPr>
      </w:pPr>
    </w:p>
    <w:p>
      <w:pPr>
        <w:ind w:firstLine="1305"/>
        <w:spacing w:after="0" w:line="255" w:lineRule="auto"/>
        <w:tabs>
          <w:tab w:leader="none" w:pos="195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Each party to this Agreement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other than by facsimile. Nothing in this Agreement or any other Loan Document will affect the right of any party to this Agreement or any other Loan Document to serve process in any other manner permitted by law. Notwithstanding any other provision of this Agreement, each foreign Obligor Party hereby irrevocably designates C T Corporation System, 111 8th Avenue, New York, New York 10011, as the designee, appointee and agent of such Obligor Party to receive, for and on behalf of such Obligor Party, service of process in the State of New York in any suit, action or proceeding arising out of or relating to this Agreement or any other Loan Document.</w:t>
      </w:r>
    </w:p>
    <w:p>
      <w:pPr>
        <w:spacing w:after="0" w:line="193" w:lineRule="exact"/>
        <w:rPr>
          <w:rFonts w:ascii="Arial" w:cs="Arial" w:eastAsia="Arial" w:hAnsi="Arial"/>
          <w:sz w:val="18"/>
          <w:szCs w:val="18"/>
          <w:color w:val="auto"/>
        </w:rPr>
      </w:pPr>
    </w:p>
    <w:p>
      <w:pPr>
        <w:ind w:right="100" w:firstLine="1305"/>
        <w:spacing w:after="0" w:line="257" w:lineRule="auto"/>
        <w:tabs>
          <w:tab w:leader="none" w:pos="195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Each Obligor Party agrees that any suit, action or proceeding brought by any Obligor Party or any of their respective Subsidiaries relating to this Agreement or any other Loan Document against the Administrative Agent, any Issuing Bank, any Lender or any of their respective Affiliates shall be brought exclusively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188" w:lineRule="exact"/>
        <w:rPr>
          <w:rFonts w:ascii="Arial" w:cs="Arial" w:eastAsia="Arial" w:hAnsi="Arial"/>
          <w:sz w:val="18"/>
          <w:szCs w:val="18"/>
          <w:color w:val="auto"/>
        </w:rPr>
      </w:pPr>
    </w:p>
    <w:p>
      <w:pPr>
        <w:jc w:val="both"/>
        <w:ind w:right="220" w:firstLine="1305"/>
        <w:spacing w:after="0" w:line="264" w:lineRule="auto"/>
        <w:tabs>
          <w:tab w:leader="none" w:pos="195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Administrative Agent, each Issuing Bank and each Lender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173" w:lineRule="exact"/>
        <w:rPr>
          <w:sz w:val="20"/>
          <w:szCs w:val="20"/>
          <w:color w:val="auto"/>
        </w:rPr>
      </w:pPr>
    </w:p>
    <w:p>
      <w:pPr>
        <w:ind w:right="20" w:firstLine="1305"/>
        <w:spacing w:after="0" w:line="257" w:lineRule="auto"/>
        <w:tabs>
          <w:tab w:leader="none" w:pos="1949"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The Administrative Agent, each Issuing Bank and each Lender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this Section. Each of the Administrative Agent, each Issuing Bank and each Lender hereby irrevocably waives, to the fullest extent permitted by law, the defense of an inconvenient forum to the maintenance of such action or proceeding in any such court.</w:t>
      </w:r>
    </w:p>
    <w:p>
      <w:pPr>
        <w:spacing w:after="0" w:line="188" w:lineRule="exact"/>
        <w:rPr>
          <w:rFonts w:ascii="Arial" w:cs="Arial" w:eastAsia="Arial" w:hAnsi="Arial"/>
          <w:sz w:val="18"/>
          <w:szCs w:val="18"/>
          <w:color w:val="auto"/>
        </w:rPr>
      </w:pPr>
    </w:p>
    <w:p>
      <w:pPr>
        <w:jc w:val="both"/>
        <w:ind w:right="240" w:firstLine="1305"/>
        <w:spacing w:after="0" w:line="312" w:lineRule="auto"/>
        <w:tabs>
          <w:tab w:leader="none" w:pos="196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To the extent that any Obligor Party has or hereafter may acquire any immunity from jurisdiction of any court or from set-off or any legal process (whether through service or notice, attachment prior to judgment, attachment in aid of execution, execution or otherwise) with respect to itself or its property, such Obligor Party hereby irrevocably waives such immunity in respect of its obligations under the Loan Documents.</w:t>
      </w:r>
    </w:p>
    <w:p>
      <w:pPr>
        <w:spacing w:after="0" w:line="14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 xml:space="preserve">SECTION 11.16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w:t>
      </w:r>
    </w:p>
    <w:p>
      <w:pPr>
        <w:spacing w:after="0" w:line="23"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APPLICABLE LAW, ANY RIGHT IT MAY HAVE TO A TRIAL BY JURY IN ANY LEGAL PROCEEDING DIRECTLY OR INDIRECTLY ARISING</w:t>
      </w:r>
    </w:p>
    <w:p>
      <w:pPr>
        <w:sectPr>
          <w:pgSz w:w="11900" w:h="16877" w:orient="portrait"/>
          <w:cols w:equalWidth="0" w:num="1">
            <w:col w:w="11420"/>
          </w:cols>
          <w:pgMar w:left="240" w:top="125" w:right="239" w:bottom="0" w:gutter="0" w:footer="0" w:header="0"/>
        </w:sectPr>
      </w:pPr>
    </w:p>
    <w:bookmarkStart w:id="88" w:name="page89"/>
    <w:bookmarkEnd w:id="88"/>
    <w:p>
      <w:pPr>
        <w:ind w:right="80"/>
        <w:spacing w:after="0" w:line="255" w:lineRule="auto"/>
        <w:rPr>
          <w:sz w:val="20"/>
          <w:szCs w:val="20"/>
          <w:color w:val="auto"/>
        </w:rPr>
      </w:pPr>
      <w:r>
        <w:rPr>
          <w:rFonts w:ascii="Arial" w:cs="Arial" w:eastAsia="Arial" w:hAnsi="Arial"/>
          <w:sz w:val="18"/>
          <w:szCs w:val="18"/>
          <w:color w:val="auto"/>
        </w:rPr>
        <w:t>OUT OF OR RELATING TO THIS AGREEMENT,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11.17 </w:t>
      </w:r>
      <w:r>
        <w:rPr>
          <w:rFonts w:ascii="Arial" w:cs="Arial" w:eastAsia="Arial" w:hAnsi="Arial"/>
          <w:sz w:val="18"/>
          <w:szCs w:val="18"/>
          <w:u w:val="single" w:color="auto"/>
          <w:color w:val="auto"/>
        </w:rPr>
        <w:t>Judgment Currency</w:t>
      </w:r>
      <w:r>
        <w:rPr>
          <w:rFonts w:ascii="Arial" w:cs="Arial" w:eastAsia="Arial" w:hAnsi="Arial"/>
          <w:sz w:val="18"/>
          <w:szCs w:val="18"/>
          <w:color w:val="auto"/>
        </w:rPr>
        <w:t>. The obligation of each Obligor to make payments on any Obligation to the Lenders, to any Issuing Bank or to the Administrative Agent hereunder in any currency (the “</w:t>
      </w:r>
      <w:r>
        <w:rPr>
          <w:rFonts w:ascii="Arial" w:cs="Arial" w:eastAsia="Arial" w:hAnsi="Arial"/>
          <w:sz w:val="18"/>
          <w:szCs w:val="18"/>
          <w:u w:val="single" w:color="auto"/>
          <w:color w:val="auto"/>
        </w:rPr>
        <w:t>first currency</w:t>
      </w:r>
      <w:r>
        <w:rPr>
          <w:rFonts w:ascii="Arial" w:cs="Arial" w:eastAsia="Arial" w:hAnsi="Arial"/>
          <w:sz w:val="18"/>
          <w:szCs w:val="18"/>
          <w:color w:val="auto"/>
        </w:rPr>
        <w:t>”) shall not be discharged or satisfied by any tender or recovery pursuant to any judgment expressed in or converted into any other currency (the “</w:t>
      </w:r>
      <w:r>
        <w:rPr>
          <w:rFonts w:ascii="Arial" w:cs="Arial" w:eastAsia="Arial" w:hAnsi="Arial"/>
          <w:sz w:val="18"/>
          <w:szCs w:val="18"/>
          <w:u w:val="single" w:color="auto"/>
          <w:color w:val="auto"/>
        </w:rPr>
        <w:t>second currency</w:t>
      </w:r>
      <w:r>
        <w:rPr>
          <w:rFonts w:ascii="Arial" w:cs="Arial" w:eastAsia="Arial" w:hAnsi="Arial"/>
          <w:sz w:val="18"/>
          <w:szCs w:val="18"/>
          <w:color w:val="auto"/>
        </w:rPr>
        <w:t>”) except to the extent to which such tender or recovery shall result in the effective receipt by the applicable Lender, the applicable Issuing Bank or the Administrative Agent of the full amount of the first currency payable, and accordingly the primary obligation of each Obligor shall be enforceable as an alternative or additional cause of action for the purpose of recovery in the second currency of the amount (if any) by which such effective receipt shall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fall short of the full amount of the full currency payable and shall not be affected by a judgment being obtained for any other sum due hereunder.</w:t>
      </w:r>
    </w:p>
    <w:p>
      <w:pPr>
        <w:spacing w:after="0" w:line="23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SECTION 11.18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USA Patriot Act (Title III of Pub. L. 107-56 (signed into law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hereby notifies the Obligors that pursuant to the requirements of the PATRIOT Act, it is required to obtain, verify and record information that identifies each Obligor, which information includes the name and address of such Obligor and other information that will allow such Lender to identify such Obligor in accordance with the PATRIOT Act.</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11.19 </w:t>
      </w:r>
      <w:r>
        <w:rPr>
          <w:rFonts w:ascii="Arial" w:cs="Arial" w:eastAsia="Arial" w:hAnsi="Arial"/>
          <w:sz w:val="17"/>
          <w:szCs w:val="17"/>
          <w:u w:val="single" w:color="auto"/>
          <w:color w:val="auto"/>
        </w:rPr>
        <w:t>Payments Set Aside</w:t>
      </w:r>
      <w:r>
        <w:rPr>
          <w:rFonts w:ascii="Arial" w:cs="Arial" w:eastAsia="Arial" w:hAnsi="Arial"/>
          <w:sz w:val="17"/>
          <w:szCs w:val="17"/>
          <w:color w:val="auto"/>
        </w:rPr>
        <w:t xml:space="preserve">. To the extent that any payment by or on behalf of any Borrower is made to the Administrative Agent, any Issuing Bank or any Lender, or the Administrative Agent, any Issuing Bank or any Lender exercises its right of set-off pursuant hereto, and such payment or the proceeds of such set-off or any part thereof is subsequently invalidated, declared to be fraudulent or preferential, set aside or required (including pursuant to any settlement entered into by the Administrative Agent, such Issuing Bank or such Lender in its discretion) to be repaid to a trustee, receiver, examiner, administrator or any other party, in connection with any Bankruptcy Event of an Obligor or otherwise, then (a) to the extent of such recovery, the obligation or part thereof originally intended to be satisfied shall be revived and continued in full force and effect as if such payment had not been made or such set-off had not occurred, and (b) each Lender and each Issuing Bank severally agrees to pay to the Administrative Agent upon demand its applicable share (without duplication) of any amount so recovered from or repaid by the Administrative Agent (to the extent such amount had previously been paid by the Administrative Agent to such Lender or such Issuing Bank, as applicable), plus interest thereon from the date of such demand to the date such payment is made at a rate per annum equal to the Federal Funds Effective Rate from time to time in effect. The obligations of the Lenders and the Issuing Banks under clause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the preceding sentence shall survive the Payment in Full.</w:t>
      </w:r>
    </w:p>
    <w:p>
      <w:pPr>
        <w:spacing w:after="0" w:line="18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11.20 </w:t>
      </w:r>
      <w:r>
        <w:rPr>
          <w:rFonts w:ascii="Arial" w:cs="Arial" w:eastAsia="Arial" w:hAnsi="Arial"/>
          <w:sz w:val="16"/>
          <w:szCs w:val="16"/>
          <w:u w:val="single" w:color="auto"/>
          <w:color w:val="auto"/>
        </w:rPr>
        <w:t>No Fiduciary Duty</w:t>
      </w:r>
      <w:r>
        <w:rPr>
          <w:rFonts w:ascii="Arial" w:cs="Arial" w:eastAsia="Arial" w:hAnsi="Arial"/>
          <w:sz w:val="16"/>
          <w:szCs w:val="16"/>
          <w:color w:val="auto"/>
        </w:rPr>
        <w:t xml:space="preserve">. The Credit Parties and their respective Affiliates (collectively, solely for purposes of this </w:t>
      </w:r>
      <w:r>
        <w:rPr>
          <w:rFonts w:ascii="Arial" w:cs="Arial" w:eastAsia="Arial" w:hAnsi="Arial"/>
          <w:sz w:val="16"/>
          <w:szCs w:val="16"/>
          <w:u w:val="single" w:color="auto"/>
          <w:color w:val="auto"/>
        </w:rPr>
        <w:t>Section 11.20</w:t>
      </w:r>
      <w:r>
        <w:rPr>
          <w:rFonts w:ascii="Arial" w:cs="Arial" w:eastAsia="Arial" w:hAnsi="Arial"/>
          <w:sz w:val="16"/>
          <w:szCs w:val="16"/>
          <w:color w:val="auto"/>
        </w:rPr>
        <w:t>, the “</w:t>
      </w:r>
      <w:r>
        <w:rPr>
          <w:rFonts w:ascii="Arial" w:cs="Arial" w:eastAsia="Arial" w:hAnsi="Arial"/>
          <w:sz w:val="16"/>
          <w:szCs w:val="16"/>
          <w:u w:val="single" w:color="auto"/>
          <w:color w:val="auto"/>
        </w:rPr>
        <w:t>Credit Parties</w:t>
      </w:r>
      <w:r>
        <w:rPr>
          <w:rFonts w:ascii="Arial" w:cs="Arial" w:eastAsia="Arial" w:hAnsi="Arial"/>
          <w:sz w:val="16"/>
          <w:szCs w:val="16"/>
          <w:color w:val="auto"/>
        </w:rPr>
        <w:t>”) may have economic interests that conflict with those of the Borrowers. Each Obligor Party agrees that nothing in the Loan Documents or otherwise will be deemed to create an advisory, fiduciary or agency relationship or fiduciary or other implied duty between the Credit Parties and the Borrowers, their stockholders or their affiliates. Each Obligor Party acknowledges and agrees that (i) the transactions contemplated by the Loan Documents are arm’s-length commercial transactions between the Credit Parties, on the one hand, and the Obligors, on the other, (ii) in connection therewith and with the process leading to such transactions, each of the Credit Parties is acting solely as a principal and not the fiduciary of the Obligors, their management, stockholders, creditors or any other person, (iii) no Credit Party has assumed an advisory or fiduciary responsibility in favor of any Obligor with respect to the transactions contemplated hereby or the process leading thereto (irrespective of whether any Credit Party or any of its affiliates has advised or is currently advising any Obligor on other matters), (iv) each of the Credit Parties may be engaged in a broad range of transactions that involve interests that differ from those of the Obligor Parties and their Affiliates, and no Credit Party has any obligation to disclose any of such interests to the Obligor Parties or their Affiliates and (v) each Obligor has consulted its own legal and financial advisors to the extent it deemed appropriate. Each Obligor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Party further acknowledges and agrees that it is responsible for making its own independent judgment with respect to the transactions contemplated hereby and the process leading thereto. Each Obligor Party agrees that it will not claim that any Credit Party has rendered advisory services of any nature or respect, or owes a fiduciary or similar duty to such Obligor Party or any other Obligor, in connection with the transactions contemplated hereby or the process leading thereto.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11.21 </w:t>
      </w:r>
      <w:r>
        <w:rPr>
          <w:rFonts w:ascii="Arial" w:cs="Arial" w:eastAsia="Arial" w:hAnsi="Arial"/>
          <w:sz w:val="18"/>
          <w:szCs w:val="18"/>
          <w:u w:val="single" w:color="auto"/>
          <w:color w:val="auto"/>
        </w:rPr>
        <w:t>Release of Guarantors</w:t>
      </w:r>
      <w:r>
        <w:rPr>
          <w:rFonts w:ascii="Arial" w:cs="Arial" w:eastAsia="Arial" w:hAnsi="Arial"/>
          <w:sz w:val="18"/>
          <w:szCs w:val="18"/>
          <w:color w:val="auto"/>
        </w:rPr>
        <w:t>.</w:t>
      </w:r>
    </w:p>
    <w:p>
      <w:pPr>
        <w:spacing w:after="0" w:line="225" w:lineRule="exact"/>
        <w:rPr>
          <w:sz w:val="20"/>
          <w:szCs w:val="20"/>
          <w:color w:val="auto"/>
        </w:rPr>
      </w:pPr>
    </w:p>
    <w:p>
      <w:pPr>
        <w:ind w:right="40" w:firstLine="1305"/>
        <w:spacing w:after="0" w:line="272" w:lineRule="auto"/>
        <w:tabs>
          <w:tab w:leader="none" w:pos="1942"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Any Guarantor (other than WIL-Ireland or WIL-Delaware) shall be automatically released from its obligations under any applicable Guaranty Agreement and the other Loan Documents (i) upon such Person ceasing to be a Subsidiary as a result of such Disposition otherwise permitted by the Loan Document, (ii) upon such Person becoming an Unrestricted Subsidiary or (iii) if both of the following are true: (A) such Person is not a Material Specified Subsidiary that is organized in a Specified Jurisdiction and (B) such Person does not Guarantee third party Indebtedness for borrowed money of a Holdco Guarantor in the principal amount in excess of $20,000,000 (other than the Term Loan Facility and the 364-Day Revolving Credit Facility), and in any case set forth above, promptly upon receipt of a written request therefor from the Borrowers, the Administrative Agent will execute and deliver all documents as may reasonably be requested to evidence such release.</w:t>
      </w:r>
    </w:p>
    <w:p>
      <w:pPr>
        <w:spacing w:after="0" w:line="177" w:lineRule="exact"/>
        <w:rPr>
          <w:rFonts w:ascii="Arial" w:cs="Arial" w:eastAsia="Arial" w:hAnsi="Arial"/>
          <w:sz w:val="17"/>
          <w:szCs w:val="17"/>
          <w:color w:val="auto"/>
        </w:rPr>
      </w:pPr>
    </w:p>
    <w:p>
      <w:pPr>
        <w:ind w:right="180" w:firstLine="1305"/>
        <w:spacing w:after="0" w:line="255" w:lineRule="auto"/>
        <w:tabs>
          <w:tab w:leader="none" w:pos="195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Upon written notice from the Borrowers to the Administrative Agent, any Added Guarantor shall be automatically released from its obligations under any applicable Guaranty Agreement and the other Loan Documents if both of the following are true: (A) such Person is not a Material Specified Subsidiary that is organized in a Specified Jurisdiction and (B) such Person does not Guarantee third party Indebtedness for borrowed money of a Holdco Guarantor in the principal amount in excess of $20,000,000 (other than the Term Loan Facility and the 364-Day Revolving Credit Facility), and promptly upon receipt of a written request therefor from the Borrowers, the Administrative Agent will execute and deliver all documents as may reasonably be requested to evidence such release.</w:t>
      </w:r>
    </w:p>
    <w:p>
      <w:pPr>
        <w:sectPr>
          <w:pgSz w:w="11900" w:h="16838" w:orient="portrait"/>
          <w:cols w:equalWidth="0" w:num="1">
            <w:col w:w="11420"/>
          </w:cols>
          <w:pgMar w:left="240" w:top="125" w:right="239" w:bottom="0" w:gutter="0" w:footer="0" w:header="0"/>
        </w:sectPr>
      </w:pPr>
    </w:p>
    <w:bookmarkStart w:id="89" w:name="page90"/>
    <w:bookmarkEnd w:id="89"/>
    <w:p>
      <w:pPr>
        <w:ind w:right="80" w:firstLine="648"/>
        <w:spacing w:after="0" w:line="279" w:lineRule="auto"/>
        <w:rPr>
          <w:sz w:val="20"/>
          <w:szCs w:val="20"/>
          <w:color w:val="auto"/>
        </w:rPr>
      </w:pPr>
      <w:r>
        <w:rPr>
          <w:rFonts w:ascii="Arial" w:cs="Arial" w:eastAsia="Arial" w:hAnsi="Arial"/>
          <w:sz w:val="17"/>
          <w:szCs w:val="17"/>
          <w:color w:val="auto"/>
        </w:rPr>
        <w:t xml:space="preserve">SECTION 11.22 </w:t>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among any of the parties hereto,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1" w:lineRule="exact"/>
        <w:rPr>
          <w:sz w:val="20"/>
          <w:szCs w:val="20"/>
          <w:color w:val="auto"/>
        </w:rPr>
      </w:pPr>
    </w:p>
    <w:p>
      <w:pPr>
        <w:ind w:right="680" w:firstLine="1305"/>
        <w:spacing w:after="0" w:line="277" w:lineRule="auto"/>
        <w:tabs>
          <w:tab w:leader="none" w:pos="194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20" w:firstLine="1293"/>
        <w:spacing w:after="0" w:line="259" w:lineRule="auto"/>
        <w:tabs>
          <w:tab w:leader="none" w:pos="263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660" w:right="160" w:firstLine="1293"/>
        <w:spacing w:after="0" w:line="277" w:lineRule="auto"/>
        <w:tabs>
          <w:tab w:leader="none" w:pos="264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11.23 </w:t>
      </w:r>
      <w:r>
        <w:rPr>
          <w:rFonts w:ascii="Arial" w:cs="Arial" w:eastAsia="Arial" w:hAnsi="Arial"/>
          <w:sz w:val="18"/>
          <w:szCs w:val="18"/>
          <w:u w:val="single" w:color="auto"/>
          <w:color w:val="auto"/>
        </w:rPr>
        <w:t>Confirmation of Lender’s Status as a Swiss Qualifying Lender</w:t>
      </w:r>
      <w:r>
        <w:rPr>
          <w:rFonts w:ascii="Arial" w:cs="Arial" w:eastAsia="Arial" w:hAnsi="Arial"/>
          <w:sz w:val="18"/>
          <w:szCs w:val="18"/>
          <w:color w:val="auto"/>
        </w:rPr>
        <w:t>.</w:t>
      </w:r>
    </w:p>
    <w:p>
      <w:pPr>
        <w:spacing w:after="0" w:line="225" w:lineRule="exact"/>
        <w:rPr>
          <w:sz w:val="20"/>
          <w:szCs w:val="20"/>
          <w:color w:val="auto"/>
        </w:rPr>
      </w:pPr>
    </w:p>
    <w:p>
      <w:pPr>
        <w:ind w:right="100" w:firstLine="1305"/>
        <w:spacing w:after="0" w:line="264" w:lineRule="auto"/>
        <w:tabs>
          <w:tab w:leader="none" w:pos="194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Each Lender confirms that, as of the Effective Date, unless notified in writing to WIL-Ireland and the Administrative Agent prior to the Effective Date, such Lender is a Swiss Qualifying Lender and has not entered into a participation arrangement with respect to this Agreement with any Person that is a Swiss Non-Qualifying Lender.</w:t>
      </w:r>
    </w:p>
    <w:p>
      <w:pPr>
        <w:spacing w:after="0" w:line="181" w:lineRule="exact"/>
        <w:rPr>
          <w:rFonts w:ascii="Arial" w:cs="Arial" w:eastAsia="Arial" w:hAnsi="Arial"/>
          <w:sz w:val="18"/>
          <w:szCs w:val="18"/>
          <w:color w:val="auto"/>
        </w:rPr>
      </w:pPr>
    </w:p>
    <w:p>
      <w:pPr>
        <w:ind w:right="260" w:firstLine="1305"/>
        <w:spacing w:after="0" w:line="286" w:lineRule="auto"/>
        <w:tabs>
          <w:tab w:leader="none" w:pos="1952"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Without limitation to any consent or other rights provided for in this Agreement (including </w:t>
      </w:r>
      <w:r>
        <w:rPr>
          <w:rFonts w:ascii="Arial" w:cs="Arial" w:eastAsia="Arial" w:hAnsi="Arial"/>
          <w:sz w:val="17"/>
          <w:szCs w:val="17"/>
          <w:u w:val="single" w:color="auto"/>
          <w:color w:val="auto"/>
        </w:rPr>
        <w:t>Section 11.05</w:t>
      </w:r>
      <w:r>
        <w:rPr>
          <w:rFonts w:ascii="Arial" w:cs="Arial" w:eastAsia="Arial" w:hAnsi="Arial"/>
          <w:sz w:val="17"/>
          <w:szCs w:val="17"/>
          <w:color w:val="auto"/>
        </w:rPr>
        <w:t>), any Person that shall become an assignee, Participant or sub-participant with respect to any Lender or Participant pursuant to this Agreement shall confirm in writing to WIL-Ireland and the Administrative Agent prior to the date such Person becomes a Lender, Participant or sub-participant, that:</w:t>
      </w:r>
    </w:p>
    <w:p>
      <w:pPr>
        <w:spacing w:after="0" w:line="165" w:lineRule="exact"/>
        <w:rPr>
          <w:rFonts w:ascii="Arial" w:cs="Arial" w:eastAsia="Arial" w:hAnsi="Arial"/>
          <w:sz w:val="17"/>
          <w:szCs w:val="17"/>
          <w:color w:val="auto"/>
        </w:rPr>
      </w:pPr>
    </w:p>
    <w:p>
      <w:pPr>
        <w:ind w:left="660" w:right="300" w:firstLine="1293"/>
        <w:spacing w:after="0" w:line="277" w:lineRule="auto"/>
        <w:tabs>
          <w:tab w:leader="none" w:pos="2626" w:val="left"/>
        </w:tabs>
        <w:numPr>
          <w:ilvl w:val="1"/>
          <w:numId w:val="257"/>
        </w:numPr>
        <w:rPr>
          <w:rFonts w:ascii="Arial" w:cs="Arial" w:eastAsia="Arial" w:hAnsi="Arial"/>
          <w:sz w:val="18"/>
          <w:szCs w:val="18"/>
          <w:color w:val="auto"/>
        </w:rPr>
      </w:pPr>
      <w:r>
        <w:rPr>
          <w:rFonts w:ascii="Arial" w:cs="Arial" w:eastAsia="Arial" w:hAnsi="Arial"/>
          <w:sz w:val="18"/>
          <w:szCs w:val="18"/>
          <w:color w:val="auto"/>
        </w:rPr>
        <w:t>it is a Swiss Qualifying Lender and has not entered into a participation (including sub-participation) arrangement with respect to this Agreement with any Person that is a Swiss Non-Qualifying Lender; or</w:t>
      </w:r>
    </w:p>
    <w:p>
      <w:pPr>
        <w:spacing w:after="0" w:line="170" w:lineRule="exact"/>
        <w:rPr>
          <w:rFonts w:ascii="Arial" w:cs="Arial" w:eastAsia="Arial" w:hAnsi="Arial"/>
          <w:sz w:val="18"/>
          <w:szCs w:val="18"/>
          <w:color w:val="auto"/>
        </w:rPr>
      </w:pPr>
    </w:p>
    <w:p>
      <w:pPr>
        <w:ind w:left="660" w:right="80" w:firstLine="1293"/>
        <w:spacing w:after="0" w:line="277" w:lineRule="auto"/>
        <w:tabs>
          <w:tab w:leader="none" w:pos="2636" w:val="left"/>
        </w:tabs>
        <w:numPr>
          <w:ilvl w:val="1"/>
          <w:numId w:val="257"/>
        </w:numPr>
        <w:rPr>
          <w:rFonts w:ascii="Arial" w:cs="Arial" w:eastAsia="Arial" w:hAnsi="Arial"/>
          <w:sz w:val="18"/>
          <w:szCs w:val="18"/>
          <w:color w:val="auto"/>
        </w:rPr>
      </w:pPr>
      <w:r>
        <w:rPr>
          <w:rFonts w:ascii="Arial" w:cs="Arial" w:eastAsia="Arial" w:hAnsi="Arial"/>
          <w:sz w:val="18"/>
          <w:szCs w:val="18"/>
          <w:color w:val="auto"/>
        </w:rPr>
        <w:t>if it is a Swiss Non-Qualifying Lender, it counts as one single creditor for purposes of the Swiss Non-Bank Rules (taking into account any participations and sub-participations).</w:t>
      </w:r>
    </w:p>
    <w:p>
      <w:pPr>
        <w:spacing w:after="0" w:line="170" w:lineRule="exact"/>
        <w:rPr>
          <w:rFonts w:ascii="Arial" w:cs="Arial" w:eastAsia="Arial" w:hAnsi="Arial"/>
          <w:sz w:val="18"/>
          <w:szCs w:val="18"/>
          <w:color w:val="auto"/>
        </w:rPr>
      </w:pPr>
    </w:p>
    <w:p>
      <w:pPr>
        <w:ind w:right="60" w:firstLine="1305"/>
        <w:spacing w:after="0" w:line="277" w:lineRule="auto"/>
        <w:tabs>
          <w:tab w:leader="none" w:pos="195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Each Lender or Participant (including sub-participants) shall promptly notify WIL-Ireland and the Administrative Agent if for any reason it ceases to be a Swiss Qualifying Lender.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 signature pages intentionally omitted.</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680"/>
        <w:spacing w:after="0"/>
        <w:rPr>
          <w:sz w:val="20"/>
          <w:szCs w:val="20"/>
          <w:color w:val="auto"/>
        </w:rPr>
      </w:pPr>
      <w:r>
        <w:rPr>
          <w:rFonts w:ascii="Arial" w:cs="Arial" w:eastAsia="Arial" w:hAnsi="Arial"/>
          <w:sz w:val="17"/>
          <w:szCs w:val="17"/>
          <w:b w:val="1"/>
          <w:bCs w:val="1"/>
          <w:color w:val="auto"/>
        </w:rPr>
        <w:t>Annex IV</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AMENDED SCHEDULES TO AMENDED REVOLVING CREDIT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1.01C (Guarantors on the Amendment No. 3 Effective Date),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2.01 (Commitments)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3.01 (Existing Letters of Credit)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1.01C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INITIAL GUARANTORS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Australia Initial Guarantor: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Australia Pty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Bermuda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International Drilling Company Limited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Sabre Drilling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Bermuda Holdings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International Holding (Bermuda) Ltd.</w:t>
      </w:r>
    </w:p>
    <w:p>
      <w:pPr>
        <w:sectPr>
          <w:pgSz w:w="11900" w:h="16838" w:orient="portrait"/>
          <w:cols w:equalWidth="0" w:num="1">
            <w:col w:w="11420"/>
          </w:cols>
          <w:pgMar w:left="240" w:top="125" w:right="239" w:bottom="0" w:gutter="0" w:footer="0" w:header="0"/>
        </w:sectPr>
      </w:pPr>
    </w:p>
    <w:bookmarkStart w:id="90" w:name="page91"/>
    <w:bookmarkEnd w:id="90"/>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Pangaea Holdings Ltd.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Services,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Holdings (Bermuda)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International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WOFS Assurance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Colombia Limited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Drilling International (BVI)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Drilling International Holdings (BVI)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Holdings (BVI)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Oil Tool Middle East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Canada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Canada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Deutsche Holding (Canada) ULC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(Nova Scotia) ULC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England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Eurasia Limited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U.K.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Ireland Initial Guarantor: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Luxembourg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European Holdings (Luxembourg) S.à r.l.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International (Luxembourg) Holdings S.à r.l.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Netherlands Initial Guarantor: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Netherlands B.V.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Norway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Norge AS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Laboratories (Norway)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Panama Initial Guarantor: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Services S. de R.L.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Switzerland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Management Company Switzerland Sarl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Products GmbH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Switzerland Trading and Development GmbH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Worldwide Holdings GmbH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WOFS International Finance GmbH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WOFS Swiss Finance GmbH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Holdings (Switzerland) GmbH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United States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PD Holdings (USA), 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Precision Drilling Holdings,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Precision Drilling LP,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Precision USA Holdings,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Precision Energy Services,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Artificial Lift Systems,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Investment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International,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Holdings U.S.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Weatherford/Lamb,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Limited Partner,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U.S. Holdings,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U.S., 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WEUS Holding,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Precision Drilling Technology Services Group (USA)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Precision Oilfield Services, LLP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Visual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COMMITMENTS(19)</w:t>
      </w:r>
    </w:p>
    <w:p>
      <w:pPr>
        <w:sectPr>
          <w:pgSz w:w="11900" w:h="16870" w:orient="portrait"/>
          <w:cols w:equalWidth="0" w:num="1">
            <w:col w:w="11420"/>
          </w:cols>
          <w:pgMar w:left="240" w:top="125" w:right="239" w:bottom="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Non-Extended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Extended</w:t>
            </w:r>
          </w:p>
        </w:tc>
        <w:tc>
          <w:tcPr>
            <w:tcW w:w="1980" w:type="dxa"/>
            <w:vAlign w:val="bottom"/>
            <w:gridSpan w:val="2"/>
          </w:tcPr>
          <w:p>
            <w:pPr>
              <w:jc w:val="right"/>
              <w:ind w:right="710"/>
              <w:spacing w:after="0"/>
              <w:rPr>
                <w:sz w:val="20"/>
                <w:szCs w:val="20"/>
                <w:color w:val="auto"/>
              </w:rPr>
            </w:pPr>
            <w:r>
              <w:rPr>
                <w:rFonts w:ascii="Arial" w:cs="Arial" w:eastAsia="Arial" w:hAnsi="Arial"/>
                <w:sz w:val="14"/>
                <w:szCs w:val="14"/>
                <w:b w:val="1"/>
                <w:bCs w:val="1"/>
                <w:color w:val="auto"/>
              </w:rPr>
              <w:t>Applicable</w:t>
            </w:r>
          </w:p>
        </w:tc>
        <w:tc>
          <w:tcPr>
            <w:tcW w:w="0" w:type="dxa"/>
            <w:vAlign w:val="bottom"/>
          </w:tcPr>
          <w:p>
            <w:pPr>
              <w:spacing w:after="0"/>
              <w:rPr>
                <w:sz w:val="1"/>
                <w:szCs w:val="1"/>
                <w:color w:val="auto"/>
              </w:rPr>
            </w:pPr>
          </w:p>
        </w:tc>
      </w:tr>
      <w:tr>
        <w:trPr>
          <w:trHeight w:val="171"/>
        </w:trPr>
        <w:tc>
          <w:tcPr>
            <w:tcW w:w="51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Commitment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Commitment</w:t>
            </w:r>
          </w:p>
        </w:tc>
        <w:tc>
          <w:tcPr>
            <w:tcW w:w="1980" w:type="dxa"/>
            <w:vAlign w:val="bottom"/>
            <w:gridSpan w:val="2"/>
          </w:tcPr>
          <w:p>
            <w:pPr>
              <w:jc w:val="right"/>
              <w:ind w:right="71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0"/>
        </w:trPr>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45,579,143.95</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7.814584521011%</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Deutsche Bank AG New York Branch</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45,579,143.95</w:t>
            </w:r>
          </w:p>
        </w:tc>
        <w:tc>
          <w:tcPr>
            <w:tcW w:w="1980" w:type="dxa"/>
            <w:vAlign w:val="bottom"/>
            <w:gridSpan w:val="2"/>
          </w:tcPr>
          <w:p>
            <w:pPr>
              <w:jc w:val="right"/>
              <w:ind w:right="50"/>
              <w:spacing w:after="0"/>
              <w:rPr>
                <w:sz w:val="20"/>
                <w:szCs w:val="20"/>
                <w:color w:val="auto"/>
              </w:rPr>
            </w:pPr>
            <w:r>
              <w:rPr>
                <w:rFonts w:ascii="Arial" w:cs="Arial" w:eastAsia="Arial" w:hAnsi="Arial"/>
                <w:sz w:val="18"/>
                <w:szCs w:val="18"/>
                <w:color w:val="auto"/>
              </w:rPr>
              <w:t>7.814584521011%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Wells Fargo Bank, National Association</w:t>
            </w: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45,579,143.95</w:t>
            </w:r>
          </w:p>
        </w:tc>
        <w:tc>
          <w:tcPr>
            <w:tcW w:w="1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7.814584521011%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Morgan Stanley Bank, N.A.</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45,579,143.95</w:t>
            </w:r>
          </w:p>
        </w:tc>
        <w:tc>
          <w:tcPr>
            <w:tcW w:w="1980" w:type="dxa"/>
            <w:vAlign w:val="bottom"/>
            <w:gridSpan w:val="2"/>
          </w:tcPr>
          <w:p>
            <w:pPr>
              <w:jc w:val="right"/>
              <w:ind w:right="50"/>
              <w:spacing w:after="0"/>
              <w:rPr>
                <w:sz w:val="20"/>
                <w:szCs w:val="20"/>
                <w:color w:val="auto"/>
              </w:rPr>
            </w:pPr>
            <w:r>
              <w:rPr>
                <w:rFonts w:ascii="Arial" w:cs="Arial" w:eastAsia="Arial" w:hAnsi="Arial"/>
                <w:sz w:val="18"/>
                <w:szCs w:val="18"/>
                <w:color w:val="auto"/>
              </w:rPr>
              <w:t>7.814584521011%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Citibank, N.A.</w:t>
            </w: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45,579,143.95</w:t>
            </w:r>
          </w:p>
        </w:tc>
        <w:tc>
          <w:tcPr>
            <w:tcW w:w="1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7.814584521011%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Skandinaviska Enskilda Banken AB (publ)</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32,101,756.51</w:t>
            </w:r>
          </w:p>
        </w:tc>
        <w:tc>
          <w:tcPr>
            <w:tcW w:w="1980" w:type="dxa"/>
            <w:vAlign w:val="bottom"/>
            <w:gridSpan w:val="2"/>
          </w:tcPr>
          <w:p>
            <w:pPr>
              <w:jc w:val="right"/>
              <w:ind w:right="50"/>
              <w:spacing w:after="0"/>
              <w:rPr>
                <w:sz w:val="20"/>
                <w:szCs w:val="20"/>
                <w:color w:val="auto"/>
              </w:rPr>
            </w:pPr>
            <w:r>
              <w:rPr>
                <w:rFonts w:ascii="Arial" w:cs="Arial" w:eastAsia="Arial" w:hAnsi="Arial"/>
                <w:sz w:val="18"/>
                <w:szCs w:val="18"/>
                <w:color w:val="auto"/>
              </w:rPr>
              <w:t>5.503874530761%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The Toronto Dominion Bank, New York Branch</w:t>
            </w: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32,101,756.51</w:t>
            </w:r>
          </w:p>
        </w:tc>
        <w:tc>
          <w:tcPr>
            <w:tcW w:w="1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5.503874530761%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Royal Bank of Canada</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28,891,580.86</w:t>
            </w:r>
          </w:p>
        </w:tc>
        <w:tc>
          <w:tcPr>
            <w:tcW w:w="1980" w:type="dxa"/>
            <w:vAlign w:val="bottom"/>
            <w:gridSpan w:val="2"/>
          </w:tcPr>
          <w:p>
            <w:pPr>
              <w:jc w:val="right"/>
              <w:ind w:right="50"/>
              <w:spacing w:after="0"/>
              <w:rPr>
                <w:sz w:val="20"/>
                <w:szCs w:val="20"/>
                <w:color w:val="auto"/>
              </w:rPr>
            </w:pPr>
            <w:r>
              <w:rPr>
                <w:rFonts w:ascii="Arial" w:cs="Arial" w:eastAsia="Arial" w:hAnsi="Arial"/>
                <w:sz w:val="18"/>
                <w:szCs w:val="18"/>
                <w:color w:val="auto"/>
              </w:rPr>
              <w:t>4.953487077857%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Nordea Bank AB (publ), New York Branch</w:t>
            </w: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20,545,124.17</w:t>
            </w:r>
          </w:p>
        </w:tc>
        <w:tc>
          <w:tcPr>
            <w:tcW w:w="1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3.522479700304%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Standard Chartered Bank</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15,641,866.73</w:t>
            </w:r>
          </w:p>
        </w:tc>
        <w:tc>
          <w:tcPr>
            <w:tcW w:w="1980" w:type="dxa"/>
            <w:vAlign w:val="bottom"/>
            <w:gridSpan w:val="2"/>
          </w:tcPr>
          <w:p>
            <w:pPr>
              <w:jc w:val="right"/>
              <w:ind w:right="50"/>
              <w:spacing w:after="0"/>
              <w:rPr>
                <w:sz w:val="20"/>
                <w:szCs w:val="20"/>
                <w:color w:val="auto"/>
              </w:rPr>
            </w:pPr>
            <w:r>
              <w:rPr>
                <w:rFonts w:ascii="Arial" w:cs="Arial" w:eastAsia="Arial" w:hAnsi="Arial"/>
                <w:sz w:val="18"/>
                <w:szCs w:val="18"/>
                <w:color w:val="auto"/>
              </w:rPr>
              <w:t>2.681811877864%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MUFG Bank, Ltd.</w:t>
            </w: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85,998,384.82</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14.744499097735%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Barclays Bank PLC</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43,609,933.38</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980" w:type="dxa"/>
            <w:vAlign w:val="bottom"/>
            <w:gridSpan w:val="2"/>
          </w:tcPr>
          <w:p>
            <w:pPr>
              <w:jc w:val="right"/>
              <w:ind w:right="50"/>
              <w:spacing w:after="0"/>
              <w:rPr>
                <w:sz w:val="20"/>
                <w:szCs w:val="20"/>
                <w:color w:val="auto"/>
              </w:rPr>
            </w:pPr>
            <w:r>
              <w:rPr>
                <w:rFonts w:ascii="Arial" w:cs="Arial" w:eastAsia="Arial" w:hAnsi="Arial"/>
                <w:sz w:val="18"/>
                <w:szCs w:val="18"/>
                <w:color w:val="auto"/>
              </w:rPr>
              <w:t>7.476961628053%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UniCredit Bank AG, New York Branch</w:t>
            </w: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38,764,385.22</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6.646188112682%</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Banco Bilbao Vizcaya Argentaria, S.A. New York Branch</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21,804,966.68</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980" w:type="dxa"/>
            <w:vAlign w:val="bottom"/>
            <w:gridSpan w:val="2"/>
          </w:tcPr>
          <w:p>
            <w:pPr>
              <w:jc w:val="right"/>
              <w:ind w:right="50"/>
              <w:spacing w:after="0"/>
              <w:rPr>
                <w:sz w:val="20"/>
                <w:szCs w:val="20"/>
                <w:color w:val="auto"/>
              </w:rPr>
            </w:pPr>
            <w:r>
              <w:rPr>
                <w:rFonts w:ascii="Arial" w:cs="Arial" w:eastAsia="Arial" w:hAnsi="Arial"/>
                <w:sz w:val="18"/>
                <w:szCs w:val="18"/>
                <w:color w:val="auto"/>
              </w:rPr>
              <w:t>3.738480812312%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Goldman Sachs Lending Partners LLC</w:t>
            </w: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19,548,218.94</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3.351559417382%</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Bank of America, N.A.</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16,353,725.01</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980" w:type="dxa"/>
            <w:vAlign w:val="bottom"/>
            <w:gridSpan w:val="2"/>
          </w:tcPr>
          <w:p>
            <w:pPr>
              <w:jc w:val="right"/>
              <w:ind w:right="50"/>
              <w:spacing w:after="0"/>
              <w:rPr>
                <w:sz w:val="20"/>
                <w:szCs w:val="20"/>
                <w:color w:val="auto"/>
              </w:rPr>
            </w:pPr>
            <w:r>
              <w:rPr>
                <w:rFonts w:ascii="Arial" w:cs="Arial" w:eastAsia="Arial" w:hAnsi="Arial"/>
                <w:sz w:val="18"/>
                <w:szCs w:val="18"/>
                <w:color w:val="auto"/>
              </w:rPr>
              <w:t>2.803860609234%</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226,079,614.05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357,177,804.53</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100.000000000000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(19) This Schedule 2.01 lists the Commitments as of the Amendment No. 3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3.01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EXISTING LETTERS OF CREDIT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FILE WITH THE ADMINISTRATIVE AGENT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 TERM LOAN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August 16, 2018</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THIS AMENDMENT NO. 3 TO TERM LOAN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August 16, 2018, by and among WEATHERFORD INTERNATIONAL LTD., a Bermuda exempted company (“</w:t>
      </w:r>
      <w:r>
        <w:rPr>
          <w:rFonts w:ascii="Arial" w:cs="Arial" w:eastAsia="Arial" w:hAnsi="Arial"/>
          <w:sz w:val="18"/>
          <w:szCs w:val="18"/>
          <w:u w:val="single" w:color="auto"/>
          <w:color w:val="auto"/>
        </w:rPr>
        <w:t>WIL-Bermuda</w:t>
      </w:r>
      <w:r>
        <w:rPr>
          <w:rFonts w:ascii="Arial" w:cs="Arial" w:eastAsia="Arial" w:hAnsi="Arial"/>
          <w:sz w:val="18"/>
          <w:szCs w:val="18"/>
          <w:color w:val="auto"/>
        </w:rPr>
        <w:t>”), WEATHERFORD INTERNATIONAL PLC, an Irish public limited company (“</w:t>
      </w:r>
      <w:r>
        <w:rPr>
          <w:rFonts w:ascii="Arial" w:cs="Arial" w:eastAsia="Arial" w:hAnsi="Arial"/>
          <w:sz w:val="18"/>
          <w:szCs w:val="18"/>
          <w:u w:val="single" w:color="auto"/>
          <w:color w:val="auto"/>
        </w:rPr>
        <w:t>WIL-Ireland</w:t>
      </w:r>
      <w:r>
        <w:rPr>
          <w:rFonts w:ascii="Arial" w:cs="Arial" w:eastAsia="Arial" w:hAnsi="Arial"/>
          <w:sz w:val="18"/>
          <w:szCs w:val="18"/>
          <w:color w:val="auto"/>
        </w:rPr>
        <w:t>” and, together with WIL-Bermuda, the “</w:t>
      </w:r>
      <w:r>
        <w:rPr>
          <w:rFonts w:ascii="Arial" w:cs="Arial" w:eastAsia="Arial" w:hAnsi="Arial"/>
          <w:sz w:val="18"/>
          <w:szCs w:val="18"/>
          <w:u w:val="single" w:color="auto"/>
          <w:color w:val="auto"/>
        </w:rPr>
        <w:t>Obligor Parties</w:t>
      </w:r>
      <w:r>
        <w:rPr>
          <w:rFonts w:ascii="Arial" w:cs="Arial" w:eastAsia="Arial" w:hAnsi="Arial"/>
          <w:sz w:val="18"/>
          <w:szCs w:val="18"/>
          <w:color w:val="auto"/>
        </w:rPr>
        <w:t>”), the Lenders listed on the signature pages attached hereto and JPMORGAN CHASE BANK, N.A., as administrative agent for the Lenders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WHEREAS, reference is made to that certain Term Loan Agreement dated as of May 4, 2016 by and among the Obligor Parties, the lenders named therein and the Administrative Agent (as amended by that certain Amendment No. 1 to Term Loan Agreement dated as of July 19, 2016, by that certain Amendment No. 2 to Term Loan Agreement dated as of April 17, 2017, and as further amended, supplemented or otherwise modified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and the Credit Agreement, as amended by this Amendment and as may be further amended, supplemented or otherwise modified from time to time, the “</w:t>
      </w:r>
      <w:r>
        <w:rPr>
          <w:rFonts w:ascii="Arial" w:cs="Arial" w:eastAsia="Arial" w:hAnsi="Arial"/>
          <w:sz w:val="18"/>
          <w:szCs w:val="18"/>
          <w:u w:val="single" w:color="auto"/>
          <w:color w:val="auto"/>
        </w:rPr>
        <w:t>Amended Credit Agreement</w:t>
      </w:r>
      <w:r>
        <w:rPr>
          <w:rFonts w:ascii="Arial" w:cs="Arial" w:eastAsia="Arial" w:hAnsi="Arial"/>
          <w:sz w:val="18"/>
          <w:szCs w:val="18"/>
          <w:color w:val="auto"/>
        </w:rPr>
        <w:t>”).</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WHEREAS, WIL-Bermuda desires to enter into a 364-day second lien revolving credit facility, to be guaranteed by the Obligors and secured by a lien on current assets of certain Secured Obligors under the Credit Agreement (the “</w:t>
      </w:r>
      <w:r>
        <w:rPr>
          <w:rFonts w:ascii="Arial" w:cs="Arial" w:eastAsia="Arial" w:hAnsi="Arial"/>
          <w:sz w:val="18"/>
          <w:szCs w:val="18"/>
          <w:u w:val="single" w:color="auto"/>
          <w:color w:val="auto"/>
        </w:rPr>
        <w:t>364-Day Revolving Credit Facility</w:t>
      </w:r>
      <w:r>
        <w:rPr>
          <w:rFonts w:ascii="Arial" w:cs="Arial" w:eastAsia="Arial" w:hAnsi="Arial"/>
          <w:sz w:val="18"/>
          <w:szCs w:val="18"/>
          <w:color w:val="auto"/>
        </w:rPr>
        <w:t>”);</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WHEREAS, the liens granted under the 364-Day Revolving Credit Facility are intended to be junior in priority to the Liens securing the Secured Obligations; and</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WHEREAS, (a) the Obligor Parties have requested that the Required Lenders (i) amend the Credit Agreement (x) to permit the Obligors to incur Indebtedness under the 364-Day Revolving Credit Facility and to grant junior Liens on certain Collateral to secure such Indebtedness and other secured obligations under the 364-Day Credit Facility and (y) to make certain other modifications to the Credit Agreement and (ii) confirm the Administrative Agent’s authority to execute, deliver and perform its obligations under an intercreditor agreement establishing the relative rights and lien priorities of the Secured Parties and the secured parties under the 364-Day Revolving Credit Facility with respect to any shared collateral and (b) the Required Lenders have agreed to the foregoing;</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hereto agree to enter into this Amendment and agree as follows:</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used but not otherwise defined herein shall have the meanings assigned to them in the Amended Credit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 Upon the Amendment Effective Date (as defined below), the Credit Agreement is hereby amended as follows:</w:t>
      </w:r>
    </w:p>
    <w:p>
      <w:pPr>
        <w:spacing w:after="0" w:line="170" w:lineRule="exact"/>
        <w:rPr>
          <w:sz w:val="20"/>
          <w:szCs w:val="20"/>
          <w:color w:val="auto"/>
        </w:rPr>
      </w:pPr>
    </w:p>
    <w:p>
      <w:pPr>
        <w:ind w:left="1960" w:right="680" w:hanging="1304"/>
        <w:spacing w:after="0" w:line="530" w:lineRule="auto"/>
        <w:tabs>
          <w:tab w:leader="none" w:pos="1358" w:val="left"/>
        </w:tabs>
        <w:numPr>
          <w:ilvl w:val="0"/>
          <w:numId w:val="258"/>
        </w:numPr>
        <w:rPr>
          <w:rFonts w:ascii="Arial" w:cs="Arial" w:eastAsia="Arial" w:hAnsi="Arial"/>
          <w:sz w:val="17"/>
          <w:szCs w:val="17"/>
          <w:color w:val="auto"/>
        </w:rPr>
      </w:pPr>
      <w:r>
        <w:rPr>
          <w:rFonts w:ascii="Arial" w:cs="Arial" w:eastAsia="Arial" w:hAnsi="Arial"/>
          <w:sz w:val="17"/>
          <w:szCs w:val="17"/>
          <w:color w:val="auto"/>
        </w:rPr>
        <w:t>Section 1.01 of the Credit Agreement is hereby amended by adding the following definitions in the appropriate alphabetical order: “</w:t>
      </w:r>
      <w:r>
        <w:rPr>
          <w:rFonts w:ascii="Arial" w:cs="Arial" w:eastAsia="Arial" w:hAnsi="Arial"/>
          <w:sz w:val="17"/>
          <w:szCs w:val="17"/>
          <w:u w:val="single" w:color="auto"/>
          <w:color w:val="auto"/>
        </w:rPr>
        <w:t>2020 Senior Notes</w:t>
      </w:r>
      <w:r>
        <w:rPr>
          <w:rFonts w:ascii="Arial" w:cs="Arial" w:eastAsia="Arial" w:hAnsi="Arial"/>
          <w:sz w:val="17"/>
          <w:szCs w:val="17"/>
          <w:color w:val="auto"/>
        </w:rPr>
        <w:t>” means the 5.125% Senior Notes due September 15, 2020 issued by WIL-Bermuda.</w:t>
      </w:r>
    </w:p>
    <w:p>
      <w:pPr>
        <w:spacing w:after="0" w:line="1" w:lineRule="exact"/>
        <w:rPr>
          <w:sz w:val="20"/>
          <w:szCs w:val="20"/>
          <w:color w:val="auto"/>
        </w:rPr>
      </w:pPr>
    </w:p>
    <w:p>
      <w:pPr>
        <w:ind w:left="1300"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364-Day Revolving Credit Administrative Agent</w:t>
      </w:r>
      <w:r>
        <w:rPr>
          <w:rFonts w:ascii="Arial" w:cs="Arial" w:eastAsia="Arial" w:hAnsi="Arial"/>
          <w:sz w:val="18"/>
          <w:szCs w:val="18"/>
          <w:color w:val="auto"/>
        </w:rPr>
        <w:t>” means JPMorgan, in its capacity as administrative agent under the 364-Day Revolving Credit Agreement or any successor or substitute administrative agent thereunder.</w:t>
      </w:r>
    </w:p>
    <w:p>
      <w:pPr>
        <w:spacing w:after="0" w:line="170" w:lineRule="exact"/>
        <w:rPr>
          <w:sz w:val="20"/>
          <w:szCs w:val="20"/>
          <w:color w:val="auto"/>
        </w:rPr>
      </w:pPr>
    </w:p>
    <w:p>
      <w:pPr>
        <w:ind w:left="1300"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364-Day Revolving Credit Agreement</w:t>
      </w:r>
      <w:r>
        <w:rPr>
          <w:rFonts w:ascii="Arial" w:cs="Arial" w:eastAsia="Arial" w:hAnsi="Arial"/>
          <w:sz w:val="18"/>
          <w:szCs w:val="18"/>
          <w:color w:val="auto"/>
        </w:rPr>
        <w:t>” means that certain 364-Day Revolving Credit Agreement, dated as of August 16, 2018, by and among WIL-Bermuda, the other borrowers from time to time party thereto, the lenders from time to time party thereto, the 364-Day Revolving Credit Administrative Agent and the 364-Day Revolving Credit Collateral Agent.</w:t>
      </w:r>
    </w:p>
    <w:p>
      <w:pPr>
        <w:spacing w:after="0" w:line="181" w:lineRule="exact"/>
        <w:rPr>
          <w:sz w:val="20"/>
          <w:szCs w:val="20"/>
          <w:color w:val="auto"/>
        </w:rPr>
      </w:pPr>
    </w:p>
    <w:p>
      <w:pPr>
        <w:ind w:left="1300"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364-Day Revolving Credit Collateral Agent</w:t>
      </w:r>
      <w:r>
        <w:rPr>
          <w:rFonts w:ascii="Arial" w:cs="Arial" w:eastAsia="Arial" w:hAnsi="Arial"/>
          <w:sz w:val="18"/>
          <w:szCs w:val="18"/>
          <w:color w:val="auto"/>
        </w:rPr>
        <w:t>” means Morgan Stanley Senior Funding, Inc. in its capacity as collateral agent under the 364-Day Revolving Credit Agreement or any successor or substitute collateral agent thereunder.</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364-Day Revolving Credit Documents</w:t>
      </w:r>
      <w:r>
        <w:rPr>
          <w:rFonts w:ascii="Arial" w:cs="Arial" w:eastAsia="Arial" w:hAnsi="Arial"/>
          <w:sz w:val="17"/>
          <w:szCs w:val="17"/>
          <w:color w:val="auto"/>
        </w:rPr>
        <w:t>” means the Loan Documents (as defined in the 364-Day Revolving Credit Agreement).</w:t>
      </w:r>
    </w:p>
    <w:p>
      <w:pPr>
        <w:spacing w:after="0" w:line="237" w:lineRule="exact"/>
        <w:rPr>
          <w:sz w:val="20"/>
          <w:szCs w:val="20"/>
          <w:color w:val="auto"/>
        </w:rPr>
      </w:pPr>
    </w:p>
    <w:p>
      <w:pPr>
        <w:ind w:left="1300"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364-Day Revolving Credit Facility</w:t>
      </w:r>
      <w:r>
        <w:rPr>
          <w:rFonts w:ascii="Arial" w:cs="Arial" w:eastAsia="Arial" w:hAnsi="Arial"/>
          <w:sz w:val="18"/>
          <w:szCs w:val="18"/>
          <w:color w:val="auto"/>
        </w:rPr>
        <w:t>” means the senior secured second-lien 364-day revolving credit facility provided pursuant to the 364-Day Revolving Credit Agreement and the other 364-Day Revolving Credit Documents.</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364-Day Revolving Credit Maturity Date</w:t>
      </w:r>
      <w:r>
        <w:rPr>
          <w:rFonts w:ascii="Arial" w:cs="Arial" w:eastAsia="Arial" w:hAnsi="Arial"/>
          <w:sz w:val="17"/>
          <w:szCs w:val="17"/>
          <w:color w:val="auto"/>
        </w:rPr>
        <w:t>” means the Maturity Date (as defined in the 364-Day Revolving Credit Agreement).</w:t>
      </w:r>
    </w:p>
    <w:p>
      <w:pPr>
        <w:spacing w:after="0" w:line="237"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364-Day Revolving Credit Obligations</w:t>
      </w:r>
      <w:r>
        <w:rPr>
          <w:rFonts w:ascii="Arial" w:cs="Arial" w:eastAsia="Arial" w:hAnsi="Arial"/>
          <w:sz w:val="16"/>
          <w:szCs w:val="16"/>
          <w:color w:val="auto"/>
        </w:rPr>
        <w:t>” means the Secured Obligations (as defined in the 364-Day Revolving Credit Agreement).</w:t>
      </w:r>
    </w:p>
    <w:p>
      <w:pPr>
        <w:spacing w:after="0" w:line="248"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364-Day Revolving Credit Secured Parties</w:t>
      </w:r>
      <w:r>
        <w:rPr>
          <w:rFonts w:ascii="Arial" w:cs="Arial" w:eastAsia="Arial" w:hAnsi="Arial"/>
          <w:sz w:val="16"/>
          <w:szCs w:val="16"/>
          <w:color w:val="auto"/>
        </w:rPr>
        <w:t>” means the Secured Parties (as defined in the 364-Day Revolving Credit Agreement).</w:t>
      </w:r>
    </w:p>
    <w:p>
      <w:pPr>
        <w:spacing w:after="0" w:line="24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3 Effective Date</w:t>
      </w:r>
      <w:r>
        <w:rPr>
          <w:rFonts w:ascii="Arial" w:cs="Arial" w:eastAsia="Arial" w:hAnsi="Arial"/>
          <w:sz w:val="18"/>
          <w:szCs w:val="18"/>
          <w:color w:val="auto"/>
        </w:rPr>
        <w:t>” means August 16, 2018.</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ectPr>
          <w:pgSz w:w="11900" w:h="16838" w:orient="portrait"/>
          <w:cols w:equalWidth="0" w:num="1">
            <w:col w:w="11420"/>
          </w:cols>
          <w:pgMar w:left="240" w:top="121" w:right="239" w:bottom="0" w:gutter="0" w:footer="0" w:header="0"/>
        </w:sectPr>
      </w:pPr>
    </w:p>
    <w:bookmarkStart w:id="93" w:name="page94"/>
    <w:bookmarkEnd w:id="93"/>
    <w:p>
      <w:pPr>
        <w:ind w:left="1300" w:right="3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otherwise for purposes of Title I of ERISA or Section 4975 of the Code) the assets of any such “employee benefit plan” or “plan”.</w:t>
      </w:r>
    </w:p>
    <w:p>
      <w:pPr>
        <w:spacing w:after="0" w:line="237" w:lineRule="exact"/>
        <w:rPr>
          <w:sz w:val="20"/>
          <w:szCs w:val="20"/>
          <w:color w:val="auto"/>
        </w:rPr>
      </w:pPr>
    </w:p>
    <w:p>
      <w:pPr>
        <w:ind w:left="130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 means, collectively, (a) that certain Intercreditor Agreement dated as of the Amendment No. 3 Effective Date by and among the Administrative Agent, the 364-Day Collateral Agent, WIL-Ireland, the Borrower and the other Obligors from time to time party thereto (which shall include each “Secured Obligor” as defined in the 364-Day Revolving Credit Agreement) and (b) any additional instrument, document, agreement (including any supplemental intercreditor agreement), filing or certification, each in form and substance reasonably satisfactory to the Administrative Agent and that the Administrative Agent reasonably requires to be executed, delivered or obtained (whether by an Obligor, the 364-Day Revolving Credit Secured Parties or any other Person) under the laws of any Specified Jurisdiction in order for the Liens securing the 364-Day Revolving Credit Obligations to be subordinated to the Liens securing the Secured Obligations to the reasonable satisfaction of the Administrative Agent.</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Asset Regulations</w:t>
      </w:r>
      <w:r>
        <w:rPr>
          <w:rFonts w:ascii="Arial" w:cs="Arial" w:eastAsia="Arial" w:hAnsi="Arial"/>
          <w:sz w:val="16"/>
          <w:szCs w:val="16"/>
          <w:color w:val="auto"/>
        </w:rPr>
        <w:t xml:space="preserve">” means 29 CFR § 2510.3-101 </w:t>
      </w:r>
      <w:r>
        <w:rPr>
          <w:rFonts w:ascii="Arial" w:cs="Arial" w:eastAsia="Arial" w:hAnsi="Arial"/>
          <w:sz w:val="16"/>
          <w:szCs w:val="16"/>
          <w:i w:val="1"/>
          <w:iCs w:val="1"/>
          <w:color w:val="auto"/>
        </w:rPr>
        <w:t>et seq.</w:t>
      </w:r>
      <w:r>
        <w:rPr>
          <w:rFonts w:ascii="Arial" w:cs="Arial" w:eastAsia="Arial" w:hAnsi="Arial"/>
          <w:sz w:val="16"/>
          <w:szCs w:val="16"/>
          <w:color w:val="auto"/>
        </w:rPr>
        <w:t>, as modified by Section 3(42) of ERISA, as amended from time to</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1300"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Extended Maturity Date</w:t>
      </w:r>
      <w:r>
        <w:rPr>
          <w:rFonts w:ascii="Arial" w:cs="Arial" w:eastAsia="Arial" w:hAnsi="Arial"/>
          <w:sz w:val="16"/>
          <w:szCs w:val="16"/>
          <w:color w:val="auto"/>
        </w:rPr>
        <w:t>” means the Extended Maturity Date (as defined in the Revolving Credit Agreement).</w:t>
      </w:r>
    </w:p>
    <w:p>
      <w:pPr>
        <w:spacing w:after="0" w:line="248" w:lineRule="exact"/>
        <w:rPr>
          <w:sz w:val="20"/>
          <w:szCs w:val="20"/>
          <w:color w:val="auto"/>
        </w:rPr>
      </w:pPr>
    </w:p>
    <w:p>
      <w:pPr>
        <w:ind w:left="1360" w:hanging="704"/>
        <w:spacing w:after="0"/>
        <w:tabs>
          <w:tab w:leader="none" w:pos="13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Section 1.01 of the Credit Agreement is hereby amended as follows:</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definition of “2019 Senior Notes” is hereby deleted in its entirety.</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definition of “Acceptable Deposit Account” is hereby amended and restated in its entirety to read as follows:</w:t>
      </w:r>
    </w:p>
    <w:p>
      <w:pPr>
        <w:spacing w:after="0" w:line="225" w:lineRule="exact"/>
        <w:rPr>
          <w:sz w:val="20"/>
          <w:szCs w:val="20"/>
          <w:color w:val="auto"/>
        </w:rPr>
      </w:pPr>
    </w:p>
    <w:p>
      <w:pPr>
        <w:ind w:left="1300" w:right="24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Acceptable Deposit Account</w:t>
      </w:r>
      <w:r>
        <w:rPr>
          <w:rFonts w:ascii="Arial" w:cs="Arial" w:eastAsia="Arial" w:hAnsi="Arial"/>
          <w:sz w:val="16"/>
          <w:szCs w:val="16"/>
          <w:color w:val="auto"/>
        </w:rPr>
        <w:t>” means any deposit account that is (a) subject to a deposit account control agreement in form and substance reasonably acceptable to the Administrative Agent, which establishes “control” (within the meaning of Section 9-104 of the Uniform Commercial Code of the State of New York) with respect to such deposit account by the Administrative Agent on behalf of the Secured Parties and the 364-Day Revolving Credit Collateral Agent on behalf of the 364-Day Revolving Credit Secured Parties and</w:t>
      </w:r>
    </w:p>
    <w:p>
      <w:pPr>
        <w:spacing w:after="0" w:line="2" w:lineRule="exact"/>
        <w:rPr>
          <w:sz w:val="20"/>
          <w:szCs w:val="20"/>
          <w:color w:val="auto"/>
        </w:rPr>
      </w:pPr>
    </w:p>
    <w:p>
      <w:pPr>
        <w:ind w:left="1300" w:right="380" w:firstLine="5"/>
        <w:spacing w:after="0" w:line="261" w:lineRule="auto"/>
        <w:tabs>
          <w:tab w:leader="none" w:pos="155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subject to other documentation reasonably satisfactory to the Administrative Agent that does not permit any withdrawals from such deposit account except to Redeem any of the 2020 Senior Notes.</w:t>
      </w:r>
    </w:p>
    <w:p>
      <w:pPr>
        <w:spacing w:after="0" w:line="184" w:lineRule="exact"/>
        <w:rPr>
          <w:sz w:val="20"/>
          <w:szCs w:val="20"/>
          <w:color w:val="auto"/>
        </w:rPr>
      </w:pPr>
    </w:p>
    <w:p>
      <w:pPr>
        <w:ind w:right="160" w:firstLine="1305"/>
        <w:spacing w:after="0" w:line="277" w:lineRule="auto"/>
        <w:tabs>
          <w:tab w:leader="none" w:pos="201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definition of “Consolidated Adjusted EBITDA” is hereby amended by inserting the words “, the 364-Day Revolving Credit Agreement” immediately after the words “the Revolving Credit Agreement” in clause (a)(viii)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20" w:hanging="715"/>
        <w:spacing w:after="0"/>
        <w:tabs>
          <w:tab w:leader="none" w:pos="202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definition of “Disqualified Capital Stock” is hereby amended and restated in its entirety to read as follows:</w:t>
      </w:r>
    </w:p>
    <w:p>
      <w:pPr>
        <w:spacing w:after="0" w:line="225" w:lineRule="exact"/>
        <w:rPr>
          <w:sz w:val="20"/>
          <w:szCs w:val="20"/>
          <w:color w:val="auto"/>
        </w:rPr>
      </w:pPr>
    </w:p>
    <w:p>
      <w:pPr>
        <w:jc w:val="both"/>
        <w:ind w:left="1300" w:right="6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Capital Stock</w:t>
      </w:r>
      <w:r>
        <w:rPr>
          <w:rFonts w:ascii="Arial" w:cs="Arial" w:eastAsia="Arial" w:hAnsi="Arial"/>
          <w:sz w:val="16"/>
          <w:szCs w:val="16"/>
          <w:color w:val="auto"/>
        </w:rPr>
        <w:t>” means any Capital Stock that by its terms (or by the terms of any security into which it is convertible or for which it is exchangeable), or upon the happening of any event, (a) matures or is mandatorily redeemable for any consideration other than other Capital Stock (which would not constitute Disqualified Capital Stock), pursuant to a sinking fund obligation or otherwise, or</w:t>
      </w:r>
    </w:p>
    <w:p>
      <w:pPr>
        <w:ind w:left="1300" w:firstLine="5"/>
        <w:spacing w:after="0" w:line="268" w:lineRule="auto"/>
        <w:tabs>
          <w:tab w:leader="none" w:pos="1555"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is convertible or exchangeable for Indebtedness or redeemable for any consideration other than other Capital Stock (which would not constitute Disqualified Capital Stock) at the option of the holder thereof, in whole or in part, in each case (determined as of the date of issuance), on or prior to the date that is 91 days after the latest to occur of (i) the Revolving Credit Extended Maturity Date, (ii) the 364-Day Revolving Credit Maturity Date and (iii) the Maturity Date; provided that any Capital Stock that would not constitute Disqualified Capital Stock but for provisions thereof giving holders thereof (or the holders of any security into which such Capital Stock is convertible or for which such Capital Stock is exchangeable) the right to require the issuer thereof to redeem such Capital Stock upon the occurrence of any Change of Control or any Disposition occurring prior to the date that is 91 days after the latest to occur of (i) the Revolving Credit Extended Maturity Date, (ii) the 364-Day Revolving Credit Maturity Date and (iii) the Maturity Date at the time such Capital Stock is issued shall not constitute Disqualified Capital Stock if such Capital Stock provides that the issuer thereof will not redeem any such Capital Stock pursuant to such provisions prior to Payment in Full.</w:t>
      </w:r>
    </w:p>
    <w:p>
      <w:pPr>
        <w:spacing w:after="0" w:line="180" w:lineRule="exact"/>
        <w:rPr>
          <w:sz w:val="20"/>
          <w:szCs w:val="20"/>
          <w:color w:val="auto"/>
        </w:rPr>
      </w:pPr>
    </w:p>
    <w:p>
      <w:pPr>
        <w:ind w:left="2000" w:hanging="695"/>
        <w:spacing w:after="0"/>
        <w:tabs>
          <w:tab w:leader="none" w:pos="20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definition of “Excluded Accounts” is hereby amended and restated in its entirety to read as follows:</w:t>
      </w:r>
    </w:p>
    <w:p>
      <w:pPr>
        <w:spacing w:after="0" w:line="225" w:lineRule="exact"/>
        <w:rPr>
          <w:sz w:val="20"/>
          <w:szCs w:val="20"/>
          <w:color w:val="auto"/>
        </w:rPr>
      </w:pPr>
    </w:p>
    <w:p>
      <w:pPr>
        <w:ind w:left="1300" w:right="28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Account</w:t>
      </w:r>
      <w:r>
        <w:rPr>
          <w:rFonts w:ascii="Arial" w:cs="Arial" w:eastAsia="Arial" w:hAnsi="Arial"/>
          <w:sz w:val="16"/>
          <w:szCs w:val="16"/>
          <w:color w:val="auto"/>
        </w:rPr>
        <w:t xml:space="preserve">” means (a) any deposit account of an Obligor, including the funds on deposit therein, that is used solely for payroll funding and other employee wage and benefit payments (including flexible spending accounts), tax payments, escrow or trust purposes, or any other fiduciary purpose and (b) any deposit account of an Obligor, including the funds on deposit therein, that has been pledged to secure Indebtedness or other obligations to the extent permitted by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and is exclusively used for such purpose.</w:t>
      </w:r>
    </w:p>
    <w:p>
      <w:pPr>
        <w:spacing w:after="0" w:line="15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6"/>
          <w:szCs w:val="16"/>
          <w:color w:val="auto"/>
        </w:rPr>
        <w:t>(vi)</w:t>
      </w:r>
      <w:r>
        <w:rPr>
          <w:sz w:val="20"/>
          <w:szCs w:val="20"/>
          <w:color w:val="auto"/>
        </w:rPr>
        <w:tab/>
      </w:r>
      <w:r>
        <w:rPr>
          <w:rFonts w:ascii="Arial" w:cs="Arial" w:eastAsia="Arial" w:hAnsi="Arial"/>
          <w:sz w:val="16"/>
          <w:szCs w:val="16"/>
          <w:color w:val="auto"/>
        </w:rPr>
        <w:t>The definition of “Excluded Assets” is hereby amended by inserting the following proviso immediately before the period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end thereof:</w:t>
      </w:r>
    </w:p>
    <w:p>
      <w:pPr>
        <w:spacing w:after="0" w:line="211" w:lineRule="exact"/>
        <w:rPr>
          <w:sz w:val="20"/>
          <w:szCs w:val="20"/>
          <w:color w:val="auto"/>
        </w:rPr>
      </w:pPr>
    </w:p>
    <w:p>
      <w:pPr>
        <w:ind w:left="1300" w:right="160" w:firstLine="5"/>
        <w:spacing w:after="0" w:line="342" w:lineRule="auto"/>
        <w:tabs>
          <w:tab w:leader="none" w:pos="1395"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exclusions shall not apply to any asset or property of the Borrower and its Subsidiaries on which a Lien has been granted in favor of the 364-Day Revolving Credit Collateral Agent to secure the 364-Day Revolving Credit Obligations</w:t>
      </w:r>
    </w:p>
    <w:p>
      <w:pPr>
        <w:sectPr>
          <w:pgSz w:w="11900" w:h="16838" w:orient="portrait"/>
          <w:cols w:equalWidth="0" w:num="1">
            <w:col w:w="11400"/>
          </w:cols>
          <w:pgMar w:left="240" w:top="125" w:right="259" w:bottom="0" w:gutter="0" w:footer="0" w:header="0"/>
        </w:sectPr>
      </w:pPr>
    </w:p>
    <w:bookmarkStart w:id="94" w:name="page95"/>
    <w:bookmarkEnd w:id="94"/>
    <w:p>
      <w:pPr>
        <w:jc w:val="center"/>
        <w:ind w:left="5660" w:right="1720" w:hanging="4355"/>
        <w:spacing w:after="0" w:line="528" w:lineRule="auto"/>
        <w:tabs>
          <w:tab w:leader="none" w:pos="201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definition of “Existing Senior Notes” is hereby amended and restated in its entirety to read as follows: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30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Senior Notes</w:t>
      </w:r>
      <w:r>
        <w:rPr>
          <w:rFonts w:ascii="Arial" w:cs="Arial" w:eastAsia="Arial" w:hAnsi="Arial"/>
          <w:sz w:val="18"/>
          <w:szCs w:val="18"/>
          <w:color w:val="auto"/>
        </w:rPr>
        <w:t>” means, collectively, (a) the 6.800% Senior Notes due June 15, 2037 issued by WIL-Delaware, (b) the 6.500% Senior Notes due August 1, 2036 issued by WIL-Bermuda, (c) the 7.000% Senior Notes due March 15, 2038 issued by WIL-Bermuda, (d) the 9.875% Senior Notes due March 1, 2039 issued by WIL-Bermuda, (e) the 2020 Senior Notes, (f) the 6.750% Senior Notes due September 15, 2040 issued by WIL-Bermuda, (g) the 4.500% Senior Notes due April 15, 2022 issued by WIL-Bermuda, (h) the 5.950% Senior Notes due April 15, 2042 issued by WIL-Bermuda, (i) the 5.875% Exchangeable Senior Notes due July 1, 2021 issued by WIL-Bermuda, (j) the 7.75% Senior Notes due June 15, 2021 issued by WIL-Bermuda, (k) the 8.25% Senior Notes due June 15, 2023 issued by WIL-Bermuda, (l) the 9.875% Senior Notes due February 15, 2024 issued by WIL-Bermuda and (m) the 9.875% Senior Notes due March 1, 2025 issued by WIL-Delaware.</w:t>
      </w:r>
    </w:p>
    <w:p>
      <w:pPr>
        <w:spacing w:after="0" w:line="192" w:lineRule="exact"/>
        <w:rPr>
          <w:sz w:val="20"/>
          <w:szCs w:val="20"/>
          <w:color w:val="auto"/>
        </w:rPr>
      </w:pPr>
    </w:p>
    <w:p>
      <w:pPr>
        <w:ind w:right="40" w:firstLine="1305"/>
        <w:spacing w:after="0" w:line="277" w:lineRule="auto"/>
        <w:tabs>
          <w:tab w:leader="none" w:pos="201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definition of “Existing Senior Notes Indentures” is hereby amended by deleting the phrase “prior to the Effective Date” at the end of the first sentence thereof.</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definition of “Guarantors” is hereby amended by substituting the words “Amendment No. 3 Effective Date” for the words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“Effective Date” therein.</w:t>
      </w:r>
    </w:p>
    <w:p>
      <w:pPr>
        <w:spacing w:after="0" w:line="210" w:lineRule="exact"/>
        <w:rPr>
          <w:rFonts w:ascii="Arial" w:cs="Arial" w:eastAsia="Arial" w:hAnsi="Arial"/>
          <w:sz w:val="17"/>
          <w:szCs w:val="17"/>
          <w:color w:val="auto"/>
        </w:rPr>
      </w:pPr>
    </w:p>
    <w:p>
      <w:pPr>
        <w:ind w:right="100" w:firstLine="1305"/>
        <w:spacing w:after="0" w:line="308" w:lineRule="auto"/>
        <w:tabs>
          <w:tab w:leader="none" w:pos="2001"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definition of “Holdco Guarantor” is hereby amended by deleting the words “Weatherford Investment (Luxembourg) S.à.r.l, a Luxembourg limited liability company” and inserting in its place the words “Weatherford Investment Inc., a Delaware corporation”.</w:t>
      </w:r>
    </w:p>
    <w:p>
      <w:pPr>
        <w:spacing w:after="0" w:line="146" w:lineRule="exact"/>
        <w:rPr>
          <w:rFonts w:ascii="Arial" w:cs="Arial" w:eastAsia="Arial" w:hAnsi="Arial"/>
          <w:sz w:val="17"/>
          <w:szCs w:val="17"/>
          <w:color w:val="auto"/>
        </w:rPr>
      </w:pPr>
    </w:p>
    <w:p>
      <w:pPr>
        <w:ind w:right="80" w:firstLine="1305"/>
        <w:spacing w:after="0" w:line="277" w:lineRule="auto"/>
        <w:tabs>
          <w:tab w:leader="none" w:pos="200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definition of “Loan Documents” is hereby amended by inserting the words “, the Intercreditor Agreement” immediately after the words “the Collateral Documents” therein.</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definition of “Material Indebtedness” is hereby amended and restated in its entirety to read as follows:</w:t>
      </w:r>
    </w:p>
    <w:p>
      <w:pPr>
        <w:spacing w:after="0" w:line="225" w:lineRule="exact"/>
        <w:rPr>
          <w:sz w:val="20"/>
          <w:szCs w:val="20"/>
          <w:color w:val="auto"/>
        </w:rPr>
      </w:pPr>
    </w:p>
    <w:p>
      <w:pPr>
        <w:ind w:left="1300" w:right="1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means (a) the Revolving Credit Facility, (b) the 364-Day Revolving Credit Facility, (c) Indebtedness (other than the Loans) of any one or more of WIL-Ireland and its Restricted Subsidiaries in an aggregate principal amount exceeding $100,000,000 and (d) obligations in respect of one or more Swap Agreements of any one or more of WIL-Ireland and its Restricted Subsidiaries in an aggregate principal amount exceeding $100,000,000. For purposes of determining Material Indebtedness, the “principal amount” of the obligations of WIL-Ireland or any Restricted Subsidiary in respect of any Swap Agreement at any time shall be the maximum aggregate amount (giving effect to any netting agreements) that WIL-Ireland or such Restricted Subsidiary would be required to pay if such Swap Agreement were terminated at such time.</w:t>
      </w:r>
    </w:p>
    <w:p>
      <w:pPr>
        <w:spacing w:after="0" w:line="178" w:lineRule="exact"/>
        <w:rPr>
          <w:sz w:val="20"/>
          <w:szCs w:val="20"/>
          <w:color w:val="auto"/>
        </w:rPr>
      </w:pPr>
    </w:p>
    <w:p>
      <w:pPr>
        <w:ind w:right="80" w:firstLine="1305"/>
        <w:spacing w:after="0" w:line="277" w:lineRule="auto"/>
        <w:tabs>
          <w:tab w:leader="none" w:pos="201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definition of “Permitted Factoring Transactions” is hereby amended by amending and restating the proviso appearing therein in its entirety to read as follows:</w:t>
      </w:r>
    </w:p>
    <w:p>
      <w:pPr>
        <w:spacing w:after="0" w:line="170" w:lineRule="exact"/>
        <w:rPr>
          <w:sz w:val="20"/>
          <w:szCs w:val="20"/>
          <w:color w:val="auto"/>
        </w:rPr>
      </w:pPr>
    </w:p>
    <w:p>
      <w:pPr>
        <w:ind w:left="1300" w:right="420"/>
        <w:spacing w:after="0" w:line="277" w:lineRule="auto"/>
        <w:rPr>
          <w:sz w:val="20"/>
          <w:szCs w:val="20"/>
          <w:color w:val="auto"/>
        </w:rPr>
      </w:pP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 the aggregate face amount of all receivables sold or transferred pursuant to Permitted Factoring Transactions shall not exceed $400,000,000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80"/>
        <w:spacing w:after="0" w:line="277" w:lineRule="auto"/>
        <w:rPr>
          <w:sz w:val="20"/>
          <w:szCs w:val="20"/>
          <w:color w:val="auto"/>
        </w:rPr>
      </w:pPr>
      <w:r>
        <w:rPr>
          <w:rFonts w:ascii="Arial" w:cs="Arial" w:eastAsia="Arial" w:hAnsi="Arial"/>
          <w:sz w:val="18"/>
          <w:szCs w:val="18"/>
          <w:color w:val="auto"/>
        </w:rPr>
        <w:t>any Fiscal Year and (ii) the aggregate face amount of all receivables sold or transferred pursuant to Permitted Factoring Transactions shall not exceed $100,000,000 during any Fiscal Quarter.</w:t>
      </w:r>
    </w:p>
    <w:p>
      <w:pPr>
        <w:spacing w:after="0" w:line="170" w:lineRule="exact"/>
        <w:rPr>
          <w:sz w:val="20"/>
          <w:szCs w:val="20"/>
          <w:color w:val="auto"/>
        </w:rPr>
      </w:pPr>
    </w:p>
    <w:p>
      <w:pPr>
        <w:ind w:left="2020" w:hanging="715"/>
        <w:spacing w:after="0"/>
        <w:tabs>
          <w:tab w:leader="none" w:pos="202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definition of “Permitted Refinancing Indebtedness” is hereby amended and restated in its entirety to read as follows:</w:t>
      </w:r>
    </w:p>
    <w:p>
      <w:pPr>
        <w:spacing w:after="0" w:line="237" w:lineRule="exact"/>
        <w:rPr>
          <w:sz w:val="20"/>
          <w:szCs w:val="20"/>
          <w:color w:val="auto"/>
        </w:rPr>
      </w:pPr>
    </w:p>
    <w:p>
      <w:pPr>
        <w:ind w:left="1300" w:right="80"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Refinancing Indebtedness</w:t>
      </w:r>
      <w:r>
        <w:rPr>
          <w:rFonts w:ascii="Arial" w:cs="Arial" w:eastAsia="Arial" w:hAnsi="Arial"/>
          <w:sz w:val="17"/>
          <w:szCs w:val="17"/>
          <w:color w:val="auto"/>
        </w:rPr>
        <w:t>” means Indebtedness (for purposes of this definition, “</w:t>
      </w:r>
      <w:r>
        <w:rPr>
          <w:rFonts w:ascii="Arial" w:cs="Arial" w:eastAsia="Arial" w:hAnsi="Arial"/>
          <w:sz w:val="17"/>
          <w:szCs w:val="17"/>
          <w:u w:val="single" w:color="auto"/>
          <w:color w:val="auto"/>
        </w:rPr>
        <w:t>New Indebtedness</w:t>
      </w:r>
      <w:r>
        <w:rPr>
          <w:rFonts w:ascii="Arial" w:cs="Arial" w:eastAsia="Arial" w:hAnsi="Arial"/>
          <w:sz w:val="17"/>
          <w:szCs w:val="17"/>
          <w:color w:val="auto"/>
        </w:rPr>
        <w:t>”) incurred in exchange for, or the proceeds of which are used to extend, refinance, replace, defease, discharge, refund or otherwise retire for value any other Indebtedness (for purposes of this definition, the “</w:t>
      </w:r>
      <w:r>
        <w:rPr>
          <w:rFonts w:ascii="Arial" w:cs="Arial" w:eastAsia="Arial" w:hAnsi="Arial"/>
          <w:sz w:val="17"/>
          <w:szCs w:val="17"/>
          <w:u w:val="single" w:color="auto"/>
          <w:color w:val="auto"/>
        </w:rPr>
        <w:t>Refinanced Indebtedness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aggregate principal amount (or accreted value, in the case of Indebtedness issued with original issue discount) of the New Indebtedness (including undrawn or available committed amounts) does not exceed the sum of (i) the aggregate principal amount (or accreted value, in the case of Indebtedness issued with original issue discount) then outstanding of the Refinanced Indebtedness (including undrawn or available committed amounts, which for purposes of Refinancing Indebtedness of the type described in </w:t>
      </w:r>
      <w:r>
        <w:rPr>
          <w:rFonts w:ascii="Arial" w:cs="Arial" w:eastAsia="Arial" w:hAnsi="Arial"/>
          <w:sz w:val="17"/>
          <w:szCs w:val="17"/>
          <w:u w:val="single" w:color="auto"/>
          <w:color w:val="auto"/>
        </w:rPr>
        <w:t>Section 8.01(b)</w:t>
      </w:r>
      <w:r>
        <w:rPr>
          <w:rFonts w:ascii="Arial" w:cs="Arial" w:eastAsia="Arial" w:hAnsi="Arial"/>
          <w:sz w:val="17"/>
          <w:szCs w:val="17"/>
          <w:color w:val="auto"/>
        </w:rPr>
        <w:t xml:space="preserve">, shall be deemed to be $1,500,000,000)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an amount necessary to pay all accrued (including, for purposes of defeasance, future accrued) and unpaid interest on the Refinanced Indebtedness and any fees, premiums and expenses related to such exchange or refinancing, (b) the New Indebtedness has a stated maturity that is no earlier than the stated maturity date of the Refinanced Indebtedness (c) the New Indebtedness has a Weighted Average Life to Maturity that is no shorter than the Weighted Average Life to Maturity of the Refinanced Indebtedness, (d) the New Indebtedness is not incurred or Guaranteed by any Person that was not an obligor on the Refinanced Indebtedness;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 in the event that the Refinanced Indebtedness is of the type described in </w:t>
      </w:r>
      <w:r>
        <w:rPr>
          <w:rFonts w:ascii="Arial" w:cs="Arial" w:eastAsia="Arial" w:hAnsi="Arial"/>
          <w:sz w:val="17"/>
          <w:szCs w:val="17"/>
          <w:u w:val="single" w:color="auto"/>
          <w:color w:val="auto"/>
        </w:rPr>
        <w:t>Section 8.01(b)</w:t>
      </w:r>
      <w:r>
        <w:rPr>
          <w:rFonts w:ascii="Arial" w:cs="Arial" w:eastAsia="Arial" w:hAnsi="Arial"/>
          <w:sz w:val="17"/>
          <w:szCs w:val="17"/>
          <w:color w:val="auto"/>
        </w:rPr>
        <w:t>, the New Indebtedness may be Guaranteed by any Obligor and (ii) in the event that the Refinanced Indebtedness is of the type described in clause (i) of the definition of “Permitted Existing Indebtedness”, the New Indebtedness may be incurred or Guaranteed by WIL-Ireland, WIL-Bermuda, WIL-Delaware or any Other Subsidiaries Group Member; and (e) if the Refinanced Indebtedness is subordinated in right of payment or lien priority to the Obligations, the New Indebtedness is subordinated in right of payment or lien priority, as applicable, to the Obligations to at least the same extent as the Refinanced Indebtedness.</w:t>
      </w:r>
    </w:p>
    <w:p>
      <w:pPr>
        <w:spacing w:after="0" w:line="191" w:lineRule="exact"/>
        <w:rPr>
          <w:sz w:val="20"/>
          <w:szCs w:val="20"/>
          <w:color w:val="auto"/>
        </w:rPr>
      </w:pPr>
    </w:p>
    <w:p>
      <w:pPr>
        <w:ind w:left="2000" w:hanging="695"/>
        <w:spacing w:after="0"/>
        <w:tabs>
          <w:tab w:leader="none" w:pos="20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definition of “Restricted Agreement” is hereby amended and restated in its entirety to read as follows: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Restrictive Agreement</w:t>
      </w:r>
      <w:r>
        <w:rPr>
          <w:rFonts w:ascii="Arial" w:cs="Arial" w:eastAsia="Arial" w:hAnsi="Arial"/>
          <w:sz w:val="16"/>
          <w:szCs w:val="16"/>
          <w:color w:val="auto"/>
        </w:rPr>
        <w:t>” means any agreement or other arrangement that prohibits, limits, restricts or imposes any condition upon</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the ability of any Obligor or any Specified Group Member to create, incur or permit to exist any Lien upon any of its property or assets</w:t>
      </w:r>
    </w:p>
    <w:p>
      <w:pPr>
        <w:sectPr>
          <w:pgSz w:w="11900" w:h="16838" w:orient="portrait"/>
          <w:cols w:equalWidth="0" w:num="1">
            <w:col w:w="11420"/>
          </w:cols>
          <w:pgMar w:left="240" w:top="125" w:right="239" w:bottom="0" w:gutter="0" w:footer="0" w:header="0"/>
        </w:sectPr>
      </w:pPr>
    </w:p>
    <w:bookmarkStart w:id="95" w:name="page96"/>
    <w:bookmarkEnd w:id="95"/>
    <w:p>
      <w:pPr>
        <w:ind w:left="1300" w:right="780" w:firstLine="5"/>
        <w:spacing w:after="0" w:line="277" w:lineRule="auto"/>
        <w:tabs>
          <w:tab w:leader="none" w:pos="151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in favor of the Administrative Agent and the other Secured Parties to secure any of the Secured Obligations, (ii) in favor of the Revolving Credit Agent and other holders of the Revolving Credit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spacing w:after="0" w:line="257" w:lineRule="auto"/>
        <w:rPr>
          <w:sz w:val="20"/>
          <w:szCs w:val="20"/>
          <w:color w:val="auto"/>
        </w:rPr>
      </w:pPr>
      <w:r>
        <w:rPr>
          <w:rFonts w:ascii="Arial" w:cs="Arial" w:eastAsia="Arial" w:hAnsi="Arial"/>
          <w:sz w:val="18"/>
          <w:szCs w:val="18"/>
          <w:color w:val="auto"/>
        </w:rPr>
        <w:t>Obligations to secure any of the Revolving Credit Obligations or (iii) in favor of the 364-Day Revolving Credit Collateral Agent and the 364-Day Revolving Credit Secured Parties to secure any of the 364-Day Revolving Credit Obligations or (b) the ability of any Specified Group Member to pay any dividends or other distributions with respect to its Capital Stock to, or to make or repay any loans or advances to, or to Dispose of any assets to, any Obligor or any other Specified Group Member that is located in a Specified Jurisdiction, or, in each case, which requires the consent of any other Person in connection therewith.</w:t>
      </w:r>
    </w:p>
    <w:p>
      <w:pPr>
        <w:spacing w:after="0" w:line="188" w:lineRule="exact"/>
        <w:rPr>
          <w:sz w:val="20"/>
          <w:szCs w:val="20"/>
          <w:color w:val="auto"/>
        </w:rPr>
      </w:pPr>
    </w:p>
    <w:p>
      <w:pPr>
        <w:ind w:left="2020" w:hanging="715"/>
        <w:spacing w:after="0"/>
        <w:tabs>
          <w:tab w:leader="none" w:pos="202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definition of “Specified Jurisdiction” is hereby amended to add the words “Hungary, Panama” immediately after the reference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“Norway” therein.</w:t>
      </w:r>
    </w:p>
    <w:p>
      <w:pPr>
        <w:spacing w:after="0" w:line="210" w:lineRule="exact"/>
        <w:rPr>
          <w:rFonts w:ascii="Arial" w:cs="Arial" w:eastAsia="Arial" w:hAnsi="Arial"/>
          <w:sz w:val="16"/>
          <w:szCs w:val="16"/>
          <w:color w:val="auto"/>
        </w:rPr>
      </w:pPr>
    </w:p>
    <w:p>
      <w:pPr>
        <w:jc w:val="both"/>
        <w:ind w:right="220" w:firstLine="1305"/>
        <w:spacing w:after="0" w:line="264" w:lineRule="auto"/>
        <w:tabs>
          <w:tab w:leader="none" w:pos="2011"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definition of “Specified Senior Indebtedness” is hereby amended by replacing the words “shall include Indebtedness of the type described in clause (c) of the definition thereof” with the words “shall also include Indebtedness of the type described in clause (c) of the definition of Indebtedness.”</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definition of “Transactions” is hereby amended and restated in its entirety to read as follows:</w:t>
      </w:r>
    </w:p>
    <w:p>
      <w:pPr>
        <w:spacing w:after="0" w:line="225" w:lineRule="exact"/>
        <w:rPr>
          <w:sz w:val="20"/>
          <w:szCs w:val="20"/>
          <w:color w:val="auto"/>
        </w:rPr>
      </w:pPr>
    </w:p>
    <w:p>
      <w:pPr>
        <w:ind w:left="1300"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transactions contemplated by the Loan Documents, the Revolving Credit Documents and the 364-Day Revolving Credit Documents.</w:t>
      </w:r>
    </w:p>
    <w:p>
      <w:pPr>
        <w:spacing w:after="0" w:line="170" w:lineRule="exact"/>
        <w:rPr>
          <w:sz w:val="20"/>
          <w:szCs w:val="20"/>
          <w:color w:val="auto"/>
        </w:rPr>
      </w:pPr>
    </w:p>
    <w:p>
      <w:pPr>
        <w:ind w:left="1360" w:hanging="704"/>
        <w:spacing w:after="0"/>
        <w:tabs>
          <w:tab w:leader="none" w:pos="136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Section 1.04 of the Credit Agreement is hereby renumbered to be Section 1.05 of the Credit Agreement and a new Section 1.04 is inserted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211"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Pro Forma Calculations of Current Asset Coverage Ratio</w:t>
      </w:r>
      <w:r>
        <w:rPr>
          <w:rFonts w:ascii="Arial" w:cs="Arial" w:eastAsia="Arial" w:hAnsi="Arial"/>
          <w:sz w:val="17"/>
          <w:szCs w:val="17"/>
          <w:color w:val="auto"/>
        </w:rPr>
        <w:t xml:space="preserve">. Notwithstanding anything to the contrary in this Agreement, for purposes of determining pro forma compliance with the Current Asset Coverage Ratio Covenant (i) at any time during the Initial Collateral Perfection Period (as defined in the 364-Day Revolving Credit Agreement), the applicable minimum permitted covenant level for determining such pro forma compliance shall be 1.00 to 1.00, (ii) at any time during the period commencing on the 21st day after the Amendment No. 3 Effective Date and ending on the last day of the Collateral Perfection Period (as defined in the 364-Day Revolving Credit Agreement), the applicable minimum permitted covenant level for determining such pro forma compliance shall be 1.20 to 1.00, (iii) at any time thereafter, the applicable minimum permitted covenant level for determining such pro forma compliance shall be 2.10 to 1.00, (iv) the determination of the Current Asset Coverage Ratio shall use the book value of the Priority Perfected Collateral (as used throughout this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as defined in the 364-Day Revolving Credit Agreement) as of the last date of the Fiscal Quarter most recently ended for which financial statements are available, (v) if any Secured Obligor (as used throughout this </w:t>
      </w:r>
      <w:r>
        <w:rPr>
          <w:rFonts w:ascii="Arial" w:cs="Arial" w:eastAsia="Arial" w:hAnsi="Arial"/>
          <w:sz w:val="17"/>
          <w:szCs w:val="17"/>
          <w:u w:val="single" w:color="auto"/>
          <w:color w:val="auto"/>
        </w:rPr>
        <w:t>Section 1.04</w:t>
      </w:r>
      <w:r>
        <w:rPr>
          <w:rFonts w:ascii="Arial" w:cs="Arial" w:eastAsia="Arial" w:hAnsi="Arial"/>
          <w:sz w:val="17"/>
          <w:szCs w:val="17"/>
          <w:color w:val="auto"/>
        </w:rPr>
        <w:t>, as defined in the 364-Day Revolving Credit Agreement) shall have acquired any assets that have become Priority Perfected Collateral pursuant to a Material Acquisition since the last day of the Fiscal Quarter most recently ended for which financial statements have been delivered or shall have acquired any Priority Perfected Collateral pursuant to the transaction that is being tested for pro forma compliance (or assets that will constitute Priority Perfection Collateral substantially contemporaneously with such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transaction, subject to the completion of necessary filings or other actions necessary for the perfection of the associated Liens so long as such filings are expected to be made or actions are expected to be taken within five (5) Business Days), the Current Asset Coverage Ratio shall be calculated giving pro forma effect to such acquisition, (vi) if any Secured Obligor shall have sold, transferred or otherwise disposed of assets that previously constituted Priority Perfected Collateral pursuant to a Material Disposition since the last day of the Fiscal Quarter most recently ended for which financial statements are available or shall have sold, transferred or otherwise disposed of assets that previously constituted Priority Perfected Collateral pursuant to the transaction that is being tested for pro forma compliance, the Current Asset Coverage Ratio shall be calculated giving pro forma effect to such sale, transfer or disposition and (vii) Total Measured Secured Indebtedness (as defined in the 364-Day Revolving Credit Agreement) shall be determined as of the date of the applicable pro forma calculation, after giving pro forma effect to any incurrence or repayment of Indebtedness or increase or reduction of commitments occurring on such calculation date.</w:t>
      </w:r>
    </w:p>
    <w:p>
      <w:pPr>
        <w:spacing w:after="0" w:line="197" w:lineRule="exact"/>
        <w:rPr>
          <w:sz w:val="20"/>
          <w:szCs w:val="20"/>
          <w:color w:val="auto"/>
        </w:rPr>
      </w:pPr>
    </w:p>
    <w:p>
      <w:pPr>
        <w:ind w:left="1360" w:hanging="704"/>
        <w:spacing w:after="0"/>
        <w:tabs>
          <w:tab w:leader="none" w:pos="13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Clause (j) of Section 7.01 of the Credit Agreement is hereby amended and restated in its entirety to read as follows:</w:t>
      </w:r>
    </w:p>
    <w:p>
      <w:pPr>
        <w:spacing w:after="0" w:line="225" w:lineRule="exact"/>
        <w:rPr>
          <w:rFonts w:ascii="Arial" w:cs="Arial" w:eastAsia="Arial" w:hAnsi="Arial"/>
          <w:sz w:val="18"/>
          <w:szCs w:val="18"/>
          <w:color w:val="auto"/>
        </w:rPr>
      </w:pPr>
    </w:p>
    <w:p>
      <w:pPr>
        <w:ind w:left="1300" w:right="300" w:firstLine="653"/>
        <w:spacing w:after="0" w:line="289" w:lineRule="auto"/>
        <w:tabs>
          <w:tab w:leader="none" w:pos="2658" w:val="left"/>
        </w:tabs>
        <w:numPr>
          <w:ilvl w:val="2"/>
          <w:numId w:val="274"/>
        </w:numPr>
        <w:rPr>
          <w:rFonts w:ascii="Arial" w:cs="Arial" w:eastAsia="Arial" w:hAnsi="Arial"/>
          <w:sz w:val="16"/>
          <w:szCs w:val="16"/>
          <w:color w:val="auto"/>
        </w:rPr>
      </w:pPr>
      <w:r>
        <w:rPr>
          <w:rFonts w:ascii="Arial" w:cs="Arial" w:eastAsia="Arial" w:hAnsi="Arial"/>
          <w:sz w:val="16"/>
          <w:szCs w:val="16"/>
          <w:color w:val="auto"/>
        </w:rPr>
        <w:t xml:space="preserve">From time to time and with reasonable promptness, (x) such other information or documents (financial or otherwise) with respect to any Obligor or any of its Restricted Subsidiaries as the Administrative Agent or any Lender through the Administrative Agent may reasonably request, including any books and records with respect to any Collateral and (y) information and documentation reasonably requested by the Administrative Agent or any Lender for purposes of compliance with applicable “know your customer” and anti-money laundering rules and regulations, including the PATRIOT Act and the Beneficial Ownership Regulation (to the extent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non-public information obtained by any Person pursuant to such request shall be treated as confidential information in accordance with </w:t>
      </w:r>
      <w:r>
        <w:rPr>
          <w:rFonts w:ascii="Arial" w:cs="Arial" w:eastAsia="Arial" w:hAnsi="Arial"/>
          <w:sz w:val="16"/>
          <w:szCs w:val="16"/>
          <w:u w:val="single" w:color="auto"/>
          <w:color w:val="auto"/>
        </w:rPr>
        <w:t>Section 11.06</w:t>
      </w:r>
      <w:r>
        <w:rPr>
          <w:rFonts w:ascii="Arial" w:cs="Arial" w:eastAsia="Arial" w:hAnsi="Arial"/>
          <w:sz w:val="16"/>
          <w:szCs w:val="16"/>
          <w:color w:val="auto"/>
        </w:rPr>
        <w:t>. Notwithstanding the foregoing, no Obligor or any of its Restricted Subsidiaries shall be required to deliver any information or documents if the disclosure thereof to the Administrative Agent or any Lender would violate a binding confidentiality agreement with a Person that is not an Affiliate of WIL-Ireland or any Subsidiary.</w:t>
      </w:r>
    </w:p>
    <w:p>
      <w:pPr>
        <w:spacing w:after="0" w:line="166" w:lineRule="exact"/>
        <w:rPr>
          <w:rFonts w:ascii="Arial" w:cs="Arial" w:eastAsia="Arial" w:hAnsi="Arial"/>
          <w:sz w:val="16"/>
          <w:szCs w:val="16"/>
          <w:color w:val="auto"/>
        </w:rPr>
      </w:pPr>
    </w:p>
    <w:p>
      <w:pPr>
        <w:ind w:right="40" w:firstLine="656"/>
        <w:spacing w:after="0" w:line="277" w:lineRule="auto"/>
        <w:tabs>
          <w:tab w:leader="none" w:pos="134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Clause (a)(ii) of Section 7.08 of the Credit Agreement is hereby amended and restated through where the words “in excess of $20,000,000” appear therein as follows:</w:t>
      </w:r>
    </w:p>
    <w:p>
      <w:pPr>
        <w:spacing w:after="0" w:line="170" w:lineRule="exact"/>
        <w:rPr>
          <w:rFonts w:ascii="Arial" w:cs="Arial" w:eastAsia="Arial" w:hAnsi="Arial"/>
          <w:sz w:val="18"/>
          <w:szCs w:val="18"/>
          <w:color w:val="auto"/>
        </w:rPr>
      </w:pPr>
    </w:p>
    <w:p>
      <w:pPr>
        <w:ind w:left="1300" w:right="580" w:firstLine="5"/>
        <w:spacing w:after="0" w:line="286" w:lineRule="auto"/>
        <w:tabs>
          <w:tab w:leader="none" w:pos="1565" w:val="left"/>
        </w:tabs>
        <w:numPr>
          <w:ilvl w:val="1"/>
          <w:numId w:val="274"/>
        </w:numPr>
        <w:rPr>
          <w:rFonts w:ascii="Arial" w:cs="Arial" w:eastAsia="Arial" w:hAnsi="Arial"/>
          <w:sz w:val="17"/>
          <w:szCs w:val="17"/>
          <w:color w:val="auto"/>
        </w:rPr>
      </w:pPr>
      <w:r>
        <w:rPr>
          <w:rFonts w:ascii="Arial" w:cs="Arial" w:eastAsia="Arial" w:hAnsi="Arial"/>
          <w:sz w:val="17"/>
          <w:szCs w:val="17"/>
          <w:color w:val="auto"/>
        </w:rPr>
        <w:t>any Restricted Subsidiary Guarantees or otherwise becomes an obligor in respect of Indebtedness or other obligations under the Revolving Credit Facility or the 364-Day Revolving Credit Facility or any other third party Indebtedness for borrowed money of the Borrower or a Holdco Guarantor in an aggregate principal amount in excess of $20,000,000</w:t>
      </w:r>
    </w:p>
    <w:p>
      <w:pPr>
        <w:sectPr>
          <w:pgSz w:w="11900" w:h="16838" w:orient="portrait"/>
          <w:cols w:equalWidth="0" w:num="1">
            <w:col w:w="11420"/>
          </w:cols>
          <w:pgMar w:left="240" w:top="125" w:right="239" w:bottom="0" w:gutter="0" w:footer="0" w:header="0"/>
        </w:sectPr>
      </w:pPr>
    </w:p>
    <w:bookmarkStart w:id="96" w:name="page97"/>
    <w:bookmarkEnd w:id="96"/>
    <w:p>
      <w:pPr>
        <w:ind w:right="20" w:firstLine="656"/>
        <w:spacing w:after="0" w:line="277" w:lineRule="auto"/>
        <w:tabs>
          <w:tab w:leader="none" w:pos="1368" w:val="left"/>
        </w:tabs>
        <w:numPr>
          <w:ilvl w:val="0"/>
          <w:numId w:val="275"/>
        </w:numPr>
        <w:rPr>
          <w:rFonts w:ascii="Arial" w:cs="Arial" w:eastAsia="Arial" w:hAnsi="Arial"/>
          <w:sz w:val="18"/>
          <w:szCs w:val="18"/>
          <w:color w:val="auto"/>
        </w:rPr>
      </w:pPr>
      <w:r>
        <w:rPr>
          <w:rFonts w:ascii="Arial" w:cs="Arial" w:eastAsia="Arial" w:hAnsi="Arial"/>
          <w:sz w:val="18"/>
          <w:szCs w:val="18"/>
          <w:color w:val="auto"/>
        </w:rPr>
        <w:t>Clause (a) of Section 7.10 of the Credit Agreement is hereby amended by inserting the word “of” immediately after the words “as a result” in the second parenthetical therein.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60" w:hanging="704"/>
        <w:spacing w:after="0"/>
        <w:tabs>
          <w:tab w:leader="none" w:pos="13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Clause (b) of Section 8.01 of the Credit Agreement is hereby amended and restated in its entirety to read as follows:</w:t>
      </w:r>
    </w:p>
    <w:p>
      <w:pPr>
        <w:spacing w:after="0" w:line="225" w:lineRule="exact"/>
        <w:rPr>
          <w:rFonts w:ascii="Arial" w:cs="Arial" w:eastAsia="Arial" w:hAnsi="Arial"/>
          <w:sz w:val="18"/>
          <w:szCs w:val="18"/>
          <w:color w:val="auto"/>
        </w:rPr>
      </w:pPr>
    </w:p>
    <w:p>
      <w:pPr>
        <w:ind w:left="1300" w:right="220" w:firstLine="653"/>
        <w:spacing w:after="0" w:line="291" w:lineRule="auto"/>
        <w:tabs>
          <w:tab w:leader="none" w:pos="2653" w:val="left"/>
        </w:tabs>
        <w:numPr>
          <w:ilvl w:val="1"/>
          <w:numId w:val="276"/>
        </w:numPr>
        <w:rPr>
          <w:rFonts w:ascii="Arial" w:cs="Arial" w:eastAsia="Arial" w:hAnsi="Arial"/>
          <w:sz w:val="16"/>
          <w:szCs w:val="16"/>
          <w:color w:val="auto"/>
        </w:rPr>
      </w:pPr>
      <w:r>
        <w:rPr>
          <w:rFonts w:ascii="Arial" w:cs="Arial" w:eastAsia="Arial" w:hAnsi="Arial"/>
          <w:sz w:val="16"/>
          <w:szCs w:val="16"/>
          <w:color w:val="auto"/>
        </w:rPr>
        <w:t>(i) Indebtedness of the Obligors incurred under the Revolving Credit Facility (including any Incremental Commitment (as defined therein)) and Permitted Refinancing Indebtedness in respect thereof and (ii) Indebtedness of the Obligors incurred under the</w:t>
      </w:r>
    </w:p>
    <w:p>
      <w:pPr>
        <w:ind w:left="1300" w:right="6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364-Day Revolving Credit Facility (including any Incremental Commitments (as defined therein)) and Permitted Refinancing Indebtedness in respect thereof,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aggregate principal amount of Indebtedness described in the foregoing clauses (i) and (ii) (including undrawn or available committed amounts thereunder, taken together, shall not exceed $1,500,000,000 at any time outstanding;</w:t>
      </w:r>
    </w:p>
    <w:p>
      <w:pPr>
        <w:spacing w:after="0" w:line="155" w:lineRule="exact"/>
        <w:rPr>
          <w:rFonts w:ascii="Arial" w:cs="Arial" w:eastAsia="Arial" w:hAnsi="Arial"/>
          <w:sz w:val="16"/>
          <w:szCs w:val="16"/>
          <w:color w:val="auto"/>
        </w:rPr>
      </w:pPr>
    </w:p>
    <w:p>
      <w:pPr>
        <w:ind w:right="20" w:firstLine="656"/>
        <w:spacing w:after="0" w:line="264" w:lineRule="auto"/>
        <w:tabs>
          <w:tab w:leader="none" w:pos="135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Clause (i) of Section 8.01 of the Credit Agreement is hereby amended by replacing the words “provided that aggregate outstanding amount of such Indebtedness does not at any time exceed $250,000,000” therein with the words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such Indebtedness does not at any time exceed $200,000,000”.</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Clause (j) of Section 8.01 of the Credit Agreement is hereby amended and restated in its entirety to read as follows:</w:t>
      </w:r>
    </w:p>
    <w:p>
      <w:pPr>
        <w:spacing w:after="0" w:line="225" w:lineRule="exact"/>
        <w:rPr>
          <w:rFonts w:ascii="Arial" w:cs="Arial" w:eastAsia="Arial" w:hAnsi="Arial"/>
          <w:sz w:val="18"/>
          <w:szCs w:val="18"/>
          <w:color w:val="auto"/>
        </w:rPr>
      </w:pPr>
    </w:p>
    <w:p>
      <w:pPr>
        <w:ind w:left="1300" w:right="60" w:firstLine="653"/>
        <w:spacing w:after="0" w:line="289" w:lineRule="auto"/>
        <w:tabs>
          <w:tab w:leader="none" w:pos="2658" w:val="left"/>
        </w:tabs>
        <w:numPr>
          <w:ilvl w:val="1"/>
          <w:numId w:val="277"/>
        </w:numPr>
        <w:rPr>
          <w:rFonts w:ascii="Arial" w:cs="Arial" w:eastAsia="Arial" w:hAnsi="Arial"/>
          <w:sz w:val="16"/>
          <w:szCs w:val="16"/>
          <w:color w:val="auto"/>
        </w:rPr>
      </w:pPr>
      <w:r>
        <w:rPr>
          <w:rFonts w:ascii="Arial" w:cs="Arial" w:eastAsia="Arial" w:hAnsi="Arial"/>
          <w:sz w:val="16"/>
          <w:szCs w:val="16"/>
          <w:color w:val="auto"/>
        </w:rPr>
        <w:t xml:space="preserve">Specified Senior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such Specified Senior Indebtedness may be incurred prior to the date that is 60 days prior to July 12, 2019, (ii) as a condition to incurring any such Specified Senior Indebtedness, (A) no Default or Event of Default shall have occurred and be continuing at the time of and immediately after giving pro forma effect to the incurrence of such Indebtedness, (B) the aggregate principal amount of all Indebtedness incurred pursuant to this </w:t>
      </w:r>
      <w:r>
        <w:rPr>
          <w:rFonts w:ascii="Arial" w:cs="Arial" w:eastAsia="Arial" w:hAnsi="Arial"/>
          <w:sz w:val="16"/>
          <w:szCs w:val="16"/>
          <w:u w:val="single" w:color="auto"/>
          <w:color w:val="auto"/>
        </w:rPr>
        <w:t>Section 8.01(j)</w:t>
      </w:r>
      <w:r>
        <w:rPr>
          <w:rFonts w:ascii="Arial" w:cs="Arial" w:eastAsia="Arial" w:hAnsi="Arial"/>
          <w:sz w:val="16"/>
          <w:szCs w:val="16"/>
          <w:color w:val="auto"/>
        </w:rPr>
        <w:t xml:space="preserve"> would not exceed $200,000,000 at any time and (C) after giving pro forma effect to the incurrence of such Indebtedness, the Specified Senior Leverage Ratio (calculated as of the last day of the most recently ended Testing Period for which financial statements are available as if such Indebtedness had been incurred on the last day of such Testing Period) would not exceed 2.00 to 1.00 and (iii) as of the date of incurrence, such Indebtedness shall have a stated maturity date no sooner than 91 days after the latest to occur of (A) the Revolving Credit Extended Maturity Date, (B) the 364-Day Revolving Credit Maturity Date and (C) the Maturity Date;</w:t>
      </w:r>
    </w:p>
    <w:p>
      <w:pPr>
        <w:spacing w:after="0" w:line="166" w:lineRule="exact"/>
        <w:rPr>
          <w:rFonts w:ascii="Arial" w:cs="Arial" w:eastAsia="Arial" w:hAnsi="Arial"/>
          <w:sz w:val="16"/>
          <w:szCs w:val="16"/>
          <w:color w:val="auto"/>
        </w:rPr>
      </w:pPr>
    </w:p>
    <w:p>
      <w:pPr>
        <w:ind w:left="1360" w:hanging="704"/>
        <w:spacing w:after="0"/>
        <w:tabs>
          <w:tab w:leader="none" w:pos="13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Clause (k) of Section 8.01 of the Credit Agreement is hereby amended and restated in its entirety to read as follows:</w:t>
      </w:r>
    </w:p>
    <w:p>
      <w:pPr>
        <w:spacing w:after="0" w:line="225" w:lineRule="exact"/>
        <w:rPr>
          <w:rFonts w:ascii="Arial" w:cs="Arial" w:eastAsia="Arial" w:hAnsi="Arial"/>
          <w:sz w:val="18"/>
          <w:szCs w:val="18"/>
          <w:color w:val="auto"/>
        </w:rPr>
      </w:pPr>
    </w:p>
    <w:p>
      <w:pPr>
        <w:ind w:left="1300" w:right="20" w:firstLine="653"/>
        <w:spacing w:after="0" w:line="257" w:lineRule="auto"/>
        <w:tabs>
          <w:tab w:leader="none" w:pos="2653" w:val="left"/>
        </w:tabs>
        <w:numPr>
          <w:ilvl w:val="1"/>
          <w:numId w:val="278"/>
        </w:numPr>
        <w:rPr>
          <w:rFonts w:ascii="Arial" w:cs="Arial" w:eastAsia="Arial" w:hAnsi="Arial"/>
          <w:sz w:val="18"/>
          <w:szCs w:val="18"/>
          <w:color w:val="auto"/>
        </w:rPr>
      </w:pPr>
      <w:r>
        <w:rPr>
          <w:rFonts w:ascii="Arial" w:cs="Arial" w:eastAsia="Arial" w:hAnsi="Arial"/>
          <w:sz w:val="18"/>
          <w:szCs w:val="18"/>
          <w:color w:val="auto"/>
        </w:rPr>
        <w:t xml:space="preserve">unsecured Indebtedness incurred by WIL-Ireland, the Borrower, WIL-Delaware and Other Subsidiaries Group Members;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Default or Event of Default shall have occurred and be continuing at the time of and immediately after giving effect to the incurrence of such Indebtedness, (ii) after giving pro forma effect to the incurrence of such Indebtedness, WIL-Ireland would be in compliance with the Financial Covenants (calculated as of the last day of the most recently ended Testing Period for which financial statements are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
        <w:spacing w:after="0" w:line="259" w:lineRule="auto"/>
        <w:rPr>
          <w:sz w:val="20"/>
          <w:szCs w:val="20"/>
          <w:color w:val="auto"/>
        </w:rPr>
      </w:pPr>
      <w:r>
        <w:rPr>
          <w:rFonts w:ascii="Arial" w:cs="Arial" w:eastAsia="Arial" w:hAnsi="Arial"/>
          <w:sz w:val="18"/>
          <w:szCs w:val="18"/>
          <w:color w:val="auto"/>
        </w:rPr>
        <w:t>available as if such Indebtedness had been incurred on the last day of such Testing Period) and (iii) except with respect to Indebtedness in an aggregate amount not to exceed $90,000,000, as of the date of incurrence, such Indebtedness shall have a stated maturity date no sooner than 91 days after the latest to occur of (A) the Revolving Credit Extended Maturity Date, (B) the 364-Day Revolving Credit Maturity Date and (C) the Maturity Date;</w:t>
      </w:r>
    </w:p>
    <w:p>
      <w:pPr>
        <w:spacing w:after="0" w:line="187" w:lineRule="exact"/>
        <w:rPr>
          <w:sz w:val="20"/>
          <w:szCs w:val="20"/>
          <w:color w:val="auto"/>
        </w:rPr>
      </w:pPr>
    </w:p>
    <w:p>
      <w:pPr>
        <w:ind w:left="1360" w:hanging="704"/>
        <w:spacing w:after="0"/>
        <w:tabs>
          <w:tab w:leader="none" w:pos="13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Clause (l) of Section 8.01 of the Credit Agreement is hereby amended and restated in its entirety to read as follows:</w:t>
      </w:r>
    </w:p>
    <w:p>
      <w:pPr>
        <w:spacing w:after="0" w:line="225" w:lineRule="exact"/>
        <w:rPr>
          <w:rFonts w:ascii="Arial" w:cs="Arial" w:eastAsia="Arial" w:hAnsi="Arial"/>
          <w:sz w:val="18"/>
          <w:szCs w:val="18"/>
          <w:color w:val="auto"/>
        </w:rPr>
      </w:pPr>
    </w:p>
    <w:p>
      <w:pPr>
        <w:ind w:left="1300" w:firstLine="653"/>
        <w:spacing w:after="0" w:line="255" w:lineRule="auto"/>
        <w:tabs>
          <w:tab w:leader="none" w:pos="2658" w:val="left"/>
        </w:tabs>
        <w:numPr>
          <w:ilvl w:val="1"/>
          <w:numId w:val="279"/>
        </w:numPr>
        <w:rPr>
          <w:rFonts w:ascii="Arial" w:cs="Arial" w:eastAsia="Arial" w:hAnsi="Arial"/>
          <w:sz w:val="18"/>
          <w:szCs w:val="18"/>
          <w:color w:val="auto"/>
        </w:rPr>
      </w:pPr>
      <w:r>
        <w:rPr>
          <w:rFonts w:ascii="Arial" w:cs="Arial" w:eastAsia="Arial" w:hAnsi="Arial"/>
          <w:sz w:val="18"/>
          <w:szCs w:val="18"/>
          <w:color w:val="auto"/>
        </w:rPr>
        <w:t xml:space="preserve">Subordinated Indebtedness of any Obligor (other than Subordinated Indebtedness consisting of Guarantees by any Specified Obligor of Indebtedness incurred pursuant to </w:t>
      </w:r>
      <w:r>
        <w:rPr>
          <w:rFonts w:ascii="Arial" w:cs="Arial" w:eastAsia="Arial" w:hAnsi="Arial"/>
          <w:sz w:val="18"/>
          <w:szCs w:val="18"/>
          <w:u w:val="single" w:color="auto"/>
          <w:color w:val="auto"/>
        </w:rPr>
        <w:t>Section 8.01(c)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8.01(j)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8.01(k)</w:t>
      </w:r>
      <w:r>
        <w:rPr>
          <w:rFonts w:ascii="Arial" w:cs="Arial" w:eastAsia="Arial" w:hAnsi="Arial"/>
          <w:sz w:val="18"/>
          <w:szCs w:val="18"/>
          <w:color w:val="auto"/>
        </w:rPr>
        <w:t xml:space="preserve"> or Indebtedness not permitted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Default or Event of Default shall have occurred and be continuing at the time of and immediately after giving effect to the incurrence of such Indebtedness, and (ii) as of the date of incurrence, such Indebtedness shall have a stated maturity date no sooner than 91 days after the latest to occur of (A) the Revolving Credit Extended Maturity Date, (B) the 364-Day Revolving Credit Maturity Date and (C) the Maturity Date;</w:t>
      </w:r>
    </w:p>
    <w:p>
      <w:pPr>
        <w:spacing w:after="0" w:line="193" w:lineRule="exact"/>
        <w:rPr>
          <w:rFonts w:ascii="Arial" w:cs="Arial" w:eastAsia="Arial" w:hAnsi="Arial"/>
          <w:sz w:val="18"/>
          <w:szCs w:val="18"/>
          <w:color w:val="auto"/>
        </w:rPr>
      </w:pPr>
    </w:p>
    <w:p>
      <w:pPr>
        <w:ind w:left="1360" w:hanging="704"/>
        <w:spacing w:after="0"/>
        <w:tabs>
          <w:tab w:leader="none" w:pos="13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Clause (b) of Section 8.04 of the Credit Agreement is hereby amended and restated in its entirety to read as follows:</w:t>
      </w:r>
    </w:p>
    <w:p>
      <w:pPr>
        <w:spacing w:after="0" w:line="225" w:lineRule="exact"/>
        <w:rPr>
          <w:rFonts w:ascii="Arial" w:cs="Arial" w:eastAsia="Arial" w:hAnsi="Arial"/>
          <w:sz w:val="18"/>
          <w:szCs w:val="18"/>
          <w:color w:val="auto"/>
        </w:rPr>
      </w:pPr>
    </w:p>
    <w:p>
      <w:pPr>
        <w:ind w:left="1300" w:firstLine="653"/>
        <w:spacing w:after="0" w:line="279" w:lineRule="auto"/>
        <w:tabs>
          <w:tab w:leader="none" w:pos="2653" w:val="left"/>
        </w:tabs>
        <w:numPr>
          <w:ilvl w:val="1"/>
          <w:numId w:val="280"/>
        </w:numPr>
        <w:rPr>
          <w:rFonts w:ascii="Arial" w:cs="Arial" w:eastAsia="Arial" w:hAnsi="Arial"/>
          <w:sz w:val="17"/>
          <w:szCs w:val="17"/>
          <w:color w:val="auto"/>
        </w:rPr>
      </w:pPr>
      <w:r>
        <w:rPr>
          <w:rFonts w:ascii="Arial" w:cs="Arial" w:eastAsia="Arial" w:hAnsi="Arial"/>
          <w:sz w:val="17"/>
          <w:szCs w:val="17"/>
          <w:color w:val="auto"/>
        </w:rPr>
        <w:t xml:space="preserve">Liens (i) arising under the Revolving Credit Loan Documents that secure the Revolving Credit Obligations and (ii) on current assets constituting Collateral of Secured Obligors arising under the 364-Day Revolving Credit Documents and securing the 364-Day Revolving Credit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Liens described in this </w:t>
      </w:r>
      <w:r>
        <w:rPr>
          <w:rFonts w:ascii="Arial" w:cs="Arial" w:eastAsia="Arial" w:hAnsi="Arial"/>
          <w:sz w:val="17"/>
          <w:szCs w:val="17"/>
          <w:u w:val="single" w:color="auto"/>
          <w:color w:val="auto"/>
        </w:rPr>
        <w:t>Section 8.04(b)(ii)</w:t>
      </w:r>
      <w:r>
        <w:rPr>
          <w:rFonts w:ascii="Arial" w:cs="Arial" w:eastAsia="Arial" w:hAnsi="Arial"/>
          <w:sz w:val="17"/>
          <w:szCs w:val="17"/>
          <w:color w:val="auto"/>
        </w:rPr>
        <w:t xml:space="preserve"> shall at all times be junior in priority to the Liens securing the Secured Obligations in accordance with, and subject to, the terms of the Intercreditor Agreement;</w:t>
      </w:r>
    </w:p>
    <w:p>
      <w:pPr>
        <w:spacing w:after="0" w:line="171" w:lineRule="exact"/>
        <w:rPr>
          <w:rFonts w:ascii="Arial" w:cs="Arial" w:eastAsia="Arial" w:hAnsi="Arial"/>
          <w:sz w:val="17"/>
          <w:szCs w:val="17"/>
          <w:color w:val="auto"/>
        </w:rPr>
      </w:pPr>
    </w:p>
    <w:p>
      <w:pPr>
        <w:ind w:left="1360" w:hanging="704"/>
        <w:spacing w:after="0"/>
        <w:tabs>
          <w:tab w:leader="none" w:pos="136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Clause (f) of Section 8.04 of the Credit Agreement is hereby amended by replacing the amount “$25,000,000” therein with the amount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“$100,000,000”.</w:t>
      </w:r>
    </w:p>
    <w:p>
      <w:pPr>
        <w:spacing w:after="0" w:line="211" w:lineRule="exact"/>
        <w:rPr>
          <w:sz w:val="20"/>
          <w:szCs w:val="20"/>
          <w:color w:val="auto"/>
        </w:rPr>
      </w:pPr>
    </w:p>
    <w:p>
      <w:pPr>
        <w:ind w:left="1360" w:hanging="704"/>
        <w:spacing w:after="0"/>
        <w:tabs>
          <w:tab w:leader="none" w:pos="136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Clause (g) of Section 8.04 of the Credit Agreement is hereby amended by replacing the amount “$50,000,000” therein with the amount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“$15,000,000”.</w:t>
      </w:r>
    </w:p>
    <w:p>
      <w:pPr>
        <w:spacing w:after="0" w:line="210" w:lineRule="exact"/>
        <w:rPr>
          <w:rFonts w:ascii="Arial" w:cs="Arial" w:eastAsia="Arial" w:hAnsi="Arial"/>
          <w:sz w:val="16"/>
          <w:szCs w:val="16"/>
          <w:color w:val="auto"/>
        </w:rPr>
      </w:pPr>
    </w:p>
    <w:p>
      <w:pPr>
        <w:ind w:left="1360" w:hanging="704"/>
        <w:spacing w:after="0"/>
        <w:tabs>
          <w:tab w:leader="none" w:pos="13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Clause (d) of Section 8.08 of the Credit Agreement is hereby amended and restated in its entirety to read as follows:</w:t>
      </w:r>
    </w:p>
    <w:p>
      <w:pPr>
        <w:spacing w:after="0" w:line="225" w:lineRule="exact"/>
        <w:rPr>
          <w:rFonts w:ascii="Arial" w:cs="Arial" w:eastAsia="Arial" w:hAnsi="Arial"/>
          <w:sz w:val="18"/>
          <w:szCs w:val="18"/>
          <w:color w:val="auto"/>
        </w:rPr>
      </w:pPr>
    </w:p>
    <w:p>
      <w:pPr>
        <w:ind w:left="1300" w:right="340" w:firstLine="653"/>
        <w:spacing w:after="0" w:line="277" w:lineRule="auto"/>
        <w:tabs>
          <w:tab w:leader="none" w:pos="2653" w:val="left"/>
        </w:tabs>
        <w:numPr>
          <w:ilvl w:val="1"/>
          <w:numId w:val="282"/>
        </w:numPr>
        <w:rPr>
          <w:rFonts w:ascii="Arial" w:cs="Arial" w:eastAsia="Arial" w:hAnsi="Arial"/>
          <w:sz w:val="18"/>
          <w:szCs w:val="18"/>
          <w:color w:val="auto"/>
        </w:rPr>
      </w:pPr>
      <w:r>
        <w:rPr>
          <w:rFonts w:ascii="Arial" w:cs="Arial" w:eastAsia="Arial" w:hAnsi="Arial"/>
          <w:sz w:val="18"/>
          <w:szCs w:val="18"/>
          <w:color w:val="auto"/>
        </w:rPr>
        <w:t>WIL-Ireland and its Restricted Subsidiaries may make any prepayments under this Agreement, the Revolving Credit Agreement and the 364-Day Revolving Credit Agreement in accordance with the terms thereof;</w:t>
      </w:r>
    </w:p>
    <w:p>
      <w:pPr>
        <w:sectPr>
          <w:pgSz w:w="11900" w:h="16838" w:orient="portrait"/>
          <w:cols w:equalWidth="0" w:num="1">
            <w:col w:w="11400"/>
          </w:cols>
          <w:pgMar w:left="240" w:top="125" w:right="259" w:bottom="0" w:gutter="0" w:footer="0" w:header="0"/>
        </w:sectPr>
      </w:pPr>
    </w:p>
    <w:bookmarkStart w:id="97" w:name="page98"/>
    <w:bookmarkEnd w:id="97"/>
    <w:p>
      <w:pPr>
        <w:ind w:firstLine="656"/>
        <w:spacing w:after="0" w:line="277" w:lineRule="auto"/>
        <w:tabs>
          <w:tab w:leader="none" w:pos="1353" w:val="left"/>
        </w:tabs>
        <w:numPr>
          <w:ilvl w:val="0"/>
          <w:numId w:val="283"/>
        </w:numPr>
        <w:rPr>
          <w:rFonts w:ascii="Arial" w:cs="Arial" w:eastAsia="Arial" w:hAnsi="Arial"/>
          <w:sz w:val="18"/>
          <w:szCs w:val="18"/>
          <w:color w:val="auto"/>
        </w:rPr>
      </w:pPr>
      <w:r>
        <w:rPr>
          <w:rFonts w:ascii="Arial" w:cs="Arial" w:eastAsia="Arial" w:hAnsi="Arial"/>
          <w:sz w:val="18"/>
          <w:szCs w:val="18"/>
          <w:color w:val="auto"/>
        </w:rPr>
        <w:t>Clause (e) of Section 8.08 of the Credit Agreement is hereby amended by inserting the phrase “, in each case,” immediately after the phrase “(i) Redeem any Existing Senior Notes or other senior notes” therein.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60" w:hanging="704"/>
        <w:spacing w:after="0"/>
        <w:tabs>
          <w:tab w:leader="none" w:pos="13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8.09 of the Credit Agreement is hereby amended by inserting the following new clause (d) after clause (c) thereto:</w:t>
      </w:r>
    </w:p>
    <w:p>
      <w:pPr>
        <w:spacing w:after="0" w:line="225" w:lineRule="exact"/>
        <w:rPr>
          <w:rFonts w:ascii="Arial" w:cs="Arial" w:eastAsia="Arial" w:hAnsi="Arial"/>
          <w:sz w:val="18"/>
          <w:szCs w:val="18"/>
          <w:color w:val="auto"/>
        </w:rPr>
      </w:pPr>
    </w:p>
    <w:p>
      <w:pPr>
        <w:ind w:left="1300" w:firstLine="653"/>
        <w:spacing w:after="0" w:line="287" w:lineRule="auto"/>
        <w:tabs>
          <w:tab w:leader="none" w:pos="2653" w:val="left"/>
        </w:tabs>
        <w:numPr>
          <w:ilvl w:val="1"/>
          <w:numId w:val="284"/>
        </w:numPr>
        <w:rPr>
          <w:rFonts w:ascii="Arial" w:cs="Arial" w:eastAsia="Arial" w:hAnsi="Arial"/>
          <w:sz w:val="16"/>
          <w:szCs w:val="16"/>
          <w:color w:val="auto"/>
        </w:rPr>
      </w:pPr>
      <w:r>
        <w:rPr>
          <w:rFonts w:ascii="Arial" w:cs="Arial" w:eastAsia="Arial" w:hAnsi="Arial"/>
          <w:sz w:val="16"/>
          <w:szCs w:val="16"/>
          <w:u w:val="single" w:color="auto"/>
          <w:color w:val="auto"/>
        </w:rPr>
        <w:t>Current Asset Coverage Ratio</w:t>
      </w:r>
      <w:r>
        <w:rPr>
          <w:rFonts w:ascii="Arial" w:cs="Arial" w:eastAsia="Arial" w:hAnsi="Arial"/>
          <w:sz w:val="16"/>
          <w:szCs w:val="16"/>
          <w:color w:val="auto"/>
        </w:rPr>
        <w:t xml:space="preserve">. WIL-Ireland shall not, as of any Current Asset Coverage Ratio Test Date (commencing with the Current Asset Coverage Ratio Test Date occurring on September 30, 2018), permit the Current Asset Coverage Ratio to be less than 2.10 to 1.00; provided that, if the Collateral Perfection Period ends after September 30, 2018, the Current Asset Coverage Ratio as of September 30, 2018 shall not be less than 1.50 to 1.00. For the avoidance of doubt, (i) the Current Asset Coverage Ratio is an Additional Financial Covenant, (ii) the 364-Day Revolving Credit Agreement is the Other Debt Agreement with respect thereto and (iii) WIL-Ireland is required to comply with the Current Asset Coverage Ratio as provided in this </w:t>
      </w:r>
      <w:r>
        <w:rPr>
          <w:rFonts w:ascii="Arial" w:cs="Arial" w:eastAsia="Arial" w:hAnsi="Arial"/>
          <w:sz w:val="16"/>
          <w:szCs w:val="16"/>
          <w:u w:val="single" w:color="auto"/>
          <w:color w:val="auto"/>
        </w:rPr>
        <w:t>Section 8.09(d)</w:t>
      </w:r>
      <w:r>
        <w:rPr>
          <w:rFonts w:ascii="Arial" w:cs="Arial" w:eastAsia="Arial" w:hAnsi="Arial"/>
          <w:sz w:val="16"/>
          <w:szCs w:val="16"/>
          <w:color w:val="auto"/>
        </w:rPr>
        <w:t xml:space="preserve"> solely by operation, and subject to the terms and conditions, of </w:t>
      </w: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anything to the contrary in this Agreement, upon the repayment in full of the 364-Day Revolving Credit Facility and the termination of all commitments thereunder, this </w:t>
      </w:r>
      <w:r>
        <w:rPr>
          <w:rFonts w:ascii="Arial" w:cs="Arial" w:eastAsia="Arial" w:hAnsi="Arial"/>
          <w:sz w:val="16"/>
          <w:szCs w:val="16"/>
          <w:u w:val="single" w:color="auto"/>
          <w:color w:val="auto"/>
        </w:rPr>
        <w:t>Section 8.09(d)</w:t>
      </w:r>
      <w:r>
        <w:rPr>
          <w:rFonts w:ascii="Arial" w:cs="Arial" w:eastAsia="Arial" w:hAnsi="Arial"/>
          <w:sz w:val="16"/>
          <w:szCs w:val="16"/>
          <w:color w:val="auto"/>
        </w:rPr>
        <w:t xml:space="preserve"> shall be of no further force or effect. As used in this </w:t>
      </w:r>
      <w:r>
        <w:rPr>
          <w:rFonts w:ascii="Arial" w:cs="Arial" w:eastAsia="Arial" w:hAnsi="Arial"/>
          <w:sz w:val="16"/>
          <w:szCs w:val="16"/>
          <w:u w:val="single" w:color="auto"/>
          <w:color w:val="auto"/>
        </w:rPr>
        <w:t>Section 8.09</w:t>
      </w:r>
      <w:r>
        <w:rPr>
          <w:rFonts w:ascii="Arial" w:cs="Arial" w:eastAsia="Arial" w:hAnsi="Arial"/>
          <w:sz w:val="16"/>
          <w:szCs w:val="16"/>
          <w:color w:val="auto"/>
        </w:rPr>
        <w:t>, each of the terms Current Asset Coverage Ratio Test Date, Current Asset Coverage Ratio and Collateral Perfection Period shall have the meanings assigned thereto in the 364-Day Revolving Credit Agreement (taking into account all additional defined terms embedded therein, as such embedded terms are defined in the 364-Day Revolving Credit Agreement).</w:t>
      </w:r>
    </w:p>
    <w:p>
      <w:pPr>
        <w:spacing w:after="0" w:line="172" w:lineRule="exact"/>
        <w:rPr>
          <w:rFonts w:ascii="Arial" w:cs="Arial" w:eastAsia="Arial" w:hAnsi="Arial"/>
          <w:sz w:val="16"/>
          <w:szCs w:val="16"/>
          <w:color w:val="auto"/>
        </w:rPr>
      </w:pPr>
    </w:p>
    <w:p>
      <w:pPr>
        <w:ind w:right="260" w:firstLine="656"/>
        <w:spacing w:after="0" w:line="264" w:lineRule="auto"/>
        <w:tabs>
          <w:tab w:leader="none" w:pos="136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Clause (a) of Section 8.11 of the Credit Agreement is hereby amended by (i) deleting the second “or” appearing therein (that is, immediately after the words “Loan Documents” therein) and inserting a comma in its place, (ii) deleting the semicolon at the end thereof and (iii) inserting the words “and any of the 364-Day Revolving Credit Documents;” at the end thereof.</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8.14 of the Credit Agreement is hereby amended and restated in its entirety to read as follows:</w:t>
      </w:r>
    </w:p>
    <w:p>
      <w:pPr>
        <w:spacing w:after="0" w:line="225" w:lineRule="exact"/>
        <w:rPr>
          <w:sz w:val="20"/>
          <w:szCs w:val="20"/>
          <w:color w:val="auto"/>
        </w:rPr>
      </w:pPr>
    </w:p>
    <w:p>
      <w:pPr>
        <w:ind w:left="1300" w:right="80"/>
        <w:spacing w:after="0" w:line="253"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Amendments to Documents Governing Certain Indebtedness.</w:t>
      </w:r>
      <w:r>
        <w:rPr>
          <w:rFonts w:ascii="Arial" w:cs="Arial" w:eastAsia="Arial" w:hAnsi="Arial"/>
          <w:sz w:val="18"/>
          <w:szCs w:val="18"/>
          <w:color w:val="auto"/>
        </w:rPr>
        <w:t xml:space="preserve"> WIL-Ireland shall not, and shall not permit any Restricted Subsidiary to, amend or otherwise modify any of the documentation governing (a) (i) the Revolving Credit Facility or Permitted Refinancing Indebtedness in respect thereof, (ii) the 364-Day Revolving Credit Facility or Permitted Refinancing Indebtedness in respect thereof or (iii) any Existing Senior Notes or Permitted Refinancing Indebtedness in respect thereof, in each case to the extent that any such amendment or other modification, taken as a whole, would be materially adverse to the Lenders, (</w:t>
      </w:r>
      <w:r>
        <w:rPr>
          <w:rFonts w:ascii="Arial" w:cs="Arial" w:eastAsia="Arial" w:hAnsi="Arial"/>
          <w:sz w:val="18"/>
          <w:szCs w:val="18"/>
          <w:u w:val="single" w:color="auto"/>
          <w:color w:val="auto"/>
        </w:rPr>
        <w:t>provided that</w:t>
      </w:r>
      <w:r>
        <w:rPr>
          <w:rFonts w:ascii="Arial" w:cs="Arial" w:eastAsia="Arial" w:hAnsi="Arial"/>
          <w:sz w:val="18"/>
          <w:szCs w:val="18"/>
          <w:color w:val="auto"/>
        </w:rPr>
        <w:t>, for the avoidance of doubt, any amendment or other modification in order to incorporate (x) any Incremental Commitment (as defined in the Revolving Credit Agreement) permitted hereby, (y) any Incremental Commitments (as defined in the 364-Day Revolving Credit Agreement) permitted hereby or (z) the replacement of the Adjusted LIBO Rate or the LIBO Rate (each as defined in the Revolving Credit Agreement and the 364-Day Revolving Credit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Agreement) shall be deemed to not be materially adverse to the Lenders) (b) any unsecured Indebtedness incurred pursuant to</w:t>
      </w:r>
    </w:p>
    <w:p>
      <w:pPr>
        <w:spacing w:after="0" w:line="23" w:lineRule="exact"/>
        <w:rPr>
          <w:sz w:val="20"/>
          <w:szCs w:val="20"/>
          <w:color w:val="auto"/>
        </w:rPr>
      </w:pPr>
    </w:p>
    <w:p>
      <w:pPr>
        <w:ind w:left="1300" w:right="160"/>
        <w:spacing w:after="0" w:line="254" w:lineRule="auto"/>
        <w:rPr>
          <w:sz w:val="20"/>
          <w:szCs w:val="20"/>
          <w:color w:val="auto"/>
        </w:rPr>
      </w:pPr>
      <w:r>
        <w:rPr>
          <w:rFonts w:ascii="Arial" w:cs="Arial" w:eastAsia="Arial" w:hAnsi="Arial"/>
          <w:sz w:val="18"/>
          <w:szCs w:val="18"/>
          <w:u w:val="single" w:color="auto"/>
          <w:color w:val="auto"/>
        </w:rPr>
        <w:t>Section 8.01(k)</w:t>
      </w:r>
      <w:r>
        <w:rPr>
          <w:rFonts w:ascii="Arial" w:cs="Arial" w:eastAsia="Arial" w:hAnsi="Arial"/>
          <w:sz w:val="18"/>
          <w:szCs w:val="18"/>
          <w:color w:val="auto"/>
        </w:rPr>
        <w:t xml:space="preserve"> to reduce the stated maturity of any such Indebtedness to be sooner than 91 days after the latest to occur of the Revolving Credit Extended Maturity Date, the 364-Day Revolving Credit Maturity Date and the Term Loan Maturity Date or (c) any Subordinated Indebtedness incurred pursuant to </w:t>
      </w:r>
      <w:r>
        <w:rPr>
          <w:rFonts w:ascii="Arial" w:cs="Arial" w:eastAsia="Arial" w:hAnsi="Arial"/>
          <w:sz w:val="18"/>
          <w:szCs w:val="18"/>
          <w:u w:val="single" w:color="auto"/>
          <w:color w:val="auto"/>
        </w:rPr>
        <w:t>Section 8.01(l)</w:t>
      </w:r>
      <w:r>
        <w:rPr>
          <w:rFonts w:ascii="Arial" w:cs="Arial" w:eastAsia="Arial" w:hAnsi="Arial"/>
          <w:sz w:val="18"/>
          <w:szCs w:val="18"/>
          <w:color w:val="auto"/>
        </w:rPr>
        <w:t xml:space="preserve"> to amend or otherwise modify the subordination terms of such Indebtedness in a manner adverse to the Lenders.</w:t>
      </w:r>
    </w:p>
    <w:p>
      <w:pPr>
        <w:spacing w:after="0" w:line="190" w:lineRule="exact"/>
        <w:rPr>
          <w:sz w:val="20"/>
          <w:szCs w:val="20"/>
          <w:color w:val="auto"/>
        </w:rPr>
      </w:pPr>
    </w:p>
    <w:p>
      <w:pPr>
        <w:ind w:right="120" w:firstLine="656"/>
        <w:spacing w:after="0" w:line="277" w:lineRule="auto"/>
        <w:tabs>
          <w:tab w:leader="none" w:pos="135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Section 9.01 of the Credit Agreement is hereby amended by inserting “; or” immediately following clause (n) thereto, and by inserting the following new clause (o) thereafter:</w:t>
      </w:r>
    </w:p>
    <w:p>
      <w:pPr>
        <w:spacing w:after="0" w:line="170" w:lineRule="exact"/>
        <w:rPr>
          <w:rFonts w:ascii="Arial" w:cs="Arial" w:eastAsia="Arial" w:hAnsi="Arial"/>
          <w:sz w:val="18"/>
          <w:szCs w:val="18"/>
          <w:color w:val="auto"/>
        </w:rPr>
      </w:pPr>
    </w:p>
    <w:p>
      <w:pPr>
        <w:ind w:left="1300" w:right="220" w:firstLine="653"/>
        <w:spacing w:after="0" w:line="259" w:lineRule="auto"/>
        <w:tabs>
          <w:tab w:leader="none" w:pos="2653"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provisions of the Intercreditor Agreement shall for any reason (other than termination in accordance with its terms) be revoked or invalidated, or otherwise cease to be in full force and effect and binding under the laws of any applicable Specified Jurisdiction, or the Borrower or any Subsidiary of the Borrower shall contest in any manner the validity or enforceability thereof or deny that it has any further liability or obligation thereunder;</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Article X of the Credit Agreement is hereby amended by inserting the following at the end thereof:</w:t>
      </w:r>
    </w:p>
    <w:p>
      <w:pPr>
        <w:spacing w:after="0" w:line="225" w:lineRule="exact"/>
        <w:rPr>
          <w:sz w:val="20"/>
          <w:szCs w:val="20"/>
          <w:color w:val="auto"/>
        </w:rPr>
      </w:pPr>
    </w:p>
    <w:p>
      <w:pPr>
        <w:ind w:left="1300" w:right="160" w:firstLine="648"/>
        <w:spacing w:after="0" w:line="276" w:lineRule="auto"/>
        <w:rPr>
          <w:sz w:val="20"/>
          <w:szCs w:val="20"/>
          <w:color w:val="auto"/>
        </w:rPr>
      </w:pPr>
      <w:r>
        <w:rPr>
          <w:rFonts w:ascii="Arial" w:cs="Arial" w:eastAsia="Arial" w:hAnsi="Arial"/>
          <w:sz w:val="17"/>
          <w:szCs w:val="17"/>
          <w:color w:val="auto"/>
        </w:rPr>
        <w:t xml:space="preserve">Without limiting the authority granted to the Administrative Agent in this Article X, each Lender (including each Person that becomes a Lender hereunder pursuant to </w:t>
      </w:r>
      <w:r>
        <w:rPr>
          <w:rFonts w:ascii="Arial" w:cs="Arial" w:eastAsia="Arial" w:hAnsi="Arial"/>
          <w:sz w:val="17"/>
          <w:szCs w:val="17"/>
          <w:u w:val="single" w:color="auto"/>
          <w:color w:val="auto"/>
        </w:rPr>
        <w:t>Section 11.05</w:t>
      </w:r>
      <w:r>
        <w:rPr>
          <w:rFonts w:ascii="Arial" w:cs="Arial" w:eastAsia="Arial" w:hAnsi="Arial"/>
          <w:sz w:val="17"/>
          <w:szCs w:val="17"/>
          <w:color w:val="auto"/>
        </w:rPr>
        <w:t>) hereby authorizes and directs the Administrative Agent to enter into the Intercreditor Agreement on behalf of such Lender and agrees that the Administrative Agent may take such actions on its behalf as is contemplated by the terms of such Intercreditor Agreement. In the event of any conflict between the terms of the Intercreditor Agreement and this Agreement or the other Loan Documents, the terms of the Intercreditor Agreement shall govern and control.</w:t>
      </w:r>
    </w:p>
    <w:p>
      <w:pPr>
        <w:spacing w:after="0" w:line="173" w:lineRule="exact"/>
        <w:rPr>
          <w:sz w:val="20"/>
          <w:szCs w:val="20"/>
          <w:color w:val="auto"/>
        </w:rPr>
      </w:pPr>
    </w:p>
    <w:p>
      <w:pPr>
        <w:ind w:left="1300" w:right="80" w:firstLine="648"/>
        <w:spacing w:after="0" w:line="302" w:lineRule="auto"/>
        <w:rPr>
          <w:sz w:val="20"/>
          <w:szCs w:val="20"/>
          <w:color w:val="auto"/>
        </w:rPr>
      </w:pPr>
      <w:r>
        <w:rPr>
          <w:rFonts w:ascii="Arial" w:cs="Arial" w:eastAsia="Arial" w:hAnsi="Arial"/>
          <w:sz w:val="16"/>
          <w:szCs w:val="16"/>
          <w:color w:val="auto"/>
        </w:rPr>
        <w:t>In addition to the foregoing,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 or any other Loan Party, that at least one of the following is and will be true:</w:t>
      </w:r>
    </w:p>
    <w:p>
      <w:pPr>
        <w:spacing w:after="0" w:line="154" w:lineRule="exact"/>
        <w:rPr>
          <w:sz w:val="20"/>
          <w:szCs w:val="20"/>
          <w:color w:val="auto"/>
        </w:rPr>
      </w:pPr>
    </w:p>
    <w:p>
      <w:pPr>
        <w:ind w:left="1960" w:right="20" w:firstLine="641"/>
        <w:spacing w:after="0" w:line="277" w:lineRule="auto"/>
        <w:tabs>
          <w:tab w:leader="none" w:pos="2823" w:val="left"/>
        </w:tabs>
        <w:numPr>
          <w:ilvl w:val="0"/>
          <w:numId w:val="286"/>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 or the Commitments,</w:t>
      </w:r>
    </w:p>
    <w:p>
      <w:pPr>
        <w:spacing w:after="0" w:line="170" w:lineRule="exact"/>
        <w:rPr>
          <w:rFonts w:ascii="Arial" w:cs="Arial" w:eastAsia="Arial" w:hAnsi="Arial"/>
          <w:sz w:val="18"/>
          <w:szCs w:val="18"/>
          <w:color w:val="auto"/>
        </w:rPr>
      </w:pPr>
    </w:p>
    <w:p>
      <w:pPr>
        <w:ind w:left="1960" w:right="900" w:firstLine="641"/>
        <w:spacing w:after="0" w:line="308" w:lineRule="auto"/>
        <w:tabs>
          <w:tab w:leader="none" w:pos="2873"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w:t>
      </w:r>
    </w:p>
    <w:p>
      <w:pPr>
        <w:sectPr>
          <w:pgSz w:w="11900" w:h="16838" w:orient="portrait"/>
          <w:cols w:equalWidth="0" w:num="1">
            <w:col w:w="11420"/>
          </w:cols>
          <w:pgMar w:left="240" w:top="125" w:right="239" w:bottom="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98" w:name="page99"/>
    <w:bookmarkEnd w:id="98"/>
    <w:p>
      <w:pPr>
        <w:ind w:left="1960" w:right="60"/>
        <w:spacing w:after="0" w:line="255" w:lineRule="auto"/>
        <w:rPr>
          <w:sz w:val="20"/>
          <w:szCs w:val="20"/>
          <w:color w:val="auto"/>
        </w:rPr>
      </w:pPr>
      <w:r>
        <w:rPr>
          <w:rFonts w:ascii="Arial" w:cs="Arial" w:eastAsia="Arial" w:hAnsi="Arial"/>
          <w:sz w:val="18"/>
          <w:szCs w:val="18"/>
          <w:color w:val="auto"/>
        </w:rPr>
        <w:t>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 and the conditions for exemptive relief thereunder are and will continue to be satisfied in connection therewith,</w:t>
      </w:r>
    </w:p>
    <w:p>
      <w:pPr>
        <w:spacing w:after="0" w:line="193" w:lineRule="exact"/>
        <w:rPr>
          <w:sz w:val="20"/>
          <w:szCs w:val="20"/>
          <w:color w:val="auto"/>
        </w:rPr>
      </w:pPr>
    </w:p>
    <w:p>
      <w:pPr>
        <w:ind w:left="1960" w:right="60" w:firstLine="641"/>
        <w:spacing w:after="0" w:line="272" w:lineRule="auto"/>
        <w:tabs>
          <w:tab w:leader="none" w:pos="2923" w:val="left"/>
        </w:tabs>
        <w:numPr>
          <w:ilvl w:val="1"/>
          <w:numId w:val="287"/>
        </w:numPr>
        <w:rPr>
          <w:rFonts w:ascii="Arial" w:cs="Arial" w:eastAsia="Arial" w:hAnsi="Arial"/>
          <w:sz w:val="17"/>
          <w:szCs w:val="17"/>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77" w:lineRule="exact"/>
        <w:rPr>
          <w:rFonts w:ascii="Arial" w:cs="Arial" w:eastAsia="Arial" w:hAnsi="Arial"/>
          <w:sz w:val="17"/>
          <w:szCs w:val="17"/>
          <w:color w:val="auto"/>
        </w:rPr>
      </w:pPr>
    </w:p>
    <w:p>
      <w:pPr>
        <w:ind w:left="1960" w:right="180" w:firstLine="641"/>
        <w:spacing w:after="0" w:line="277" w:lineRule="auto"/>
        <w:tabs>
          <w:tab w:leader="none" w:pos="2913" w:val="left"/>
        </w:tabs>
        <w:numPr>
          <w:ilvl w:val="1"/>
          <w:numId w:val="287"/>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left="1300" w:right="20" w:firstLine="653"/>
        <w:spacing w:after="0" w:line="255" w:lineRule="auto"/>
        <w:tabs>
          <w:tab w:leader="none" w:pos="2203"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 or any other Loan Party, that:</w:t>
      </w:r>
    </w:p>
    <w:p>
      <w:pPr>
        <w:spacing w:after="0" w:line="193" w:lineRule="exact"/>
        <w:rPr>
          <w:rFonts w:ascii="Arial" w:cs="Arial" w:eastAsia="Arial" w:hAnsi="Arial"/>
          <w:sz w:val="18"/>
          <w:szCs w:val="18"/>
          <w:color w:val="auto"/>
        </w:rPr>
      </w:pPr>
    </w:p>
    <w:p>
      <w:pPr>
        <w:jc w:val="both"/>
        <w:ind w:left="1960" w:right="220" w:firstLine="641"/>
        <w:spacing w:after="0" w:line="286" w:lineRule="auto"/>
        <w:tabs>
          <w:tab w:leader="none" w:pos="2823" w:val="left"/>
        </w:tabs>
        <w:numPr>
          <w:ilvl w:val="1"/>
          <w:numId w:val="288"/>
        </w:numPr>
        <w:rPr>
          <w:rFonts w:ascii="Arial" w:cs="Arial" w:eastAsia="Arial" w:hAnsi="Arial"/>
          <w:sz w:val="17"/>
          <w:szCs w:val="17"/>
          <w:color w:val="auto"/>
        </w:rPr>
      </w:pPr>
      <w:r>
        <w:rPr>
          <w:rFonts w:ascii="Arial" w:cs="Arial" w:eastAsia="Arial" w:hAnsi="Arial"/>
          <w:sz w:val="17"/>
          <w:szCs w:val="17"/>
          <w:color w:val="auto"/>
        </w:rPr>
        <w:t>none of the Administrative Agent, or any Joint Lead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65" w:lineRule="exact"/>
        <w:rPr>
          <w:rFonts w:ascii="Arial" w:cs="Arial" w:eastAsia="Arial" w:hAnsi="Arial"/>
          <w:sz w:val="17"/>
          <w:szCs w:val="17"/>
          <w:color w:val="auto"/>
        </w:rPr>
      </w:pPr>
    </w:p>
    <w:p>
      <w:pPr>
        <w:ind w:left="1960" w:right="40" w:firstLine="641"/>
        <w:spacing w:after="0" w:line="277" w:lineRule="auto"/>
        <w:tabs>
          <w:tab w:leader="none" w:pos="2873"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80"/>
        <w:spacing w:after="0" w:line="288" w:lineRule="auto"/>
        <w:rPr>
          <w:sz w:val="20"/>
          <w:szCs w:val="20"/>
          <w:color w:val="auto"/>
        </w:rPr>
      </w:pPr>
      <w:r>
        <w:rPr>
          <w:rFonts w:ascii="Arial" w:cs="Arial" w:eastAsia="Arial" w:hAnsi="Arial"/>
          <w:sz w:val="16"/>
          <w:szCs w:val="16"/>
          <w:color w:val="auto"/>
        </w:rPr>
        <w:t>and performance of the Loans,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w:t>
      </w:r>
    </w:p>
    <w:p>
      <w:pPr>
        <w:ind w:left="1960"/>
        <w:spacing w:after="0"/>
        <w:rPr>
          <w:sz w:val="20"/>
          <w:szCs w:val="20"/>
          <w:color w:val="auto"/>
        </w:rPr>
      </w:pPr>
      <w:r>
        <w:rPr>
          <w:rFonts w:ascii="Arial" w:cs="Arial" w:eastAsia="Arial" w:hAnsi="Arial"/>
          <w:sz w:val="18"/>
          <w:szCs w:val="18"/>
          <w:color w:val="auto"/>
        </w:rPr>
        <w:t>(1)(i)(A)-(E),</w:t>
      </w:r>
    </w:p>
    <w:p>
      <w:pPr>
        <w:spacing w:after="0" w:line="211" w:lineRule="exact"/>
        <w:rPr>
          <w:sz w:val="20"/>
          <w:szCs w:val="20"/>
          <w:color w:val="auto"/>
        </w:rPr>
      </w:pPr>
    </w:p>
    <w:p>
      <w:pPr>
        <w:ind w:left="1960" w:firstLine="641"/>
        <w:spacing w:after="0" w:line="259" w:lineRule="auto"/>
        <w:tabs>
          <w:tab w:leader="none" w:pos="2923" w:val="left"/>
        </w:tabs>
        <w:numPr>
          <w:ilvl w:val="2"/>
          <w:numId w:val="289"/>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obligations),</w:t>
      </w:r>
    </w:p>
    <w:p>
      <w:pPr>
        <w:spacing w:after="0" w:line="186" w:lineRule="exact"/>
        <w:rPr>
          <w:rFonts w:ascii="Arial" w:cs="Arial" w:eastAsia="Arial" w:hAnsi="Arial"/>
          <w:sz w:val="18"/>
          <w:szCs w:val="18"/>
          <w:color w:val="auto"/>
        </w:rPr>
      </w:pPr>
    </w:p>
    <w:p>
      <w:pPr>
        <w:ind w:left="1960" w:firstLine="641"/>
        <w:spacing w:after="0" w:line="259" w:lineRule="auto"/>
        <w:tabs>
          <w:tab w:leader="none" w:pos="2913" w:val="left"/>
        </w:tabs>
        <w:numPr>
          <w:ilvl w:val="2"/>
          <w:numId w:val="289"/>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w:t>
      </w:r>
    </w:p>
    <w:p>
      <w:pPr>
        <w:spacing w:after="0" w:line="186" w:lineRule="exact"/>
        <w:rPr>
          <w:rFonts w:ascii="Arial" w:cs="Arial" w:eastAsia="Arial" w:hAnsi="Arial"/>
          <w:sz w:val="18"/>
          <w:szCs w:val="18"/>
          <w:color w:val="auto"/>
        </w:rPr>
      </w:pPr>
    </w:p>
    <w:p>
      <w:pPr>
        <w:jc w:val="both"/>
        <w:ind w:left="1960" w:right="120" w:firstLine="641"/>
        <w:spacing w:after="0" w:line="264" w:lineRule="auto"/>
        <w:tabs>
          <w:tab w:leader="none" w:pos="2863" w:val="left"/>
        </w:tabs>
        <w:numPr>
          <w:ilvl w:val="2"/>
          <w:numId w:val="289"/>
        </w:numPr>
        <w:rPr>
          <w:rFonts w:ascii="Arial" w:cs="Arial" w:eastAsia="Arial" w:hAnsi="Arial"/>
          <w:sz w:val="18"/>
          <w:szCs w:val="18"/>
          <w:color w:val="auto"/>
        </w:rPr>
      </w:pPr>
      <w:r>
        <w:rPr>
          <w:rFonts w:ascii="Arial" w:cs="Arial" w:eastAsia="Arial" w:hAnsi="Arial"/>
          <w:sz w:val="18"/>
          <w:szCs w:val="18"/>
          <w:color w:val="auto"/>
        </w:rPr>
        <w:t>no fee or other compensation is being paid directly to the Administrative Agent, or any Joint Lead Arranger or any of their respective Affiliates for investment advice (as opposed to other services) in connection with the Loans, the Commitments or this Agreement.</w:t>
      </w:r>
    </w:p>
    <w:p>
      <w:pPr>
        <w:spacing w:after="0" w:line="181" w:lineRule="exact"/>
        <w:rPr>
          <w:rFonts w:ascii="Arial" w:cs="Arial" w:eastAsia="Arial" w:hAnsi="Arial"/>
          <w:sz w:val="18"/>
          <w:szCs w:val="18"/>
          <w:color w:val="auto"/>
        </w:rPr>
      </w:pPr>
    </w:p>
    <w:p>
      <w:pPr>
        <w:ind w:left="1300" w:right="60" w:firstLine="653"/>
        <w:spacing w:after="0" w:line="270" w:lineRule="auto"/>
        <w:tabs>
          <w:tab w:leader="none" w:pos="219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The Administrative Agent, and each Joint Lead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77" w:lineRule="exact"/>
        <w:rPr>
          <w:rFonts w:ascii="Arial" w:cs="Arial" w:eastAsia="Arial" w:hAnsi="Arial"/>
          <w:sz w:val="17"/>
          <w:szCs w:val="17"/>
          <w:color w:val="auto"/>
        </w:rPr>
      </w:pPr>
    </w:p>
    <w:p>
      <w:pPr>
        <w:ind w:right="640" w:firstLine="656"/>
        <w:spacing w:after="0" w:line="308" w:lineRule="auto"/>
        <w:tabs>
          <w:tab w:leader="none" w:pos="1353" w:val="left"/>
        </w:tabs>
        <w:numPr>
          <w:ilvl w:val="0"/>
          <w:numId w:val="291"/>
        </w:numPr>
        <w:rPr>
          <w:rFonts w:ascii="Arial" w:cs="Arial" w:eastAsia="Arial" w:hAnsi="Arial"/>
          <w:sz w:val="17"/>
          <w:szCs w:val="17"/>
          <w:color w:val="auto"/>
        </w:rPr>
      </w:pPr>
      <w:r>
        <w:rPr>
          <w:rFonts w:ascii="Arial" w:cs="Arial" w:eastAsia="Arial" w:hAnsi="Arial"/>
          <w:sz w:val="17"/>
          <w:szCs w:val="17"/>
          <w:color w:val="auto"/>
        </w:rPr>
        <w:t>Clause (a) of Section 11.22 of the Credit Agreement is hereby amended by inserting the words “and the 364-Day Revolving Credit Facility” after the words “other than the Revolving Credit Facility” in the parenthetical included in clause (a)(iii)(B) thereof.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505" w:gutter="0" w:footer="0" w:header="0"/>
        </w:sectPr>
      </w:pPr>
    </w:p>
    <w:bookmarkStart w:id="99" w:name="page100"/>
    <w:bookmarkEnd w:id="99"/>
    <w:p>
      <w:pPr>
        <w:ind w:right="640" w:firstLine="656"/>
        <w:spacing w:after="0" w:line="277" w:lineRule="auto"/>
        <w:tabs>
          <w:tab w:leader="none" w:pos="1348" w:val="left"/>
        </w:tabs>
        <w:numPr>
          <w:ilvl w:val="0"/>
          <w:numId w:val="292"/>
        </w:numPr>
        <w:rPr>
          <w:rFonts w:ascii="Arial" w:cs="Arial" w:eastAsia="Arial" w:hAnsi="Arial"/>
          <w:sz w:val="18"/>
          <w:szCs w:val="18"/>
          <w:color w:val="auto"/>
        </w:rPr>
      </w:pPr>
      <w:r>
        <w:rPr>
          <w:rFonts w:ascii="Arial" w:cs="Arial" w:eastAsia="Arial" w:hAnsi="Arial"/>
          <w:sz w:val="18"/>
          <w:szCs w:val="18"/>
          <w:color w:val="auto"/>
        </w:rPr>
        <w:t>Clause (b) of Section 11.22 of the Credit Agreement is hereby amended by inserting the words “and the 364-Day Revolving Credit Facility” after the words “other than the Revolving Credit Facility” in the parenthetical included in clause (b)(B) thereof.</w:t>
      </w:r>
    </w:p>
    <w:p>
      <w:pPr>
        <w:spacing w:after="0" w:line="170" w:lineRule="exact"/>
        <w:rPr>
          <w:rFonts w:ascii="Arial" w:cs="Arial" w:eastAsia="Arial" w:hAnsi="Arial"/>
          <w:sz w:val="18"/>
          <w:szCs w:val="18"/>
          <w:color w:val="auto"/>
        </w:rPr>
      </w:pPr>
    </w:p>
    <w:p>
      <w:pPr>
        <w:ind w:right="100" w:firstLine="656"/>
        <w:spacing w:after="0" w:line="277" w:lineRule="auto"/>
        <w:tabs>
          <w:tab w:leader="none" w:pos="135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Schedule 1.01(C) (Initial Guarantors, to be renamed Guarantors on the Amendment No. 3 Effective Date) to the Credit Agreement (but no other Schedules thereto) is hereby amended to read as set forth in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hereto.</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Compliance with Section 8.14 of Credit Agreement; Consent to Intercreditor Agreement and Collateral Documents</w:t>
      </w:r>
      <w:r>
        <w:rPr>
          <w:rFonts w:ascii="Arial" w:cs="Arial" w:eastAsia="Arial" w:hAnsi="Arial"/>
          <w:sz w:val="16"/>
          <w:szCs w:val="16"/>
          <w:color w:val="auto"/>
        </w:rPr>
        <w:t>.</w:t>
      </w:r>
    </w:p>
    <w:p>
      <w:pPr>
        <w:spacing w:after="0" w:line="225" w:lineRule="exact"/>
        <w:rPr>
          <w:sz w:val="20"/>
          <w:szCs w:val="20"/>
          <w:color w:val="auto"/>
        </w:rPr>
      </w:pPr>
    </w:p>
    <w:p>
      <w:pPr>
        <w:ind w:right="220" w:firstLine="656"/>
        <w:spacing w:after="0" w:line="286" w:lineRule="auto"/>
        <w:tabs>
          <w:tab w:leader="none" w:pos="1343"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For the avoidance of doubt, and without in any way establishing a course of dealing, the Administrative Agent and the Required Lenders hereby confirm and agree that the amendments and modifications to the Revolving Credit Facility contemplated by Amendment No. 3 to Amended and Restated Credit Agreement thereto, dated as of the date hereof, do not violate the terms of </w:t>
      </w:r>
      <w:r>
        <w:rPr>
          <w:rFonts w:ascii="Arial" w:cs="Arial" w:eastAsia="Arial" w:hAnsi="Arial"/>
          <w:sz w:val="17"/>
          <w:szCs w:val="17"/>
          <w:u w:val="single" w:color="auto"/>
          <w:color w:val="auto"/>
        </w:rPr>
        <w:t>Section 8.14</w:t>
      </w:r>
      <w:r>
        <w:rPr>
          <w:rFonts w:ascii="Arial" w:cs="Arial" w:eastAsia="Arial" w:hAnsi="Arial"/>
          <w:sz w:val="17"/>
          <w:szCs w:val="17"/>
          <w:color w:val="auto"/>
        </w:rPr>
        <w:t xml:space="preserve"> of the Credit Agreement.</w:t>
      </w:r>
    </w:p>
    <w:p>
      <w:pPr>
        <w:spacing w:after="0" w:line="165" w:lineRule="exact"/>
        <w:rPr>
          <w:rFonts w:ascii="Arial" w:cs="Arial" w:eastAsia="Arial" w:hAnsi="Arial"/>
          <w:sz w:val="17"/>
          <w:szCs w:val="17"/>
          <w:color w:val="auto"/>
        </w:rPr>
      </w:pPr>
    </w:p>
    <w:p>
      <w:pPr>
        <w:ind w:right="100" w:firstLine="656"/>
        <w:spacing w:after="0" w:line="254" w:lineRule="auto"/>
        <w:tabs>
          <w:tab w:leader="none" w:pos="1353"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Lenders hereby authorize and instruct the Administrative Agent to execute, deliver and perform its obligations under (a) the Intercreditor Agreement to establish the relative rights and privileges of the parties with respect to certain assets of the Obligors constituting both Collateral and Collateral (as defined in the 364-Day Revolving Credit Agreement), (b) (i) amendments to existing Collateral Documents (including, without limitation, deposit account control agreements) and (ii) new Collateral Documents (including, without limitation, deposit account control agreements) or any other documents as may be necessary or appropriate in order to allow for the granting, perfection (or any analogous concept to the extent perfection does not apply in the relevant jurisdiction) and evidence of liens in favor of the 364-Day Revolving Credit Collateral Agent on behalf of the 364-Day Revolving Credit Secured Parties and (c) any other agreements, instruments and documents as may be necessary in furtherance of the transactions contemplated by the foregoing clauses (a) and (b).</w:t>
      </w:r>
    </w:p>
    <w:p>
      <w:pPr>
        <w:spacing w:after="0" w:line="19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Amendment Effective Date; Conditions Precedent</w:t>
      </w:r>
      <w:r>
        <w:rPr>
          <w:rFonts w:ascii="Arial" w:cs="Arial" w:eastAsia="Arial" w:hAnsi="Arial"/>
          <w:sz w:val="18"/>
          <w:szCs w:val="18"/>
          <w:color w:val="auto"/>
        </w:rPr>
        <w:t>. This Amendment shall only become effective on the date (the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 on which each of the following conditions precedent have been satisfied:</w:t>
      </w:r>
    </w:p>
    <w:p>
      <w:pPr>
        <w:spacing w:after="0" w:line="170" w:lineRule="exact"/>
        <w:rPr>
          <w:sz w:val="20"/>
          <w:szCs w:val="20"/>
          <w:color w:val="auto"/>
        </w:rPr>
      </w:pPr>
    </w:p>
    <w:p>
      <w:pPr>
        <w:ind w:left="1360" w:hanging="704"/>
        <w:spacing w:after="0"/>
        <w:tabs>
          <w:tab w:leader="none" w:pos="136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Administrative Agent shall have received the following, all in form and substance reasonably satisfactory to the Administrative Agent:</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 counterpart of this Amendment executed by the Obligor Parties and the Required Lenders;</w:t>
      </w:r>
    </w:p>
    <w:p>
      <w:pPr>
        <w:spacing w:after="0" w:line="225" w:lineRule="exact"/>
        <w:rPr>
          <w:rFonts w:ascii="Arial" w:cs="Arial" w:eastAsia="Arial" w:hAnsi="Arial"/>
          <w:sz w:val="18"/>
          <w:szCs w:val="18"/>
          <w:color w:val="auto"/>
        </w:rPr>
      </w:pPr>
    </w:p>
    <w:p>
      <w:pPr>
        <w:ind w:left="1960" w:hanging="655"/>
        <w:spacing w:after="0" w:line="264" w:lineRule="auto"/>
        <w:tabs>
          <w:tab w:leader="none" w:pos="1991" w:val="left"/>
        </w:tabs>
        <w:numPr>
          <w:ilvl w:val="1"/>
          <w:numId w:val="294"/>
        </w:numPr>
        <w:rPr>
          <w:rFonts w:ascii="Arial" w:cs="Arial" w:eastAsia="Arial" w:hAnsi="Arial"/>
          <w:sz w:val="18"/>
          <w:szCs w:val="18"/>
          <w:color w:val="auto"/>
        </w:rPr>
      </w:pPr>
      <w:r>
        <w:rPr>
          <w:rFonts w:ascii="Arial" w:cs="Arial" w:eastAsia="Arial" w:hAnsi="Arial"/>
          <w:sz w:val="18"/>
          <w:szCs w:val="18"/>
          <w:color w:val="auto"/>
        </w:rPr>
        <w:t xml:space="preserve">from each Obligor other than Weatherford Capital Management Services Limited Liability Company and Weatherford Investments Holding B.V., for which liquidation proceedings have already commenced, a Reaffirmation in the form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Reaffirmation</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counterparts of the Intercreditor Agreement executed by each party thereto;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60" w:hanging="704"/>
        <w:spacing w:after="0"/>
        <w:tabs>
          <w:tab w:leader="none" w:pos="13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occurrence of the “Effective Date” under and as defined in the 364-Day Revolving Credit Agreement;</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the occurrence of the “Amendment Effective Date” under and as defined in Amendment No. 3 to Amended and Restated Credit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 and</w:t>
      </w:r>
    </w:p>
    <w:p>
      <w:pPr>
        <w:spacing w:after="0" w:line="210" w:lineRule="exact"/>
        <w:rPr>
          <w:rFonts w:ascii="Arial" w:cs="Arial" w:eastAsia="Arial" w:hAnsi="Arial"/>
          <w:sz w:val="17"/>
          <w:szCs w:val="17"/>
          <w:color w:val="auto"/>
        </w:rPr>
      </w:pPr>
    </w:p>
    <w:p>
      <w:pPr>
        <w:ind w:right="60" w:firstLine="656"/>
        <w:spacing w:after="0" w:line="257" w:lineRule="auto"/>
        <w:tabs>
          <w:tab w:leader="none" w:pos="1353"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Obligor Parties shall have paid (i) to the Administrative Agent, the Lead Arrangers and the Lenders, as applicable, all fees and other amounts agreed upon by such parties to be paid on or prior to the Amendment Effective Date and (ii) to the extent invoiced at or before 1:00 p.m., New York City time, on the Business Day immediately prior to the Amendment Effective Date, all fees and out-of-pocket expenses required to be reimbursed or paid by the Obligor Parties pursuant to Section 11.03 of the Credit Agreement or any other Loan Document (including, to the extent invoiced, reimbursement of fees and expenses of the Administrative Agent’s counsels).</w:t>
      </w:r>
    </w:p>
    <w:p>
      <w:pPr>
        <w:spacing w:after="0" w:line="18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To induce the other parties hereto to enter into this Amendment, each of the Obligor Parties represents and warrants that, after giving effect to each of the amendments set forth in this Amendment:</w:t>
      </w:r>
    </w:p>
    <w:p>
      <w:pPr>
        <w:spacing w:after="0" w:line="170" w:lineRule="exact"/>
        <w:rPr>
          <w:sz w:val="20"/>
          <w:szCs w:val="20"/>
          <w:color w:val="auto"/>
        </w:rPr>
      </w:pPr>
    </w:p>
    <w:p>
      <w:pPr>
        <w:ind w:firstLine="656"/>
        <w:spacing w:after="0" w:line="273" w:lineRule="auto"/>
        <w:tabs>
          <w:tab w:leader="none" w:pos="1343" w:val="left"/>
        </w:tabs>
        <w:numPr>
          <w:ilvl w:val="0"/>
          <w:numId w:val="296"/>
        </w:numPr>
        <w:rPr>
          <w:rFonts w:ascii="Arial" w:cs="Arial" w:eastAsia="Arial" w:hAnsi="Arial"/>
          <w:sz w:val="17"/>
          <w:szCs w:val="17"/>
          <w:color w:val="auto"/>
        </w:rPr>
      </w:pPr>
      <w:r>
        <w:rPr>
          <w:rFonts w:ascii="Arial" w:cs="Arial" w:eastAsia="Arial" w:hAnsi="Arial"/>
          <w:sz w:val="17"/>
          <w:szCs w:val="17"/>
          <w:color w:val="auto"/>
        </w:rPr>
        <w:t>the representations and warranties set forth in Article VI of the Credit Agreement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the Amendment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w:t>
      </w:r>
    </w:p>
    <w:p>
      <w:pPr>
        <w:spacing w:after="0" w:line="178" w:lineRule="exact"/>
        <w:rPr>
          <w:rFonts w:ascii="Arial" w:cs="Arial" w:eastAsia="Arial" w:hAnsi="Arial"/>
          <w:sz w:val="17"/>
          <w:szCs w:val="17"/>
          <w:color w:val="auto"/>
        </w:rPr>
      </w:pPr>
    </w:p>
    <w:p>
      <w:pPr>
        <w:ind w:left="1360" w:hanging="704"/>
        <w:spacing w:after="0"/>
        <w:tabs>
          <w:tab w:leader="none" w:pos="13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Amendment Effective Date; and</w:t>
      </w:r>
    </w:p>
    <w:p>
      <w:pPr>
        <w:spacing w:after="0" w:line="225" w:lineRule="exact"/>
        <w:rPr>
          <w:rFonts w:ascii="Arial" w:cs="Arial" w:eastAsia="Arial" w:hAnsi="Arial"/>
          <w:sz w:val="18"/>
          <w:szCs w:val="18"/>
          <w:color w:val="auto"/>
        </w:rPr>
      </w:pPr>
    </w:p>
    <w:p>
      <w:pPr>
        <w:jc w:val="both"/>
        <w:ind w:right="180" w:firstLine="656"/>
        <w:spacing w:after="0" w:line="264" w:lineRule="auto"/>
        <w:tabs>
          <w:tab w:leader="none" w:pos="1343"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this Amendment constitutes the legal, valid and binding obligation of each of the Obligor Parties, enforceable against each of the Obligor Parties in accordance with its terms, except as enforceability may be limited by applicable bankruptcy, insolvency, or similar laws affecting the enforcement of creditors’ rights generally or by equitable principles of general applicability.</w:t>
      </w:r>
    </w:p>
    <w:p>
      <w:pPr>
        <w:spacing w:after="0" w:line="18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Confirmation of Loan Documents</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86" w:lineRule="auto"/>
        <w:tabs>
          <w:tab w:leader="none" w:pos="1343" w:val="left"/>
        </w:tabs>
        <w:numPr>
          <w:ilvl w:val="1"/>
          <w:numId w:val="297"/>
        </w:numPr>
        <w:rPr>
          <w:rFonts w:ascii="Arial" w:cs="Arial" w:eastAsia="Arial" w:hAnsi="Arial"/>
          <w:sz w:val="16"/>
          <w:szCs w:val="16"/>
          <w:color w:val="auto"/>
        </w:rPr>
      </w:pPr>
      <w:r>
        <w:rPr>
          <w:rFonts w:ascii="Arial" w:cs="Arial" w:eastAsia="Arial" w:hAnsi="Arial"/>
          <w:sz w:val="16"/>
          <w:szCs w:val="16"/>
          <w:color w:val="auto"/>
        </w:rPr>
        <w:t>Each Obligor Party hereby confirms and agrees that, except as expressly contemplated hereby, the terms, provisions, conditions and covenants of the Credit Agreement and the other Loan Documents remain in full force and effect and are hereby ratified and confirmed, and the execution, delivery and performance of this Amendment shall not, except as expressly set forth in this Amendment, operate as a waiver of, consent to or amendment of any term, provision, condition or covenant of the Credit Agreement or any other Loan Document. Without limiting the foregoing, each Obligor Party hereby</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agrees that except to the extent expressly provided in the Agreement, this Amendment and the transactions contemplated hereby</w:t>
      </w:r>
    </w:p>
    <w:p>
      <w:pPr>
        <w:sectPr>
          <w:pgSz w:w="11900" w:h="16838" w:orient="portrait"/>
          <w:cols w:equalWidth="0" w:num="1">
            <w:col w:w="11420"/>
          </w:cols>
          <w:pgMar w:left="240" w:top="125" w:right="239" w:bottom="123"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100" w:name="page101"/>
    <w:bookmarkEnd w:id="100"/>
    <w:p>
      <w:pPr>
        <w:ind w:right="20"/>
        <w:spacing w:after="0" w:line="269" w:lineRule="auto"/>
        <w:rPr>
          <w:sz w:val="20"/>
          <w:szCs w:val="20"/>
          <w:color w:val="auto"/>
        </w:rPr>
      </w:pPr>
      <w:r>
        <w:rPr>
          <w:rFonts w:ascii="Arial" w:cs="Arial" w:eastAsia="Arial" w:hAnsi="Arial"/>
          <w:sz w:val="17"/>
          <w:szCs w:val="17"/>
          <w:color w:val="auto"/>
        </w:rPr>
        <w:t>shall not limit or diminish its obligations arising under or pursuant to the Loan Documents and (ii) confirms, ratifies and reaffirms all of its payment and performance obligations, contingent or otherwise, under the Loan Documents, including under the Affiliate Guaranty. Without limiting the foregoing, each Obligor Party hereby confirms and agrees that except pursuant hereto or as expressly contemplated or amended hereby, nothing contained herein shall be deemed (a) to constitute a waiver of compliance or consent to noncompliance by any Obligor with respect to any term, provision, condition or covenant of the Credit Agreement, the Amended Credit Agreement or any other Loan Document; or (b) to prejudice any right or remedy that the Administrative Agent or any Lender may now have or may have in the future under or in connection with the Credit Agreement, the Amended Credit Agreement or any other Loan Document; or (c) to change or modify its or any other Obligor’s obligations as a guarantor, debtor, pledgor, assignor, obligor and/or grantor under any of the Loan Documents and shall not constitute a waiver by the Administrative Agent or the Lenders of any of their rights against any Obligor. Each Obligor Party represents and acknowledges that it has no claims, counterclaims, offsets, credits or defenses to any of the Loan Documents or the performance of its obligations thereunder. This Amendment is not in any way intended to constitute a novation of the obligations and liabilities existing under the Credit Agreement and the existing Loan Documents.</w:t>
      </w:r>
    </w:p>
    <w:p>
      <w:pPr>
        <w:spacing w:after="0" w:line="183" w:lineRule="exact"/>
        <w:rPr>
          <w:sz w:val="20"/>
          <w:szCs w:val="20"/>
          <w:color w:val="auto"/>
        </w:rPr>
      </w:pPr>
    </w:p>
    <w:p>
      <w:pPr>
        <w:ind w:right="20" w:firstLine="656"/>
        <w:spacing w:after="0" w:line="255" w:lineRule="auto"/>
        <w:tabs>
          <w:tab w:leader="none" w:pos="1353" w:val="left"/>
        </w:tabs>
        <w:numPr>
          <w:ilvl w:val="0"/>
          <w:numId w:val="299"/>
        </w:numPr>
        <w:rPr>
          <w:rFonts w:ascii="Arial" w:cs="Arial" w:eastAsia="Arial" w:hAnsi="Arial"/>
          <w:sz w:val="18"/>
          <w:szCs w:val="18"/>
          <w:color w:val="auto"/>
        </w:rPr>
      </w:pPr>
      <w:r>
        <w:rPr>
          <w:rFonts w:ascii="Arial" w:cs="Arial" w:eastAsia="Arial" w:hAnsi="Arial"/>
          <w:sz w:val="18"/>
          <w:szCs w:val="18"/>
          <w:color w:val="auto"/>
        </w:rPr>
        <w:t>Without limiting the foregoing clause (a), each Obligor Party hereby acknowledges and ratifies, on behalf of itself and each other Obligor, the existence and priority of the Liens granted by the Obligors in and to the Collateral in favor of the Secured Parties, and each filing with a Governmental Authority in connection therewith, and represents and warrants, on behalf of itself and each other Obligor, that such Liens and security interests are valid, existing and in full force and effect. Each Obligor Party agrees, on behalf of itself and each other Obligor, that all references in any Collateral Document to the “Secured Obligations” shall include, without limitation, all of the obligations of WIL-Bermuda to the Administrative Agent and the Lenders under the this Amendment and the Amended Credit Agreement.</w:t>
      </w:r>
    </w:p>
    <w:p>
      <w:pPr>
        <w:spacing w:after="0" w:line="19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From and after the Amendment Effective Date hereof, each reference in the Credit Agreement to “this Agreement”, “hereof”, or “hereunder” or words of like import, and all references to the Credit Agreement in any and all agreements, instruments, documents, notes, certificates, guaranties and other writings of every kind and nature shall be deemed to mean the Amended Credit Agreement. This Amendment shall constitute a Loan Document for all purposes of the Credit Agreement and the other Loan Documents.</w:t>
      </w:r>
    </w:p>
    <w:p>
      <w:pPr>
        <w:spacing w:after="0" w:line="17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Costs and Expenses</w:t>
      </w:r>
      <w:r>
        <w:rPr>
          <w:rFonts w:ascii="Arial" w:cs="Arial" w:eastAsia="Arial" w:hAnsi="Arial"/>
          <w:sz w:val="18"/>
          <w:szCs w:val="18"/>
          <w:color w:val="auto"/>
        </w:rPr>
        <w:t>. Pursuant to the terms of Section 11.03 of the Credit Agreement, WIL-Bermuda agrees to pay all reasonable and documented out-of-pocket expenses incurred by the Administrative Agent and its Affiliates in connection with the preparation, execution and enforcement of this Amendment.</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and all other documents executed in connection herewith and the rights and obligations of the parties hereto and thereto, shall be construed in accordance with and governed by the law of the State of New York.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Amendment are included herein for convenience of reference only and shall not constitute a part of this Amendment for any other purpose.</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Counterparts; Integration; Effectiveness</w:t>
      </w:r>
      <w:r>
        <w:rPr>
          <w:rFonts w:ascii="Arial" w:cs="Arial" w:eastAsia="Arial" w:hAnsi="Arial"/>
          <w:sz w:val="18"/>
          <w:szCs w:val="18"/>
          <w:color w:val="auto"/>
        </w:rPr>
        <w:t>. This Amendment may be executed in counterparts (and by different parties hereto on different counterparts), each of which shall constitute an original, but all of which when taken together shall constitute a single contract. This Amendment, the Amended Credit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Amendment shall become effective on the Amendment Effective Date, and thereafter shall be binding upon and inure to the benefit of the parties hereto and their respective successors and assigns. Delivery of an executed counterpart of a signature page to this Amendment by facsimile transmission or electronic transmission (in .pdf form) shall be effective for all purposes as delivery of a manually executed counterpart of this Amendment.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Remainder of page intentionally left blank; signature pages follow.</w:t>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WITNESS WHEREOF, the parties hereto have caused this Amendment to be duly executed by their respective authorized officers as of the day and year first above written.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WIL-Bermuda: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Bermuda exempted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Mohammed Dadhiwala</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WIL- IRELAND: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ectPr>
          <w:pgSz w:w="11900" w:h="16838" w:orient="portrait"/>
          <w:cols w:equalWidth="0" w:num="1">
            <w:col w:w="11420"/>
          </w:cols>
          <w:pgMar w:left="240" w:top="341" w:right="239" w:bottom="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an Irish public limited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Bryant</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Timothy Bryant</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C. Miller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Jeffrey C. Miller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Director</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C. Miller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Jeffrey C. Miller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Director</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NEW YORK BRANCH</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Ming K. Chu</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Ming K. Chu</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Director</w:t>
            </w:r>
          </w:p>
        </w:tc>
      </w:tr>
      <w:tr>
        <w:trPr>
          <w:trHeight w:val="64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Virginia Cosenza</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Virginia Cosenza</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Tribolet</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Michael A. Tribolet</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SKANDINAVISKA ENSKILDA BANKEN AB (PUBL)</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Penny Neville-Park</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Penny Neville-Park</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ectPr>
          <w:pgSz w:w="11900" w:h="16838" w:orient="portrait"/>
          <w:cols w:equalWidth="0" w:num="1">
            <w:col w:w="10219"/>
          </w:cols>
          <w:pgMar w:left="240" w:top="125" w:right="1440" w:bottom="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Alison Butt</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Alison Butt</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TORONTO-DOMINION BANK, NEW YORK BRANCH</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Annie Dorval</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Annie Dorval</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ROYAL BANK OF CANADA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Leslie P. Vowell</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Leslie P. Vowell</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Attorney-in-Fact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BARCLAYS BANK PLC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Sydney G. Dennis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Sydney G. Dennis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2000"/>
        <w:spacing w:after="0"/>
        <w:rPr>
          <w:sz w:val="20"/>
          <w:szCs w:val="20"/>
          <w:color w:val="auto"/>
        </w:rPr>
      </w:pPr>
      <w:r>
        <w:rPr>
          <w:rFonts w:ascii="Arial" w:cs="Arial" w:eastAsia="Arial" w:hAnsi="Arial"/>
          <w:sz w:val="18"/>
          <w:szCs w:val="18"/>
          <w:color w:val="auto"/>
        </w:rPr>
        <w:t>UNICREDIT BANK AG, NEW YORK BRANCH</w:t>
      </w:r>
    </w:p>
    <w:p>
      <w:pPr>
        <w:spacing w:after="0" w:line="200" w:lineRule="exact"/>
        <w:rPr>
          <w:sz w:val="20"/>
          <w:szCs w:val="20"/>
          <w:color w:val="auto"/>
        </w:rPr>
      </w:pPr>
    </w:p>
    <w:p>
      <w:pPr>
        <w:spacing w:after="0" w:line="241"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 Novellino</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Michael D. Novellino</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Director</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Obeck</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Scott Obeck</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BANCO BILBAO VIZCAYA ARGENTARIA, S.A. NEW YORK BRANCH</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Crowley</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Brian Crowley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64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Miriam Trautmann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Miriam Trautmann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ectPr>
          <w:pgSz w:w="11900" w:h="16838" w:orient="portrait"/>
          <w:cols w:equalWidth="0" w:num="1">
            <w:col w:w="11420"/>
          </w:cols>
          <w:pgMar w:left="240" w:top="341" w:right="239" w:bottom="0" w:gutter="0" w:footer="0" w:header="0"/>
        </w:sectPr>
      </w:pPr>
    </w:p>
    <w:bookmarkStart w:id="103" w:name="page104"/>
    <w:bookmarkEnd w:id="103"/>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ADVANCED SERIES TRUST - AST BLACKROCK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GLOBAL STRATEGIES PORTFOLIO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BlackRock Financial Management, Inc., its Sub-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Advisor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BlackRock Corporate High Yield Fund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Advisors, LLC, its Investment Advisor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BlackRock Credit Strategies Income Fund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BlackRock Funds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BlackRock Advisors, LLC, its Investment Advisor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BlackRock Floating Rate Income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Advisors, LLC, its Investment Advisor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BlackRock Floating Rate Income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Advisors, LLC, its Investment Advisor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626"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BlackRock Global Investment Series: Income Strategies Portfolio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Financial Management, Inc., its Sub-Advisor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ABR Reinsurance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Financial Management, Inc.,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BlackRock Core Bond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Advisors, LLC, its Investment 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BlackRock Debt Strategies Fund,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Financial Management, Inc., its Sub-Advisor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BlackRock Floating Rate Income Strategies Fund,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Financial Management, Inc., its Sub-Advisor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BlackRock Funds II, BlackRock High Yield Bond Portfolio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Advisors, LLC, its Investment 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613"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BlackRock Funds II, BlackRock Multi-Asset Income Portfolio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Advisors, LLC, its Investment 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BlackRock High Yield Portfolio of the BlackRock Series Fund,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Advisors, LLC, its Investment 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BlackRock High Yield V.I. Fund of BlackRock Variable Series Funds,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Advisors, LLC, its investment 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BlackRock Limited Duration Income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Financial Management, Inc., its Sub-Advisor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BlackRock Multi-Sector Income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Advisors, LLC, as Investment 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BlackRock Senior Floating Rate Portfolio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Investment Management, LLC, its Investment 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Brighthouse Funds Trust I - BlackRock High Yield Portfolio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BY: BlackRock Financial Management, Inc., its Investment Advisor</w:t>
      </w:r>
    </w:p>
    <w:p>
      <w:pPr>
        <w:sectPr>
          <w:pgSz w:w="11900" w:h="16838" w:orient="portrait"/>
          <w:cols w:equalWidth="0" w:num="1">
            <w:col w:w="10219"/>
          </w:cols>
          <w:pgMar w:left="240" w:top="125" w:right="1440" w:bottom="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California State Teachers’ Retirement System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Financial Management, Inc., its Investment 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Consumer Program Administrators,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Financial Management, Inc. its 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Fixed Income Opportunities Nero,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Financial Management Inc., Its 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Global High Yield Bond Fund, a series of DSBI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Global Investment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BlackRock Financial Management, Inc.,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JPMBI re Blackrock Bankloan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Financial Management Inc., as Sub-Advisor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Metropolitan Life Insurance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Financial Management, Inc. as</w:t>
      </w:r>
    </w:p>
    <w:p>
      <w:pPr>
        <w:sectPr>
          <w:pgSz w:w="11900" w:h="16838" w:orient="portrait"/>
          <w:cols w:equalWidth="0" w:num="1">
            <w:col w:w="10219"/>
          </w:cols>
          <w:pgMar w:left="240" w:top="341" w:right="1440" w:bottom="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investment manager to Metropolitan Life Insurance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on behalf of its Separate Account No. 479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Permanens Capital Floating Rate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Financial Management Inc., Its Sub-Advisor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PPL Services Corporation Master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Financial Management Inc.,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PNC Financial Services Group, Inc. Pension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BlackRock Financial Management, Inc.,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 Jacobi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 Jacobi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Invesco BL Fund,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Invesco Management S.A. As 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Egan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Kevin Egan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Individual</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Invesco Dynamic Credit Opportunities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Invesco Senior Secured Management, Inc. as Subadvisor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Egan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Kevin Egan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Individual</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613"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Invesco Floating Rate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Invesco Senior Secured Management, Inc. as Sub-Adviser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Egan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Kevin Egan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Individual</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Invesco Floating Rate Income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Invesco Senior Secured Management, Inc. as Sub-Adviser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Egan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Kevin Egan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Individual</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Invesco Gemini US Loan Fund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Invesco Senior Secured Management, Inc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Egan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Kevin Egan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Individual</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Invesco Senior Income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Invesco Senior Secured Management, Inc. as Subadvisor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Egan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Kevin Egan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Individual</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Invesco Senior Loan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Invesco Senior Secured Management, Inc. as Subadvisor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Egan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Kevin Egan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Individual</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INVESCO SSL FUND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Invesco Senior Secured Management, Inc.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Egan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Kevin Egan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Individual</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613"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Invesco Zodiac Funds - Invesco Global Senior Loan Select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Invesco Senior Secured Management, Inc.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Egan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Kevin Egan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Individual</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Invesco Zodiac Funds - Invesco US Senior Loan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Invesco Senior Secured Management, Inc.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Egan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Kevin Egan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Individual</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Kaiser Foundation Hospitals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Invesco Senior Secured Management, Inc.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Egan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Kevin Egan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Individual</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Cedar Funding II CLO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Krystle Walker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Krystle Walker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Associate Director - Settlement</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Cedar Funding IV CLO,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Krystle Walker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Krystle Walker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Associate Director - Settlement</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Cedar Funding IX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AEGON USA Investment Management, LLC,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Portfolio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Krystle Walker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Krystle Walker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Associate Director - Settlement</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613"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Cedar Funding V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AEGON USA Investment Management, LLC, as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Krystle Walker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Krystle Walker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Associate Director - Settlement</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Cedar Funding VI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AEGON USA Investment Management, LLC, as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Krystle Walker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Krystle Walker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Associate Director - Settlement</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MARATHON CLO VI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Marathon Asset Management L.P. Its Portfolio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Friedman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Jason Friedman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B&amp;M CLO 2014-1,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Heitkemper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John Heitkemper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Portfolio Manager</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Gilmore Oliphant</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Gilmore Oliphant</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 Broyles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Brian S. Broyles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Attorney-In-Fact</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FLAGSHIP CLO VIII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Deutsche Investment Management Americas Inc., As Interim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w:t>
      </w:r>
    </w:p>
    <w:p>
      <w:pPr>
        <w:sectPr>
          <w:pgSz w:w="11900" w:h="16838" w:orient="portrait"/>
          <w:cols w:equalWidth="0" w:num="1">
            <w:col w:w="10219"/>
          </w:cols>
          <w:pgMar w:left="240" w:top="125" w:right="1440" w:bottom="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Rigazio</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Mark Rigazio</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Director, Portfolio Manager</w:t>
            </w:r>
          </w:p>
        </w:tc>
      </w:tr>
      <w:tr>
        <w:trPr>
          <w:trHeight w:val="64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Coles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Jeff Coles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FLAGSHIP VII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Deutsche Investment Management Americas Inc., As Interim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Rigazio</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Mark Rigazio</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Director, Portfolio Manager</w:t>
            </w:r>
          </w:p>
        </w:tc>
      </w:tr>
      <w:tr>
        <w:trPr>
          <w:trHeight w:val="64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Coles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Jeff Coles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GoldenTree Loan Management US CLO 1,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GoldenTree Loan Management LP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Karen Weber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Karen Weber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GoldenTree Loan Opportunities IX,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GoldenTree Asset Management, LP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Karen Weber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Karen Weber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GoldenTree Loan Opportunities XII,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GoldenTree Asset Management, LP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Karen Weber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Karen Weber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GT Loan Financing I,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GoldenTree Asset Management, LP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Karen Weber</w:t>
            </w:r>
          </w:p>
        </w:tc>
      </w:tr>
      <w:tr>
        <w:trPr>
          <w:trHeight w:val="224"/>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Karen Weber</w:t>
            </w:r>
          </w:p>
        </w:tc>
      </w:tr>
    </w:tbl>
    <w:p>
      <w:pPr>
        <w:sectPr>
          <w:pgSz w:w="11900" w:h="16838" w:orient="portrait"/>
          <w:cols w:equalWidth="0" w:num="1">
            <w:col w:w="10219"/>
          </w:cols>
          <w:pgMar w:left="240" w:top="341" w:right="1440" w:bottom="0" w:gutter="0" w:footer="0" w:header="0"/>
        </w:sectPr>
      </w:pPr>
    </w:p>
    <w:bookmarkStart w:id="112" w:name="page113"/>
    <w:bookmarkEnd w:id="112"/>
    <w:p>
      <w:pPr>
        <w:spacing w:after="0"/>
        <w:tabs>
          <w:tab w:leader="none" w:pos="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25"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Chudzik, Asc.</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Sean Chudzik, Asc.</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Massachusetts Fidelity Trust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Krystle Walker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Krystle Walker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Associate Director - Settlements</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BSG Fund Management B.V. on behalf of the Stichting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Blue Sky Active Fixed Income US Leveraged Loan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THL Credit Senior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Strategies LLC, as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Fellows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James R. Fellows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Director/Co-Head</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ILLINOIS STATE BOARD OF INVESTMENT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THL Credit Senior Loan Strategies LLC, as 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Fellows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James R. Fellows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Director/Co-Head</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Russell Investment Company Multi-Asset Growth Strategy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THL Credit Advisors LLC,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Fellows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James R. Fellows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Director/Co-Head</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Russell Investment Company Russell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Opportunistic Credit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THL Credit Advisors LLC, as 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Fellows</w:t>
            </w:r>
          </w:p>
        </w:tc>
      </w:tr>
      <w:tr>
        <w:trPr>
          <w:trHeight w:val="224"/>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James R. Fellows</w:t>
            </w:r>
          </w:p>
        </w:tc>
      </w:tr>
    </w:tbl>
    <w:p>
      <w:pPr>
        <w:sectPr>
          <w:pgSz w:w="11900" w:h="16838" w:orient="portrait"/>
          <w:cols w:equalWidth="0" w:num="1">
            <w:col w:w="10219"/>
          </w:cols>
          <w:pgMar w:left="240" w:top="125" w:right="1440" w:bottom="0" w:gutter="0" w:footer="0" w:header="0"/>
        </w:sectPr>
      </w:pPr>
    </w:p>
    <w:bookmarkStart w:id="113" w:name="page114"/>
    <w:bookmarkEnd w:id="113"/>
    <w:p>
      <w:pPr>
        <w:spacing w:after="0"/>
        <w:tabs>
          <w:tab w:leader="none" w:pos="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Director/Co-Head</w:t>
      </w:r>
    </w:p>
    <w:p>
      <w:pPr>
        <w:spacing w:after="0" w:line="225"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Russell Investment Company Russell Multi-Strategy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THL Credit Advisors LLC, as 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Fellows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James R. Fellows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Director/Co-Head</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Russell Investment Company Russell Short Duration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Bond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THL Credit Advisors LLC, as 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Fellows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James R. Fellows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Director/Co-Head</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Russell Investment Company Unconstrained Total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Return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THL Credit Advisors LLC, as 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Fellows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James R. Fellows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Director/Co-Head</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Russell Investments Global Unconstrained Bond Pool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THL Credit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Fellows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James R. Fellows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Director/Co-Head</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Russell Investments Institutional Funds LLC Absolute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Return Fixed Income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THL Credit Advisors LLC,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Fellows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James R. Fellows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Director/Co-Head</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Russell Investments Institutional Funds, LLC Multi-</w:t>
      </w:r>
    </w:p>
    <w:p>
      <w:pPr>
        <w:sectPr>
          <w:pgSz w:w="11900" w:h="16838" w:orient="portrait"/>
          <w:cols w:equalWidth="0" w:num="1">
            <w:col w:w="10219"/>
          </w:cols>
          <w:pgMar w:left="240" w:top="125" w:right="1440" w:bottom="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color w:val="auto"/>
        </w:rPr>
        <w:t>Asset Core Plus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THL Credit Advisors LLC, as 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Fellows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James R. Fellows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Director/Co-Head</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Russell Investments Ireland Limited on behalf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Russell Floating Rate Fund, a subfund of Russell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Qualifying Investor Alternative Investment Funds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THL Credit Advisors LLC, as 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Fellows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James R. Fellows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Director/Co-Head</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Smithfield Foods Master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THL Credit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Fellows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James R. Fellows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Director/Co-Head</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Stichting Pensioenfonds Hoogovens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THL Credit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Asset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Fellows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James R. Fellows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Director/Co-Head</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THL Credit Bank Loan Select Master Fund, a Class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THL Credit Bank Loan Select Series Trust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THL Credit Senior Loan Strategies LLC,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Fellows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James R. Fellows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Director/Co-Head</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THL Credit Wind River 2012-1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THL Credit Senior Loan Strategies LLC,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Fellows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James R. Fellows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Director/Co-Head</w:t>
            </w:r>
          </w:p>
        </w:tc>
      </w:tr>
    </w:tbl>
    <w:p>
      <w:pPr>
        <w:sectPr>
          <w:pgSz w:w="11900" w:h="16838" w:orient="portrait"/>
          <w:cols w:equalWidth="0" w:num="1">
            <w:col w:w="10219"/>
          </w:cols>
          <w:pgMar w:left="240" w:top="125" w:right="1440" w:bottom="0" w:gutter="0" w:footer="0" w:header="0"/>
        </w:sectPr>
      </w:pPr>
    </w:p>
    <w:bookmarkStart w:id="115" w:name="page116"/>
    <w:bookmarkEnd w:id="115"/>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THL Credit Wind River 2014-1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THL Credit Advisors LLC,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Fellows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James R. Fellows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Director/Co-Head</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THL Credit Wind River 2014-2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THL Credit Senior Loan Strategies LLC,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Fellows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James R. Fellows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Director/Co-Head</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THL Credit Wind River 2015-1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THL Credit Senior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Strategies LLC, as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Fellows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James R. Fellows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Director/Co-Head</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THL Credit Wind River 2015-2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THL Credit Senior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Strategies LLC, its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Fellows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James R. Fellows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Director/Co-Head</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Canoe Floating Rate Income Fund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Krystle Walker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Krystle Walker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Associate Director - Settlements</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Combustion Engineering 524 (g) Asbestos PI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Krystle Walker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Krystle Walker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Associate Director - Settlements</w:t>
            </w:r>
          </w:p>
        </w:tc>
      </w:tr>
    </w:tbl>
    <w:p>
      <w:pPr>
        <w:sectPr>
          <w:pgSz w:w="11900" w:h="16838" w:orient="portrait"/>
          <w:cols w:equalWidth="0" w:num="1">
            <w:col w:w="10219"/>
          </w:cols>
          <w:pgMar w:left="240" w:top="125" w:right="1440" w:bottom="0" w:gutter="0" w:footer="0" w:header="0"/>
        </w:sectPr>
      </w:pPr>
    </w:p>
    <w:bookmarkStart w:id="116" w:name="page117"/>
    <w:bookmarkEnd w:id="116"/>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Los Angeles City Employees’ Retirement System</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Krystle Walker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Krystle Walker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Associate Director - Settlements</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Transamerica Aegon High Yield Bond VP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Krystle Walker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Krystle Walker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Associate Director - Settlements</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Transamerica Floating Rate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Krystle Walker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Krystle Walker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Associate Director - Settlements</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Transamerica High Yield Bond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Krystle Walker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Krystle Walker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Associate Director - Settlements</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Cedar Funding VII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AEGON USA Investment Management, LLC, as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Krystle Walker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Krystle Walker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Associate Director - Settlements</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Cedar Funding VIII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AEGON USA Investment Management, LLC, as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Krystle Walker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Krystle Walker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Associate Director - Settlements</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329"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Ares XXXIR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Ares CLO Management LLC, its Asset Manager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Hayward</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Daniel Hayward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Ares XLIV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Ares CLO Management II LLC, its Asset Manager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Hayward</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Daniel Hayward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Ares XXXIV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Ares CLO Management LLC, its Asset Manager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Hayward</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Daniel Hayward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Ares XLVI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Ares CLO Management LLC, as its Asset Manager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Hayward</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Daniel Hayward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Ares XL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Ares CLO Management II LLC, its Asset Manager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Hayward</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Daniel Hayward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Ares XXXVII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Ares CLO Management LLC, its Asset Manager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Hayward</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Daniel Hayward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Ares XLIII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Ares CLO Management LLC, its Asset Manager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Hayward</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Daniel Hayward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Ares XLI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Ares CLO Management LLC, its Asset Manager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Hayward</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Daniel Hayward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ectPr>
          <w:pgSz w:w="11900" w:h="16838" w:orient="portrait"/>
          <w:cols w:equalWidth="0" w:num="1">
            <w:col w:w="10219"/>
          </w:cols>
          <w:pgMar w:left="240" w:top="341" w:right="1440" w:bottom="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Ares XLVII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Ares CLO Management II LLC, as its Asset Manager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Hayward</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Daniel Hayward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Ares XXXIX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Ares CLO Management II LLC, its Asset Manager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Hayward</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Daniel Hayward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Ares XXXIIR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Ares CLO Management LLC, its Asset Manager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Hayward</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Daniel Hayward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Ares XLVIII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Ares CLO Management II LLC, as its Asset Manager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Hayward</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Daniel Hayward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Ares XLIX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Ares CLO Management LLC, its Asset Manager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Hayward</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Daniel Hayward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Ares XLII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Ares CLO Management LLC, its Asset Manager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Hayward</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Daniel Hayward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Ares XXXVIII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Ares CLO Management II LLC, its Asset Manager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Hayward</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Daniel Hayward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ARES XXVII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Ares CLO Management LLC, its Asset Manager</w:t>
      </w:r>
    </w:p>
    <w:p>
      <w:pPr>
        <w:sectPr>
          <w:pgSz w:w="11900" w:h="16838" w:orient="portrait"/>
          <w:cols w:equalWidth="0" w:num="1">
            <w:col w:w="10219"/>
          </w:cols>
          <w:pgMar w:left="240" w:top="557" w:right="1440" w:bottom="0" w:gutter="0" w:footer="0" w:header="0"/>
        </w:sectPr>
      </w:pPr>
    </w:p>
    <w:bookmarkStart w:id="119" w:name="page120"/>
    <w:bookmarkEnd w:id="119"/>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Hayward</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Daniel Hayward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Ares XLV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Ares CLO Management II LLC, its Asset Manager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Hayward</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Daniel Hayward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Ares XXXVR CLO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Ares CLO Management LLC, its Asset Manager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Hayward</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Daniel Hayward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Dunham Floating Rate Bond Fund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Kyle Jennings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Kyle Jennings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Virtus Newfleet Dynamic Credit ETF</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Kyle Jennings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Kyle Jennings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Virtus Newfleet Senior Floating Rate Fund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Kyle Jennings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Kyle Jennings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MARATHON CLO VI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Marathon Asset Management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Portfolio Manager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Friedman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Jason Friedman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3 to Term Loan Agreement</w:t>
      </w:r>
    </w:p>
    <w:p>
      <w:pPr>
        <w:sectPr>
          <w:pgSz w:w="11900" w:h="16887" w:orient="portrait"/>
          <w:cols w:equalWidth="0" w:num="1">
            <w:col w:w="10219"/>
          </w:cols>
          <w:pgMar w:left="240" w:top="557" w:right="1440" w:bottom="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t>Annex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Schedule 1.01C to Credit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Attached.</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1.01C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INITIAL GUARANTORS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Australia Initial Guarantor: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Australia Pty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Bermuda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International Drilling Company Limited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Sabre Drilling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Bermuda Holdings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International Holding (Bermuda)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Pangaea Holdings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Services,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Holdings (Bermuda)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International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WOFS Assurance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Colombia Limited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Drilling International (BVI)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Drilling International Holdings (BVI)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Holdings (BVI)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Oil Tool Middle East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Canada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Canada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Deutsche Holding (Canada) ULC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(Nova Scotia) ULC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England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Eurasia Limited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U.K.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Ireland Initial Guarantor: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Luxembourg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European Holdings (Luxembourg) S.à r.l.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International (Luxembourg) Holdings S.à r.l.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Netherlands Initial Guarantor: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Netherlands B.V.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Norway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Norge AS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Laboratories (Norway)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Panama Initial Guarantor: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Services S. de R.L.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Switzerland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Management Company Switzerland Sarl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Products GmbH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Switzerland Trading and Development GmbH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Worldwide Holdings GmbH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WOFS International Finance GmbH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WOFS Swiss Finance GmbH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Holdings (Switzerland) GmbH</w:t>
      </w:r>
    </w:p>
    <w:p>
      <w:pPr>
        <w:sectPr>
          <w:pgSz w:w="11900" w:h="16838" w:orient="portrait"/>
          <w:cols w:equalWidth="0" w:num="1">
            <w:col w:w="11420"/>
          </w:cols>
          <w:pgMar w:left="240" w:top="1053" w:right="239" w:bottom="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United States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PD Holdings (USA), 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Precision Drilling Holdings,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Precision Drilling LP,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Precision USA Holdings,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Precision Energy Services,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Artificial Lift Systems,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Investment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International,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Holdings U.S.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Weatherford/Lamb,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Limited Partner,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U.S. Holdings,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U.S., 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WEUS Holding,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Precision Drilling Technology Services Group (USA) Inc.</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Precision Oilfield Services, LLP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Visual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364-DAY REVOLVING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AUGUST 16,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BERMUDA EXEMPTED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OTHER BORROWERS PARTY HERETO,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BORROWERS,</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AN IRISH PUBLIC LIMITED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LENDERS PARTY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JPMORGAN CHASE BANK, N.A.,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ADMINISTRATIVE AGENT AND A SWINGLINE LENDER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MORGAN STANLEY SENIOR FUNDING,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COLLATERAL 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JPMORGAN CHASE BANK, N.A., WELLS FARGO SECURITIES,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CITIBANK, N.A., DEUTSCHE BANK SECURITIES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MORGAN STANLEY SENIOR FUNDING,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JOINT LEAD ARRANGERS AND JOINT BOOKRUNNERS,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SECURITIES,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SYNDICATION AGENT,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CITIBANK, N.A., DEUTSCHE BANK SECURITIES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MORGAN STANLEY SENIOR FUNDING,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91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8"/>
              </w:rPr>
              <w:t>TABLE OF CONTENTS</w:t>
            </w:r>
          </w:p>
        </w:tc>
        <w:tc>
          <w:tcPr>
            <w:tcW w:w="980" w:type="dxa"/>
            <w:vAlign w:val="bottom"/>
          </w:tcPr>
          <w:p>
            <w:pPr>
              <w:spacing w:after="0"/>
              <w:rPr>
                <w:sz w:val="17"/>
                <w:szCs w:val="17"/>
                <w:color w:val="auto"/>
              </w:rPr>
            </w:pPr>
          </w:p>
        </w:tc>
      </w:tr>
      <w:tr>
        <w:trPr>
          <w:trHeight w:val="385"/>
        </w:trPr>
        <w:tc>
          <w:tcPr>
            <w:tcW w:w="12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760" w:type="dxa"/>
            <w:vAlign w:val="bottom"/>
          </w:tcPr>
          <w:p>
            <w:pPr>
              <w:spacing w:after="0"/>
              <w:rPr>
                <w:sz w:val="24"/>
                <w:szCs w:val="24"/>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r>
      <w:tr>
        <w:trPr>
          <w:trHeight w:val="411"/>
        </w:trPr>
        <w:tc>
          <w:tcPr>
            <w:tcW w:w="12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680" w:type="dxa"/>
            <w:vAlign w:val="bottom"/>
            <w:gridSpan w:val="2"/>
          </w:tcPr>
          <w:p>
            <w:pPr>
              <w:jc w:val="center"/>
              <w:ind w:right="3780"/>
              <w:spacing w:after="0"/>
              <w:rPr>
                <w:sz w:val="20"/>
                <w:szCs w:val="20"/>
                <w:color w:val="auto"/>
              </w:rPr>
            </w:pPr>
            <w:r>
              <w:rPr>
                <w:rFonts w:ascii="Arial" w:cs="Arial" w:eastAsia="Arial" w:hAnsi="Arial"/>
                <w:sz w:val="18"/>
                <w:szCs w:val="18"/>
                <w:color w:val="auto"/>
                <w:w w:val="99"/>
              </w:rPr>
              <w:t>ARTICLE I</w:t>
            </w:r>
          </w:p>
        </w:tc>
        <w:tc>
          <w:tcPr>
            <w:tcW w:w="98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9180" w:type="dxa"/>
            <w:vAlign w:val="bottom"/>
            <w:gridSpan w:val="3"/>
          </w:tcPr>
          <w:p>
            <w:pPr>
              <w:jc w:val="center"/>
              <w:ind w:right="260"/>
              <w:spacing w:after="0"/>
              <w:rPr>
                <w:sz w:val="20"/>
                <w:szCs w:val="20"/>
                <w:color w:val="auto"/>
              </w:rPr>
            </w:pPr>
            <w:r>
              <w:rPr>
                <w:rFonts w:ascii="Arial" w:cs="Arial" w:eastAsia="Arial" w:hAnsi="Arial"/>
                <w:sz w:val="18"/>
                <w:szCs w:val="18"/>
                <w:color w:val="auto"/>
                <w:w w:val="96"/>
              </w:rPr>
              <w:t>DEFINITIONS; ACCOUNTING TERMS; INTERPRETATION</w:t>
            </w:r>
          </w:p>
        </w:tc>
        <w:tc>
          <w:tcPr>
            <w:tcW w:w="980" w:type="dxa"/>
            <w:vAlign w:val="bottom"/>
          </w:tcPr>
          <w:p>
            <w:pPr>
              <w:spacing w:after="0"/>
              <w:rPr>
                <w:sz w:val="20"/>
                <w:szCs w:val="20"/>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Section 1.01</w:t>
            </w:r>
          </w:p>
        </w:tc>
        <w:tc>
          <w:tcPr>
            <w:tcW w:w="9180" w:type="dxa"/>
            <w:vAlign w:val="bottom"/>
            <w:gridSpan w:val="3"/>
          </w:tcPr>
          <w:p>
            <w:pPr>
              <w:ind w:left="360"/>
              <w:spacing w:after="0"/>
              <w:rPr>
                <w:sz w:val="20"/>
                <w:szCs w:val="20"/>
                <w:color w:val="auto"/>
              </w:rPr>
            </w:pPr>
            <w:r>
              <w:rPr>
                <w:rFonts w:ascii="Arial" w:cs="Arial" w:eastAsia="Arial" w:hAnsi="Arial"/>
                <w:sz w:val="18"/>
                <w:szCs w:val="18"/>
                <w:color w:val="auto"/>
              </w:rPr>
              <w:t>Definitions</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1.02</w:t>
            </w:r>
          </w:p>
        </w:tc>
        <w:tc>
          <w:tcPr>
            <w:tcW w:w="9180" w:type="dxa"/>
            <w:vAlign w:val="bottom"/>
            <w:gridSpan w:val="3"/>
          </w:tcPr>
          <w:p>
            <w:pPr>
              <w:ind w:left="360"/>
              <w:spacing w:after="0"/>
              <w:rPr>
                <w:sz w:val="20"/>
                <w:szCs w:val="20"/>
                <w:color w:val="auto"/>
              </w:rPr>
            </w:pPr>
            <w:r>
              <w:rPr>
                <w:rFonts w:ascii="Arial" w:cs="Arial" w:eastAsia="Arial" w:hAnsi="Arial"/>
                <w:sz w:val="18"/>
                <w:szCs w:val="18"/>
                <w:color w:val="auto"/>
              </w:rPr>
              <w:t>Types of Borrowings</w:t>
            </w: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1.03</w:t>
            </w:r>
          </w:p>
        </w:tc>
        <w:tc>
          <w:tcPr>
            <w:tcW w:w="9180" w:type="dxa"/>
            <w:vAlign w:val="bottom"/>
            <w:gridSpan w:val="3"/>
          </w:tcPr>
          <w:p>
            <w:pPr>
              <w:ind w:left="360"/>
              <w:spacing w:after="0"/>
              <w:rPr>
                <w:sz w:val="20"/>
                <w:szCs w:val="20"/>
                <w:color w:val="auto"/>
              </w:rPr>
            </w:pPr>
            <w:r>
              <w:rPr>
                <w:rFonts w:ascii="Arial" w:cs="Arial" w:eastAsia="Arial" w:hAnsi="Arial"/>
                <w:sz w:val="18"/>
                <w:szCs w:val="18"/>
                <w:color w:val="auto"/>
              </w:rPr>
              <w:t>Accounting Terms; Changes in GAAP; Pro Forma Computations</w:t>
            </w: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1.04</w:t>
            </w:r>
          </w:p>
        </w:tc>
        <w:tc>
          <w:tcPr>
            <w:tcW w:w="9180" w:type="dxa"/>
            <w:vAlign w:val="bottom"/>
            <w:gridSpan w:val="3"/>
          </w:tcPr>
          <w:p>
            <w:pPr>
              <w:ind w:left="360"/>
              <w:spacing w:after="0"/>
              <w:rPr>
                <w:sz w:val="20"/>
                <w:szCs w:val="20"/>
                <w:color w:val="auto"/>
              </w:rPr>
            </w:pPr>
            <w:r>
              <w:rPr>
                <w:rFonts w:ascii="Arial" w:cs="Arial" w:eastAsia="Arial" w:hAnsi="Arial"/>
                <w:sz w:val="18"/>
                <w:szCs w:val="18"/>
                <w:color w:val="auto"/>
              </w:rPr>
              <w:t>Pro Forma Calculations of Current Asset Coverage Ratio</w:t>
            </w: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1.05</w:t>
            </w:r>
          </w:p>
        </w:tc>
        <w:tc>
          <w:tcPr>
            <w:tcW w:w="9180" w:type="dxa"/>
            <w:vAlign w:val="bottom"/>
            <w:gridSpan w:val="3"/>
          </w:tcPr>
          <w:p>
            <w:pPr>
              <w:ind w:left="360"/>
              <w:spacing w:after="0"/>
              <w:rPr>
                <w:sz w:val="20"/>
                <w:szCs w:val="20"/>
                <w:color w:val="auto"/>
              </w:rPr>
            </w:pPr>
            <w:r>
              <w:rPr>
                <w:rFonts w:ascii="Arial" w:cs="Arial" w:eastAsia="Arial" w:hAnsi="Arial"/>
                <w:sz w:val="18"/>
                <w:szCs w:val="18"/>
                <w:color w:val="auto"/>
              </w:rPr>
              <w:t>Interpretation</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18"/>
        </w:trPr>
        <w:tc>
          <w:tcPr>
            <w:tcW w:w="12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680" w:type="dxa"/>
            <w:vAlign w:val="bottom"/>
            <w:gridSpan w:val="2"/>
          </w:tcPr>
          <w:p>
            <w:pPr>
              <w:jc w:val="center"/>
              <w:ind w:right="3760"/>
              <w:spacing w:after="0"/>
              <w:rPr>
                <w:sz w:val="20"/>
                <w:szCs w:val="20"/>
                <w:color w:val="auto"/>
              </w:rPr>
            </w:pPr>
            <w:r>
              <w:rPr>
                <w:rFonts w:ascii="Arial" w:cs="Arial" w:eastAsia="Arial" w:hAnsi="Arial"/>
                <w:sz w:val="18"/>
                <w:szCs w:val="18"/>
                <w:color w:val="auto"/>
              </w:rPr>
              <w:t>ARTICLE II</w:t>
            </w:r>
          </w:p>
        </w:tc>
        <w:tc>
          <w:tcPr>
            <w:tcW w:w="98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9180" w:type="dxa"/>
            <w:vAlign w:val="bottom"/>
            <w:gridSpan w:val="3"/>
          </w:tcPr>
          <w:p>
            <w:pPr>
              <w:jc w:val="center"/>
              <w:ind w:right="260"/>
              <w:spacing w:after="0"/>
              <w:rPr>
                <w:sz w:val="20"/>
                <w:szCs w:val="20"/>
                <w:color w:val="auto"/>
              </w:rPr>
            </w:pPr>
            <w:r>
              <w:rPr>
                <w:rFonts w:ascii="Arial" w:cs="Arial" w:eastAsia="Arial" w:hAnsi="Arial"/>
                <w:sz w:val="18"/>
                <w:szCs w:val="18"/>
                <w:color w:val="auto"/>
                <w:w w:val="98"/>
              </w:rPr>
              <w:t>COMMITMENTS; LOANS</w:t>
            </w:r>
          </w:p>
        </w:tc>
        <w:tc>
          <w:tcPr>
            <w:tcW w:w="980" w:type="dxa"/>
            <w:vAlign w:val="bottom"/>
          </w:tcPr>
          <w:p>
            <w:pPr>
              <w:spacing w:after="0"/>
              <w:rPr>
                <w:sz w:val="20"/>
                <w:szCs w:val="20"/>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Section 2.01</w:t>
            </w:r>
          </w:p>
        </w:tc>
        <w:tc>
          <w:tcPr>
            <w:tcW w:w="9180" w:type="dxa"/>
            <w:vAlign w:val="bottom"/>
            <w:gridSpan w:val="3"/>
          </w:tcPr>
          <w:p>
            <w:pPr>
              <w:ind w:left="360"/>
              <w:spacing w:after="0"/>
              <w:rPr>
                <w:sz w:val="20"/>
                <w:szCs w:val="20"/>
                <w:color w:val="auto"/>
              </w:rPr>
            </w:pPr>
            <w:r>
              <w:rPr>
                <w:rFonts w:ascii="Arial" w:cs="Arial" w:eastAsia="Arial" w:hAnsi="Arial"/>
                <w:sz w:val="18"/>
                <w:szCs w:val="18"/>
                <w:color w:val="auto"/>
              </w:rPr>
              <w:t>Revolving Credit Loans</w:t>
            </w: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2.02</w:t>
            </w:r>
          </w:p>
        </w:tc>
        <w:tc>
          <w:tcPr>
            <w:tcW w:w="9180" w:type="dxa"/>
            <w:vAlign w:val="bottom"/>
            <w:gridSpan w:val="3"/>
          </w:tcPr>
          <w:p>
            <w:pPr>
              <w:ind w:left="360"/>
              <w:spacing w:after="0"/>
              <w:rPr>
                <w:sz w:val="20"/>
                <w:szCs w:val="20"/>
                <w:color w:val="auto"/>
              </w:rPr>
            </w:pPr>
            <w:r>
              <w:rPr>
                <w:rFonts w:ascii="Arial" w:cs="Arial" w:eastAsia="Arial" w:hAnsi="Arial"/>
                <w:sz w:val="18"/>
                <w:szCs w:val="18"/>
                <w:color w:val="auto"/>
              </w:rPr>
              <w:t>Requests for Borrowings of Revolving Credit Loans</w:t>
            </w: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2.03</w:t>
            </w:r>
          </w:p>
        </w:tc>
        <w:tc>
          <w:tcPr>
            <w:tcW w:w="9180" w:type="dxa"/>
            <w:vAlign w:val="bottom"/>
            <w:gridSpan w:val="3"/>
          </w:tcPr>
          <w:p>
            <w:pPr>
              <w:ind w:left="360"/>
              <w:spacing w:after="0"/>
              <w:rPr>
                <w:sz w:val="20"/>
                <w:szCs w:val="20"/>
                <w:color w:val="auto"/>
              </w:rPr>
            </w:pPr>
            <w:r>
              <w:rPr>
                <w:rFonts w:ascii="Arial" w:cs="Arial" w:eastAsia="Arial" w:hAnsi="Arial"/>
                <w:sz w:val="18"/>
                <w:szCs w:val="18"/>
                <w:color w:val="auto"/>
              </w:rPr>
              <w:t>Swingline Loans</w:t>
            </w: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2.04</w:t>
            </w:r>
          </w:p>
        </w:tc>
        <w:tc>
          <w:tcPr>
            <w:tcW w:w="9180" w:type="dxa"/>
            <w:vAlign w:val="bottom"/>
            <w:gridSpan w:val="3"/>
          </w:tcPr>
          <w:p>
            <w:pPr>
              <w:ind w:left="360"/>
              <w:spacing w:after="0"/>
              <w:rPr>
                <w:sz w:val="20"/>
                <w:szCs w:val="20"/>
                <w:color w:val="auto"/>
              </w:rPr>
            </w:pPr>
            <w:r>
              <w:rPr>
                <w:rFonts w:ascii="Arial" w:cs="Arial" w:eastAsia="Arial" w:hAnsi="Arial"/>
                <w:sz w:val="18"/>
                <w:szCs w:val="18"/>
                <w:color w:val="auto"/>
              </w:rPr>
              <w:t>Funding of Borrowings</w:t>
            </w: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2.05</w:t>
            </w:r>
          </w:p>
        </w:tc>
        <w:tc>
          <w:tcPr>
            <w:tcW w:w="9180" w:type="dxa"/>
            <w:vAlign w:val="bottom"/>
            <w:gridSpan w:val="3"/>
          </w:tcPr>
          <w:p>
            <w:pPr>
              <w:ind w:left="360"/>
              <w:spacing w:after="0"/>
              <w:rPr>
                <w:sz w:val="20"/>
                <w:szCs w:val="20"/>
                <w:color w:val="auto"/>
              </w:rPr>
            </w:pPr>
            <w:r>
              <w:rPr>
                <w:rFonts w:ascii="Arial" w:cs="Arial" w:eastAsia="Arial" w:hAnsi="Arial"/>
                <w:sz w:val="18"/>
                <w:szCs w:val="18"/>
                <w:color w:val="auto"/>
              </w:rPr>
              <w:t>Interest Elections</w:t>
            </w: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2.06</w:t>
            </w:r>
          </w:p>
        </w:tc>
        <w:tc>
          <w:tcPr>
            <w:tcW w:w="9180" w:type="dxa"/>
            <w:vAlign w:val="bottom"/>
            <w:gridSpan w:val="3"/>
          </w:tcPr>
          <w:p>
            <w:pPr>
              <w:ind w:left="360"/>
              <w:spacing w:after="0"/>
              <w:rPr>
                <w:sz w:val="20"/>
                <w:szCs w:val="20"/>
                <w:color w:val="auto"/>
              </w:rPr>
            </w:pPr>
            <w:r>
              <w:rPr>
                <w:rFonts w:ascii="Arial" w:cs="Arial" w:eastAsia="Arial" w:hAnsi="Arial"/>
                <w:sz w:val="18"/>
                <w:szCs w:val="18"/>
                <w:color w:val="auto"/>
              </w:rPr>
              <w:t>Termination and Reduction of Commitments</w:t>
            </w: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2.07</w:t>
            </w:r>
          </w:p>
        </w:tc>
        <w:tc>
          <w:tcPr>
            <w:tcW w:w="9180" w:type="dxa"/>
            <w:vAlign w:val="bottom"/>
            <w:gridSpan w:val="3"/>
          </w:tcPr>
          <w:p>
            <w:pPr>
              <w:ind w:left="360"/>
              <w:spacing w:after="0"/>
              <w:rPr>
                <w:sz w:val="20"/>
                <w:szCs w:val="20"/>
                <w:color w:val="auto"/>
              </w:rPr>
            </w:pPr>
            <w:r>
              <w:rPr>
                <w:rFonts w:ascii="Arial" w:cs="Arial" w:eastAsia="Arial" w:hAnsi="Arial"/>
                <w:sz w:val="18"/>
                <w:szCs w:val="18"/>
                <w:color w:val="auto"/>
              </w:rPr>
              <w:t>Repayment of Loans; Evidence of Debt</w:t>
            </w: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420"/>
          </w:cols>
          <w:pgMar w:left="240" w:top="121" w:right="239" w:bottom="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2.08</w:t>
            </w:r>
          </w:p>
        </w:tc>
        <w:tc>
          <w:tcPr>
            <w:tcW w:w="9180" w:type="dxa"/>
            <w:vAlign w:val="bottom"/>
          </w:tcPr>
          <w:p>
            <w:pPr>
              <w:ind w:left="360"/>
              <w:spacing w:after="0"/>
              <w:rPr>
                <w:sz w:val="20"/>
                <w:szCs w:val="20"/>
                <w:color w:val="auto"/>
              </w:rPr>
            </w:pPr>
            <w:r>
              <w:rPr>
                <w:rFonts w:ascii="Arial" w:cs="Arial" w:eastAsia="Arial" w:hAnsi="Arial"/>
                <w:sz w:val="18"/>
                <w:szCs w:val="18"/>
                <w:color w:val="auto"/>
              </w:rPr>
              <w:t>Prepayment of Loans</w:t>
            </w: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2.09</w:t>
            </w:r>
          </w:p>
        </w:tc>
        <w:tc>
          <w:tcPr>
            <w:tcW w:w="9180" w:type="dxa"/>
            <w:vAlign w:val="bottom"/>
          </w:tcPr>
          <w:p>
            <w:pPr>
              <w:ind w:left="360"/>
              <w:spacing w:after="0"/>
              <w:rPr>
                <w:sz w:val="20"/>
                <w:szCs w:val="20"/>
                <w:color w:val="auto"/>
              </w:rPr>
            </w:pPr>
            <w:r>
              <w:rPr>
                <w:rFonts w:ascii="Arial" w:cs="Arial" w:eastAsia="Arial" w:hAnsi="Arial"/>
                <w:sz w:val="18"/>
                <w:szCs w:val="18"/>
                <w:color w:val="auto"/>
              </w:rPr>
              <w:t>Fees</w:t>
            </w: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2.10</w:t>
            </w:r>
          </w:p>
        </w:tc>
        <w:tc>
          <w:tcPr>
            <w:tcW w:w="9180" w:type="dxa"/>
            <w:vAlign w:val="bottom"/>
          </w:tcPr>
          <w:p>
            <w:pPr>
              <w:ind w:left="360"/>
              <w:spacing w:after="0"/>
              <w:rPr>
                <w:sz w:val="20"/>
                <w:szCs w:val="20"/>
                <w:color w:val="auto"/>
              </w:rPr>
            </w:pPr>
            <w:r>
              <w:rPr>
                <w:rFonts w:ascii="Arial" w:cs="Arial" w:eastAsia="Arial" w:hAnsi="Arial"/>
                <w:sz w:val="18"/>
                <w:szCs w:val="18"/>
                <w:color w:val="auto"/>
              </w:rPr>
              <w:t>Interest</w:t>
            </w: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2.11</w:t>
            </w:r>
          </w:p>
        </w:tc>
        <w:tc>
          <w:tcPr>
            <w:tcW w:w="9180" w:type="dxa"/>
            <w:vAlign w:val="bottom"/>
          </w:tcPr>
          <w:p>
            <w:pPr>
              <w:ind w:left="360"/>
              <w:spacing w:after="0"/>
              <w:rPr>
                <w:sz w:val="20"/>
                <w:szCs w:val="20"/>
                <w:color w:val="auto"/>
              </w:rPr>
            </w:pPr>
            <w:r>
              <w:rPr>
                <w:rFonts w:ascii="Arial" w:cs="Arial" w:eastAsia="Arial" w:hAnsi="Arial"/>
                <w:sz w:val="18"/>
                <w:szCs w:val="18"/>
                <w:color w:val="auto"/>
              </w:rPr>
              <w:t>Alternate Rate of Interest</w:t>
            </w: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2.12</w:t>
            </w:r>
          </w:p>
        </w:tc>
        <w:tc>
          <w:tcPr>
            <w:tcW w:w="9180" w:type="dxa"/>
            <w:vAlign w:val="bottom"/>
          </w:tcPr>
          <w:p>
            <w:pPr>
              <w:ind w:left="360"/>
              <w:spacing w:after="0"/>
              <w:rPr>
                <w:sz w:val="20"/>
                <w:szCs w:val="20"/>
                <w:color w:val="auto"/>
              </w:rPr>
            </w:pPr>
            <w:r>
              <w:rPr>
                <w:rFonts w:ascii="Arial" w:cs="Arial" w:eastAsia="Arial" w:hAnsi="Arial"/>
                <w:sz w:val="18"/>
                <w:szCs w:val="18"/>
                <w:color w:val="auto"/>
              </w:rPr>
              <w:t>Increased Costs</w:t>
            </w: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2.13</w:t>
            </w:r>
          </w:p>
        </w:tc>
        <w:tc>
          <w:tcPr>
            <w:tcW w:w="9180" w:type="dxa"/>
            <w:vAlign w:val="bottom"/>
          </w:tcPr>
          <w:p>
            <w:pPr>
              <w:ind w:left="360"/>
              <w:spacing w:after="0"/>
              <w:rPr>
                <w:sz w:val="20"/>
                <w:szCs w:val="20"/>
                <w:color w:val="auto"/>
              </w:rPr>
            </w:pPr>
            <w:r>
              <w:rPr>
                <w:rFonts w:ascii="Arial" w:cs="Arial" w:eastAsia="Arial" w:hAnsi="Arial"/>
                <w:sz w:val="18"/>
                <w:szCs w:val="18"/>
                <w:color w:val="auto"/>
              </w:rPr>
              <w:t>Break Funding Payments</w:t>
            </w: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2.14</w:t>
            </w:r>
          </w:p>
        </w:tc>
        <w:tc>
          <w:tcPr>
            <w:tcW w:w="9180" w:type="dxa"/>
            <w:vAlign w:val="bottom"/>
          </w:tcPr>
          <w:p>
            <w:pPr>
              <w:ind w:left="360"/>
              <w:spacing w:after="0"/>
              <w:rPr>
                <w:sz w:val="20"/>
                <w:szCs w:val="20"/>
                <w:color w:val="auto"/>
              </w:rPr>
            </w:pPr>
            <w:r>
              <w:rPr>
                <w:rFonts w:ascii="Arial" w:cs="Arial" w:eastAsia="Arial" w:hAnsi="Arial"/>
                <w:sz w:val="18"/>
                <w:szCs w:val="18"/>
                <w:color w:val="auto"/>
              </w:rPr>
              <w:t>Agreement to Defer Exercise of Right of Contribution, Etc.</w:t>
            </w: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2.15</w:t>
            </w:r>
          </w:p>
        </w:tc>
        <w:tc>
          <w:tcPr>
            <w:tcW w:w="9180" w:type="dxa"/>
            <w:vAlign w:val="bottom"/>
          </w:tcPr>
          <w:p>
            <w:pPr>
              <w:ind w:left="360"/>
              <w:spacing w:after="0"/>
              <w:rPr>
                <w:sz w:val="20"/>
                <w:szCs w:val="20"/>
                <w:color w:val="auto"/>
              </w:rPr>
            </w:pPr>
            <w:r>
              <w:rPr>
                <w:rFonts w:ascii="Arial" w:cs="Arial" w:eastAsia="Arial" w:hAnsi="Arial"/>
                <w:sz w:val="18"/>
                <w:szCs w:val="18"/>
                <w:color w:val="auto"/>
              </w:rPr>
              <w:t>[RESERVED]</w:t>
            </w: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2.16</w:t>
            </w:r>
          </w:p>
        </w:tc>
        <w:tc>
          <w:tcPr>
            <w:tcW w:w="9180" w:type="dxa"/>
            <w:vAlign w:val="bottom"/>
          </w:tcPr>
          <w:p>
            <w:pPr>
              <w:ind w:left="360"/>
              <w:spacing w:after="0"/>
              <w:rPr>
                <w:sz w:val="20"/>
                <w:szCs w:val="20"/>
                <w:color w:val="auto"/>
              </w:rPr>
            </w:pPr>
            <w:r>
              <w:rPr>
                <w:rFonts w:ascii="Arial" w:cs="Arial" w:eastAsia="Arial" w:hAnsi="Arial"/>
                <w:sz w:val="18"/>
                <w:szCs w:val="18"/>
                <w:color w:val="auto"/>
              </w:rPr>
              <w:t>[RESERVED]</w:t>
            </w: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2.17</w:t>
            </w:r>
          </w:p>
        </w:tc>
        <w:tc>
          <w:tcPr>
            <w:tcW w:w="9180" w:type="dxa"/>
            <w:vAlign w:val="bottom"/>
          </w:tcPr>
          <w:p>
            <w:pPr>
              <w:ind w:left="360"/>
              <w:spacing w:after="0"/>
              <w:rPr>
                <w:sz w:val="20"/>
                <w:szCs w:val="20"/>
                <w:color w:val="auto"/>
              </w:rPr>
            </w:pPr>
            <w:r>
              <w:rPr>
                <w:rFonts w:ascii="Arial" w:cs="Arial" w:eastAsia="Arial" w:hAnsi="Arial"/>
                <w:sz w:val="18"/>
                <w:szCs w:val="18"/>
                <w:color w:val="auto"/>
              </w:rPr>
              <w:t>Defaulting Lenders</w:t>
            </w: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2.18</w:t>
            </w:r>
          </w:p>
        </w:tc>
        <w:tc>
          <w:tcPr>
            <w:tcW w:w="9180" w:type="dxa"/>
            <w:vAlign w:val="bottom"/>
          </w:tcPr>
          <w:p>
            <w:pPr>
              <w:ind w:left="360"/>
              <w:spacing w:after="0"/>
              <w:rPr>
                <w:sz w:val="20"/>
                <w:szCs w:val="20"/>
                <w:color w:val="auto"/>
              </w:rPr>
            </w:pPr>
            <w:r>
              <w:rPr>
                <w:rFonts w:ascii="Arial" w:cs="Arial" w:eastAsia="Arial" w:hAnsi="Arial"/>
                <w:sz w:val="18"/>
                <w:szCs w:val="18"/>
                <w:color w:val="auto"/>
              </w:rPr>
              <w:t>Increase in Commitments</w:t>
            </w: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18"/>
        </w:trPr>
        <w:tc>
          <w:tcPr>
            <w:tcW w:w="1260" w:type="dxa"/>
            <w:vAlign w:val="bottom"/>
          </w:tcPr>
          <w:p>
            <w:pPr>
              <w:spacing w:after="0"/>
              <w:rPr>
                <w:sz w:val="24"/>
                <w:szCs w:val="24"/>
                <w:color w:val="auto"/>
              </w:rPr>
            </w:pPr>
          </w:p>
        </w:tc>
        <w:tc>
          <w:tcPr>
            <w:tcW w:w="9180" w:type="dxa"/>
            <w:vAlign w:val="bottom"/>
          </w:tcPr>
          <w:p>
            <w:pPr>
              <w:jc w:val="center"/>
              <w:ind w:right="190"/>
              <w:spacing w:after="0"/>
              <w:rPr>
                <w:sz w:val="20"/>
                <w:szCs w:val="20"/>
                <w:color w:val="auto"/>
              </w:rPr>
            </w:pPr>
            <w:r>
              <w:rPr>
                <w:rFonts w:ascii="Arial" w:cs="Arial" w:eastAsia="Arial" w:hAnsi="Arial"/>
                <w:sz w:val="18"/>
                <w:szCs w:val="18"/>
                <w:color w:val="auto"/>
              </w:rPr>
              <w:t>ARTICLE III</w:t>
            </w:r>
          </w:p>
        </w:tc>
        <w:tc>
          <w:tcPr>
            <w:tcW w:w="102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9180" w:type="dxa"/>
            <w:vAlign w:val="bottom"/>
          </w:tcPr>
          <w:p>
            <w:pPr>
              <w:jc w:val="center"/>
              <w:ind w:right="170"/>
              <w:spacing w:after="0"/>
              <w:rPr>
                <w:sz w:val="20"/>
                <w:szCs w:val="20"/>
                <w:color w:val="auto"/>
              </w:rPr>
            </w:pPr>
            <w:r>
              <w:rPr>
                <w:rFonts w:ascii="Arial" w:cs="Arial" w:eastAsia="Arial" w:hAnsi="Arial"/>
                <w:sz w:val="18"/>
                <w:szCs w:val="18"/>
                <w:color w:val="auto"/>
                <w:w w:val="95"/>
              </w:rPr>
              <w:t>[RESERVED]</w:t>
            </w:r>
          </w:p>
        </w:tc>
        <w:tc>
          <w:tcPr>
            <w:tcW w:w="1020" w:type="dxa"/>
            <w:vAlign w:val="bottom"/>
          </w:tcPr>
          <w:p>
            <w:pPr>
              <w:spacing w:after="0"/>
              <w:rPr>
                <w:sz w:val="20"/>
                <w:szCs w:val="20"/>
                <w:color w:val="auto"/>
              </w:rPr>
            </w:pPr>
          </w:p>
        </w:tc>
      </w:tr>
      <w:tr>
        <w:trPr>
          <w:trHeight w:val="418"/>
        </w:trPr>
        <w:tc>
          <w:tcPr>
            <w:tcW w:w="1260" w:type="dxa"/>
            <w:vAlign w:val="bottom"/>
          </w:tcPr>
          <w:p>
            <w:pPr>
              <w:spacing w:after="0"/>
              <w:rPr>
                <w:sz w:val="24"/>
                <w:szCs w:val="24"/>
                <w:color w:val="auto"/>
              </w:rPr>
            </w:pPr>
          </w:p>
        </w:tc>
        <w:tc>
          <w:tcPr>
            <w:tcW w:w="9180" w:type="dxa"/>
            <w:vAlign w:val="bottom"/>
          </w:tcPr>
          <w:p>
            <w:pPr>
              <w:jc w:val="center"/>
              <w:ind w:right="190"/>
              <w:spacing w:after="0"/>
              <w:rPr>
                <w:sz w:val="20"/>
                <w:szCs w:val="20"/>
                <w:color w:val="auto"/>
              </w:rPr>
            </w:pPr>
            <w:r>
              <w:rPr>
                <w:rFonts w:ascii="Arial" w:cs="Arial" w:eastAsia="Arial" w:hAnsi="Arial"/>
                <w:sz w:val="18"/>
                <w:szCs w:val="18"/>
                <w:color w:val="auto"/>
                <w:w w:val="99"/>
              </w:rPr>
              <w:t>ARTICLE IV</w:t>
            </w:r>
          </w:p>
        </w:tc>
        <w:tc>
          <w:tcPr>
            <w:tcW w:w="102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9180" w:type="dxa"/>
            <w:vAlign w:val="bottom"/>
          </w:tcPr>
          <w:p>
            <w:pPr>
              <w:jc w:val="center"/>
              <w:ind w:right="170"/>
              <w:spacing w:after="0"/>
              <w:rPr>
                <w:sz w:val="20"/>
                <w:szCs w:val="20"/>
                <w:color w:val="auto"/>
              </w:rPr>
            </w:pPr>
            <w:r>
              <w:rPr>
                <w:rFonts w:ascii="Arial" w:cs="Arial" w:eastAsia="Arial" w:hAnsi="Arial"/>
                <w:sz w:val="18"/>
                <w:szCs w:val="18"/>
                <w:color w:val="auto"/>
                <w:w w:val="94"/>
              </w:rPr>
              <w:t>PAYMENTS; PRO RATA TREATMENT; TAXES</w:t>
            </w:r>
          </w:p>
        </w:tc>
        <w:tc>
          <w:tcPr>
            <w:tcW w:w="1020" w:type="dxa"/>
            <w:vAlign w:val="bottom"/>
          </w:tcPr>
          <w:p>
            <w:pPr>
              <w:spacing w:after="0"/>
              <w:rPr>
                <w:sz w:val="20"/>
                <w:szCs w:val="20"/>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Section 4.01</w:t>
            </w:r>
          </w:p>
        </w:tc>
        <w:tc>
          <w:tcPr>
            <w:tcW w:w="9180" w:type="dxa"/>
            <w:vAlign w:val="bottom"/>
          </w:tcPr>
          <w:p>
            <w:pPr>
              <w:ind w:left="360"/>
              <w:spacing w:after="0"/>
              <w:rPr>
                <w:sz w:val="20"/>
                <w:szCs w:val="20"/>
                <w:color w:val="auto"/>
              </w:rPr>
            </w:pPr>
            <w:r>
              <w:rPr>
                <w:rFonts w:ascii="Arial" w:cs="Arial" w:eastAsia="Arial" w:hAnsi="Arial"/>
                <w:sz w:val="18"/>
                <w:szCs w:val="18"/>
                <w:color w:val="auto"/>
              </w:rPr>
              <w:t>Payments Generally; Pro Rata Treatment; Sharing of Set-offs</w:t>
            </w: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4.02</w:t>
            </w:r>
          </w:p>
        </w:tc>
        <w:tc>
          <w:tcPr>
            <w:tcW w:w="9180" w:type="dxa"/>
            <w:vAlign w:val="bottom"/>
          </w:tcPr>
          <w:p>
            <w:pPr>
              <w:ind w:left="360"/>
              <w:spacing w:after="0"/>
              <w:rPr>
                <w:sz w:val="20"/>
                <w:szCs w:val="20"/>
                <w:color w:val="auto"/>
              </w:rPr>
            </w:pPr>
            <w:r>
              <w:rPr>
                <w:rFonts w:ascii="Arial" w:cs="Arial" w:eastAsia="Arial" w:hAnsi="Arial"/>
                <w:sz w:val="18"/>
                <w:szCs w:val="18"/>
                <w:color w:val="auto"/>
              </w:rPr>
              <w:t>Taxes/Additional Payments</w:t>
            </w: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4.03</w:t>
            </w:r>
          </w:p>
        </w:tc>
        <w:tc>
          <w:tcPr>
            <w:tcW w:w="9180" w:type="dxa"/>
            <w:vAlign w:val="bottom"/>
          </w:tcPr>
          <w:p>
            <w:pPr>
              <w:ind w:left="360"/>
              <w:spacing w:after="0"/>
              <w:rPr>
                <w:sz w:val="20"/>
                <w:szCs w:val="20"/>
                <w:color w:val="auto"/>
              </w:rPr>
            </w:pPr>
            <w:r>
              <w:rPr>
                <w:rFonts w:ascii="Arial" w:cs="Arial" w:eastAsia="Arial" w:hAnsi="Arial"/>
                <w:sz w:val="18"/>
                <w:szCs w:val="18"/>
                <w:color w:val="auto"/>
              </w:rPr>
              <w:t>Mitigation Obligations; Replacement of Lenders</w:t>
            </w: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4.04</w:t>
            </w:r>
          </w:p>
        </w:tc>
        <w:tc>
          <w:tcPr>
            <w:tcW w:w="9180" w:type="dxa"/>
            <w:vAlign w:val="bottom"/>
          </w:tcPr>
          <w:p>
            <w:pPr>
              <w:ind w:left="360"/>
              <w:spacing w:after="0"/>
              <w:rPr>
                <w:sz w:val="20"/>
                <w:szCs w:val="20"/>
                <w:color w:val="auto"/>
              </w:rPr>
            </w:pPr>
            <w:r>
              <w:rPr>
                <w:rFonts w:ascii="Arial" w:cs="Arial" w:eastAsia="Arial" w:hAnsi="Arial"/>
                <w:sz w:val="18"/>
                <w:szCs w:val="18"/>
                <w:color w:val="auto"/>
              </w:rPr>
              <w:t>Financial Assistance</w:t>
            </w: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32"/>
        </w:trPr>
        <w:tc>
          <w:tcPr>
            <w:tcW w:w="1260" w:type="dxa"/>
            <w:vAlign w:val="bottom"/>
          </w:tcPr>
          <w:p>
            <w:pPr>
              <w:spacing w:after="0"/>
              <w:rPr>
                <w:sz w:val="24"/>
                <w:szCs w:val="24"/>
                <w:color w:val="auto"/>
              </w:rPr>
            </w:pPr>
          </w:p>
        </w:tc>
        <w:tc>
          <w:tcPr>
            <w:tcW w:w="9180" w:type="dxa"/>
            <w:vAlign w:val="bottom"/>
          </w:tcPr>
          <w:p>
            <w:pPr>
              <w:jc w:val="center"/>
              <w:ind w:right="190"/>
              <w:spacing w:after="0"/>
              <w:rPr>
                <w:sz w:val="20"/>
                <w:szCs w:val="20"/>
                <w:color w:val="auto"/>
              </w:rPr>
            </w:pPr>
            <w:r>
              <w:rPr>
                <w:rFonts w:ascii="Arial" w:cs="Arial" w:eastAsia="Arial" w:hAnsi="Arial"/>
                <w:sz w:val="18"/>
                <w:szCs w:val="18"/>
                <w:color w:val="auto"/>
              </w:rPr>
              <w:t>i</w:t>
            </w:r>
          </w:p>
        </w:tc>
        <w:tc>
          <w:tcPr>
            <w:tcW w:w="1020" w:type="dxa"/>
            <w:vAlign w:val="bottom"/>
          </w:tcPr>
          <w:p>
            <w:pPr>
              <w:spacing w:after="0"/>
              <w:rPr>
                <w:sz w:val="24"/>
                <w:szCs w:val="24"/>
                <w:color w:val="auto"/>
              </w:rPr>
            </w:pPr>
          </w:p>
        </w:tc>
      </w:tr>
      <w:tr>
        <w:trPr>
          <w:trHeight w:val="132"/>
        </w:trPr>
        <w:tc>
          <w:tcPr>
            <w:tcW w:w="1260" w:type="dxa"/>
            <w:vAlign w:val="bottom"/>
            <w:tcBorders>
              <w:bottom w:val="single" w:sz="8" w:color="808080"/>
            </w:tcBorders>
          </w:tcPr>
          <w:p>
            <w:pPr>
              <w:spacing w:after="0"/>
              <w:rPr>
                <w:sz w:val="11"/>
                <w:szCs w:val="11"/>
                <w:color w:val="auto"/>
              </w:rPr>
            </w:pPr>
          </w:p>
        </w:tc>
        <w:tc>
          <w:tcPr>
            <w:tcW w:w="91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r>
      <w:tr>
        <w:trPr>
          <w:trHeight w:val="766"/>
        </w:trPr>
        <w:tc>
          <w:tcPr>
            <w:tcW w:w="1260" w:type="dxa"/>
            <w:vAlign w:val="bottom"/>
          </w:tcPr>
          <w:p>
            <w:pPr>
              <w:spacing w:after="0"/>
              <w:rPr>
                <w:sz w:val="24"/>
                <w:szCs w:val="24"/>
                <w:color w:val="auto"/>
              </w:rPr>
            </w:pPr>
          </w:p>
        </w:tc>
        <w:tc>
          <w:tcPr>
            <w:tcW w:w="9180" w:type="dxa"/>
            <w:vAlign w:val="bottom"/>
          </w:tcPr>
          <w:p>
            <w:pPr>
              <w:jc w:val="center"/>
              <w:ind w:right="170"/>
              <w:spacing w:after="0"/>
              <w:rPr>
                <w:sz w:val="20"/>
                <w:szCs w:val="20"/>
                <w:color w:val="auto"/>
              </w:rPr>
            </w:pPr>
            <w:r>
              <w:rPr>
                <w:rFonts w:ascii="Arial" w:cs="Arial" w:eastAsia="Arial" w:hAnsi="Arial"/>
                <w:sz w:val="18"/>
                <w:szCs w:val="18"/>
                <w:color w:val="auto"/>
                <w:w w:val="98"/>
              </w:rPr>
              <w:t>ARTICLE V</w:t>
            </w:r>
          </w:p>
        </w:tc>
        <w:tc>
          <w:tcPr>
            <w:tcW w:w="102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9180" w:type="dxa"/>
            <w:vAlign w:val="bottom"/>
          </w:tcPr>
          <w:p>
            <w:pPr>
              <w:jc w:val="center"/>
              <w:ind w:right="190"/>
              <w:spacing w:after="0"/>
              <w:rPr>
                <w:sz w:val="20"/>
                <w:szCs w:val="20"/>
                <w:color w:val="auto"/>
              </w:rPr>
            </w:pPr>
            <w:r>
              <w:rPr>
                <w:rFonts w:ascii="Arial" w:cs="Arial" w:eastAsia="Arial" w:hAnsi="Arial"/>
                <w:sz w:val="18"/>
                <w:szCs w:val="18"/>
                <w:color w:val="auto"/>
                <w:w w:val="95"/>
              </w:rPr>
              <w:t>CONDITIONS PRECEDENT</w:t>
            </w:r>
          </w:p>
        </w:tc>
        <w:tc>
          <w:tcPr>
            <w:tcW w:w="1020" w:type="dxa"/>
            <w:vAlign w:val="bottom"/>
          </w:tcPr>
          <w:p>
            <w:pPr>
              <w:spacing w:after="0"/>
              <w:rPr>
                <w:sz w:val="20"/>
                <w:szCs w:val="20"/>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Section 5.01</w:t>
            </w:r>
          </w:p>
        </w:tc>
        <w:tc>
          <w:tcPr>
            <w:tcW w:w="9180" w:type="dxa"/>
            <w:vAlign w:val="bottom"/>
          </w:tcPr>
          <w:p>
            <w:pPr>
              <w:ind w:left="360"/>
              <w:spacing w:after="0"/>
              <w:rPr>
                <w:sz w:val="20"/>
                <w:szCs w:val="20"/>
                <w:color w:val="auto"/>
              </w:rPr>
            </w:pPr>
            <w:r>
              <w:rPr>
                <w:rFonts w:ascii="Arial" w:cs="Arial" w:eastAsia="Arial" w:hAnsi="Arial"/>
                <w:sz w:val="18"/>
                <w:szCs w:val="18"/>
                <w:color w:val="auto"/>
              </w:rPr>
              <w:t>Conditions Precedent to the Effective Date</w:t>
            </w: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5.02</w:t>
            </w:r>
          </w:p>
        </w:tc>
        <w:tc>
          <w:tcPr>
            <w:tcW w:w="9180" w:type="dxa"/>
            <w:vAlign w:val="bottom"/>
          </w:tcPr>
          <w:p>
            <w:pPr>
              <w:ind w:left="360"/>
              <w:spacing w:after="0"/>
              <w:rPr>
                <w:sz w:val="20"/>
                <w:szCs w:val="20"/>
                <w:color w:val="auto"/>
              </w:rPr>
            </w:pPr>
            <w:r>
              <w:rPr>
                <w:rFonts w:ascii="Arial" w:cs="Arial" w:eastAsia="Arial" w:hAnsi="Arial"/>
                <w:sz w:val="18"/>
                <w:szCs w:val="18"/>
                <w:color w:val="auto"/>
              </w:rPr>
              <w:t>Conditions Precedent to Each Borrowing</w:t>
            </w: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18"/>
        </w:trPr>
        <w:tc>
          <w:tcPr>
            <w:tcW w:w="1260" w:type="dxa"/>
            <w:vAlign w:val="bottom"/>
          </w:tcPr>
          <w:p>
            <w:pPr>
              <w:spacing w:after="0"/>
              <w:rPr>
                <w:sz w:val="24"/>
                <w:szCs w:val="24"/>
                <w:color w:val="auto"/>
              </w:rPr>
            </w:pPr>
          </w:p>
        </w:tc>
        <w:tc>
          <w:tcPr>
            <w:tcW w:w="9180" w:type="dxa"/>
            <w:vAlign w:val="bottom"/>
          </w:tcPr>
          <w:p>
            <w:pPr>
              <w:jc w:val="center"/>
              <w:ind w:right="190"/>
              <w:spacing w:after="0"/>
              <w:rPr>
                <w:sz w:val="20"/>
                <w:szCs w:val="20"/>
                <w:color w:val="auto"/>
              </w:rPr>
            </w:pPr>
            <w:r>
              <w:rPr>
                <w:rFonts w:ascii="Arial" w:cs="Arial" w:eastAsia="Arial" w:hAnsi="Arial"/>
                <w:sz w:val="18"/>
                <w:szCs w:val="18"/>
                <w:color w:val="auto"/>
                <w:w w:val="99"/>
              </w:rPr>
              <w:t>ARTICLE VI</w:t>
            </w:r>
          </w:p>
        </w:tc>
        <w:tc>
          <w:tcPr>
            <w:tcW w:w="102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9180" w:type="dxa"/>
            <w:vAlign w:val="bottom"/>
          </w:tcPr>
          <w:p>
            <w:pPr>
              <w:jc w:val="center"/>
              <w:ind w:right="170"/>
              <w:spacing w:after="0"/>
              <w:rPr>
                <w:sz w:val="20"/>
                <w:szCs w:val="20"/>
                <w:color w:val="auto"/>
              </w:rPr>
            </w:pPr>
            <w:r>
              <w:rPr>
                <w:rFonts w:ascii="Arial" w:cs="Arial" w:eastAsia="Arial" w:hAnsi="Arial"/>
                <w:sz w:val="18"/>
                <w:szCs w:val="18"/>
                <w:color w:val="auto"/>
                <w:w w:val="95"/>
              </w:rPr>
              <w:t>REPRESENTATIONS AND WARRANTIES</w:t>
            </w:r>
          </w:p>
        </w:tc>
        <w:tc>
          <w:tcPr>
            <w:tcW w:w="1020" w:type="dxa"/>
            <w:vAlign w:val="bottom"/>
          </w:tcPr>
          <w:p>
            <w:pPr>
              <w:spacing w:after="0"/>
              <w:rPr>
                <w:sz w:val="20"/>
                <w:szCs w:val="20"/>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Section 6.01</w:t>
            </w:r>
          </w:p>
        </w:tc>
        <w:tc>
          <w:tcPr>
            <w:tcW w:w="9180" w:type="dxa"/>
            <w:vAlign w:val="bottom"/>
          </w:tcPr>
          <w:p>
            <w:pPr>
              <w:ind w:left="360"/>
              <w:spacing w:after="0"/>
              <w:rPr>
                <w:sz w:val="20"/>
                <w:szCs w:val="20"/>
                <w:color w:val="auto"/>
              </w:rPr>
            </w:pPr>
            <w:r>
              <w:rPr>
                <w:rFonts w:ascii="Arial" w:cs="Arial" w:eastAsia="Arial" w:hAnsi="Arial"/>
                <w:sz w:val="18"/>
                <w:szCs w:val="18"/>
                <w:color w:val="auto"/>
              </w:rPr>
              <w:t>Organization and Qualification</w:t>
            </w: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6.02</w:t>
            </w:r>
          </w:p>
        </w:tc>
        <w:tc>
          <w:tcPr>
            <w:tcW w:w="9180" w:type="dxa"/>
            <w:vAlign w:val="bottom"/>
          </w:tcPr>
          <w:p>
            <w:pPr>
              <w:ind w:left="360"/>
              <w:spacing w:after="0"/>
              <w:rPr>
                <w:sz w:val="20"/>
                <w:szCs w:val="20"/>
                <w:color w:val="auto"/>
              </w:rPr>
            </w:pPr>
            <w:r>
              <w:rPr>
                <w:rFonts w:ascii="Arial" w:cs="Arial" w:eastAsia="Arial" w:hAnsi="Arial"/>
                <w:sz w:val="18"/>
                <w:szCs w:val="18"/>
                <w:color w:val="auto"/>
              </w:rPr>
              <w:t>Authorization, Validity, Etc.</w:t>
            </w: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6.03</w:t>
            </w:r>
          </w:p>
        </w:tc>
        <w:tc>
          <w:tcPr>
            <w:tcW w:w="9180" w:type="dxa"/>
            <w:vAlign w:val="bottom"/>
          </w:tcPr>
          <w:p>
            <w:pPr>
              <w:ind w:left="360"/>
              <w:spacing w:after="0"/>
              <w:rPr>
                <w:sz w:val="20"/>
                <w:szCs w:val="20"/>
                <w:color w:val="auto"/>
              </w:rPr>
            </w:pPr>
            <w:r>
              <w:rPr>
                <w:rFonts w:ascii="Arial" w:cs="Arial" w:eastAsia="Arial" w:hAnsi="Arial"/>
                <w:sz w:val="18"/>
                <w:szCs w:val="18"/>
                <w:color w:val="auto"/>
              </w:rPr>
              <w:t>Governmental Consents, Etc.</w:t>
            </w: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6.04</w:t>
            </w:r>
          </w:p>
        </w:tc>
        <w:tc>
          <w:tcPr>
            <w:tcW w:w="9180" w:type="dxa"/>
            <w:vAlign w:val="bottom"/>
          </w:tcPr>
          <w:p>
            <w:pPr>
              <w:ind w:left="360"/>
              <w:spacing w:after="0"/>
              <w:rPr>
                <w:sz w:val="20"/>
                <w:szCs w:val="20"/>
                <w:color w:val="auto"/>
              </w:rPr>
            </w:pPr>
            <w:r>
              <w:rPr>
                <w:rFonts w:ascii="Arial" w:cs="Arial" w:eastAsia="Arial" w:hAnsi="Arial"/>
                <w:sz w:val="18"/>
                <w:szCs w:val="18"/>
                <w:color w:val="auto"/>
              </w:rPr>
              <w:t>No Breach or Violation of Law or Agreements</w:t>
            </w: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6.05</w:t>
            </w:r>
          </w:p>
        </w:tc>
        <w:tc>
          <w:tcPr>
            <w:tcW w:w="9180" w:type="dxa"/>
            <w:vAlign w:val="bottom"/>
          </w:tcPr>
          <w:p>
            <w:pPr>
              <w:ind w:left="360"/>
              <w:spacing w:after="0"/>
              <w:rPr>
                <w:sz w:val="20"/>
                <w:szCs w:val="20"/>
                <w:color w:val="auto"/>
              </w:rPr>
            </w:pPr>
            <w:r>
              <w:rPr>
                <w:rFonts w:ascii="Arial" w:cs="Arial" w:eastAsia="Arial" w:hAnsi="Arial"/>
                <w:sz w:val="18"/>
                <w:szCs w:val="18"/>
                <w:color w:val="auto"/>
              </w:rPr>
              <w:t>Litigation</w:t>
            </w: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6.06</w:t>
            </w:r>
          </w:p>
        </w:tc>
        <w:tc>
          <w:tcPr>
            <w:tcW w:w="9180" w:type="dxa"/>
            <w:vAlign w:val="bottom"/>
          </w:tcPr>
          <w:p>
            <w:pPr>
              <w:ind w:left="360"/>
              <w:spacing w:after="0"/>
              <w:rPr>
                <w:sz w:val="20"/>
                <w:szCs w:val="20"/>
                <w:color w:val="auto"/>
              </w:rPr>
            </w:pPr>
            <w:r>
              <w:rPr>
                <w:rFonts w:ascii="Arial" w:cs="Arial" w:eastAsia="Arial" w:hAnsi="Arial"/>
                <w:sz w:val="18"/>
                <w:szCs w:val="18"/>
                <w:color w:val="auto"/>
              </w:rPr>
              <w:t>Information; No Material Adverse Change</w:t>
            </w: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6.07</w:t>
            </w:r>
          </w:p>
        </w:tc>
        <w:tc>
          <w:tcPr>
            <w:tcW w:w="9180" w:type="dxa"/>
            <w:vAlign w:val="bottom"/>
          </w:tcPr>
          <w:p>
            <w:pPr>
              <w:ind w:left="360"/>
              <w:spacing w:after="0"/>
              <w:rPr>
                <w:sz w:val="20"/>
                <w:szCs w:val="20"/>
                <w:color w:val="auto"/>
              </w:rPr>
            </w:pPr>
            <w:r>
              <w:rPr>
                <w:rFonts w:ascii="Arial" w:cs="Arial" w:eastAsia="Arial" w:hAnsi="Arial"/>
                <w:sz w:val="18"/>
                <w:szCs w:val="18"/>
                <w:color w:val="auto"/>
              </w:rPr>
              <w:t>Investment Company Act; Margin Regulations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6.08</w:t>
            </w:r>
          </w:p>
        </w:tc>
        <w:tc>
          <w:tcPr>
            <w:tcW w:w="9180" w:type="dxa"/>
            <w:vAlign w:val="bottom"/>
          </w:tcPr>
          <w:p>
            <w:pPr>
              <w:ind w:left="360"/>
              <w:spacing w:after="0"/>
              <w:rPr>
                <w:sz w:val="20"/>
                <w:szCs w:val="20"/>
                <w:color w:val="auto"/>
              </w:rPr>
            </w:pPr>
            <w:r>
              <w:rPr>
                <w:rFonts w:ascii="Arial" w:cs="Arial" w:eastAsia="Arial" w:hAnsi="Arial"/>
                <w:sz w:val="18"/>
                <w:szCs w:val="18"/>
                <w:color w:val="auto"/>
              </w:rPr>
              <w:t>ERISA</w:t>
            </w: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6.09</w:t>
            </w:r>
          </w:p>
        </w:tc>
        <w:tc>
          <w:tcPr>
            <w:tcW w:w="9180" w:type="dxa"/>
            <w:vAlign w:val="bottom"/>
          </w:tcPr>
          <w:p>
            <w:pPr>
              <w:ind w:left="360"/>
              <w:spacing w:after="0"/>
              <w:rPr>
                <w:sz w:val="20"/>
                <w:szCs w:val="20"/>
                <w:color w:val="auto"/>
              </w:rPr>
            </w:pPr>
            <w:r>
              <w:rPr>
                <w:rFonts w:ascii="Arial" w:cs="Arial" w:eastAsia="Arial" w:hAnsi="Arial"/>
                <w:sz w:val="18"/>
                <w:szCs w:val="18"/>
                <w:color w:val="auto"/>
              </w:rPr>
              <w:t>Tax Returns and Payments</w:t>
            </w: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6.10</w:t>
            </w:r>
          </w:p>
        </w:tc>
        <w:tc>
          <w:tcPr>
            <w:tcW w:w="9180" w:type="dxa"/>
            <w:vAlign w:val="bottom"/>
          </w:tcPr>
          <w:p>
            <w:pPr>
              <w:ind w:left="360"/>
              <w:spacing w:after="0"/>
              <w:rPr>
                <w:sz w:val="20"/>
                <w:szCs w:val="20"/>
                <w:color w:val="auto"/>
              </w:rPr>
            </w:pPr>
            <w:r>
              <w:rPr>
                <w:rFonts w:ascii="Arial" w:cs="Arial" w:eastAsia="Arial" w:hAnsi="Arial"/>
                <w:sz w:val="18"/>
                <w:szCs w:val="18"/>
                <w:color w:val="auto"/>
              </w:rPr>
              <w:t>Requirements of Law</w:t>
            </w: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6.11</w:t>
            </w:r>
          </w:p>
        </w:tc>
        <w:tc>
          <w:tcPr>
            <w:tcW w:w="9180" w:type="dxa"/>
            <w:vAlign w:val="bottom"/>
          </w:tcPr>
          <w:p>
            <w:pPr>
              <w:ind w:left="360"/>
              <w:spacing w:after="0"/>
              <w:rPr>
                <w:sz w:val="20"/>
                <w:szCs w:val="20"/>
                <w:color w:val="auto"/>
              </w:rPr>
            </w:pPr>
            <w:r>
              <w:rPr>
                <w:rFonts w:ascii="Arial" w:cs="Arial" w:eastAsia="Arial" w:hAnsi="Arial"/>
                <w:sz w:val="18"/>
                <w:szCs w:val="18"/>
                <w:color w:val="auto"/>
              </w:rPr>
              <w:t>No Default</w:t>
            </w: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6.12</w:t>
            </w:r>
          </w:p>
        </w:tc>
        <w:tc>
          <w:tcPr>
            <w:tcW w:w="9180" w:type="dxa"/>
            <w:vAlign w:val="bottom"/>
          </w:tcPr>
          <w:p>
            <w:pPr>
              <w:ind w:left="360"/>
              <w:spacing w:after="0"/>
              <w:rPr>
                <w:sz w:val="20"/>
                <w:szCs w:val="20"/>
                <w:color w:val="auto"/>
              </w:rPr>
            </w:pPr>
            <w:r>
              <w:rPr>
                <w:rFonts w:ascii="Arial" w:cs="Arial" w:eastAsia="Arial" w:hAnsi="Arial"/>
                <w:sz w:val="18"/>
                <w:szCs w:val="18"/>
                <w:color w:val="auto"/>
              </w:rPr>
              <w:t>Anti-Corruption Laws and Sanctions</w:t>
            </w: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6.13</w:t>
            </w:r>
          </w:p>
        </w:tc>
        <w:tc>
          <w:tcPr>
            <w:tcW w:w="9180" w:type="dxa"/>
            <w:vAlign w:val="bottom"/>
          </w:tcPr>
          <w:p>
            <w:pPr>
              <w:ind w:left="360"/>
              <w:spacing w:after="0"/>
              <w:rPr>
                <w:sz w:val="20"/>
                <w:szCs w:val="20"/>
                <w:color w:val="auto"/>
              </w:rPr>
            </w:pPr>
            <w:r>
              <w:rPr>
                <w:rFonts w:ascii="Arial" w:cs="Arial" w:eastAsia="Arial" w:hAnsi="Arial"/>
                <w:sz w:val="18"/>
                <w:szCs w:val="18"/>
                <w:color w:val="auto"/>
              </w:rPr>
              <w:t>Properties</w:t>
            </w: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6.14</w:t>
            </w:r>
          </w:p>
        </w:tc>
        <w:tc>
          <w:tcPr>
            <w:tcW w:w="9180" w:type="dxa"/>
            <w:vAlign w:val="bottom"/>
          </w:tcPr>
          <w:p>
            <w:pPr>
              <w:ind w:left="360"/>
              <w:spacing w:after="0"/>
              <w:rPr>
                <w:sz w:val="20"/>
                <w:szCs w:val="20"/>
                <w:color w:val="auto"/>
              </w:rPr>
            </w:pPr>
            <w:r>
              <w:rPr>
                <w:rFonts w:ascii="Arial" w:cs="Arial" w:eastAsia="Arial" w:hAnsi="Arial"/>
                <w:sz w:val="18"/>
                <w:szCs w:val="18"/>
                <w:color w:val="auto"/>
              </w:rPr>
              <w:t>No Restrictive Agreements</w:t>
            </w: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6.15</w:t>
            </w:r>
          </w:p>
        </w:tc>
        <w:tc>
          <w:tcPr>
            <w:tcW w:w="9180" w:type="dxa"/>
            <w:vAlign w:val="bottom"/>
          </w:tcPr>
          <w:p>
            <w:pPr>
              <w:ind w:left="360"/>
              <w:spacing w:after="0"/>
              <w:rPr>
                <w:sz w:val="20"/>
                <w:szCs w:val="20"/>
                <w:color w:val="auto"/>
              </w:rPr>
            </w:pPr>
            <w:r>
              <w:rPr>
                <w:rFonts w:ascii="Arial" w:cs="Arial" w:eastAsia="Arial" w:hAnsi="Arial"/>
                <w:sz w:val="18"/>
                <w:szCs w:val="18"/>
                <w:color w:val="auto"/>
              </w:rPr>
              <w:t>Solvency</w:t>
            </w: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6.16</w:t>
            </w:r>
          </w:p>
        </w:tc>
        <w:tc>
          <w:tcPr>
            <w:tcW w:w="9180" w:type="dxa"/>
            <w:vAlign w:val="bottom"/>
          </w:tcPr>
          <w:p>
            <w:pPr>
              <w:ind w:left="360"/>
              <w:spacing w:after="0"/>
              <w:rPr>
                <w:sz w:val="20"/>
                <w:szCs w:val="20"/>
                <w:color w:val="auto"/>
              </w:rPr>
            </w:pPr>
            <w:r>
              <w:rPr>
                <w:rFonts w:ascii="Arial" w:cs="Arial" w:eastAsia="Arial" w:hAnsi="Arial"/>
                <w:sz w:val="18"/>
                <w:szCs w:val="18"/>
                <w:color w:val="auto"/>
              </w:rPr>
              <w:t>Insurance</w:t>
            </w: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6.17</w:t>
            </w:r>
          </w:p>
        </w:tc>
        <w:tc>
          <w:tcPr>
            <w:tcW w:w="9180" w:type="dxa"/>
            <w:vAlign w:val="bottom"/>
          </w:tcPr>
          <w:p>
            <w:pPr>
              <w:ind w:left="360"/>
              <w:spacing w:after="0"/>
              <w:rPr>
                <w:sz w:val="20"/>
                <w:szCs w:val="20"/>
                <w:color w:val="auto"/>
              </w:rPr>
            </w:pPr>
            <w:r>
              <w:rPr>
                <w:rFonts w:ascii="Arial" w:cs="Arial" w:eastAsia="Arial" w:hAnsi="Arial"/>
                <w:sz w:val="18"/>
                <w:szCs w:val="18"/>
                <w:color w:val="auto"/>
              </w:rPr>
              <w:t>Rank of Obligations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6.18</w:t>
            </w:r>
          </w:p>
        </w:tc>
        <w:tc>
          <w:tcPr>
            <w:tcW w:w="9180" w:type="dxa"/>
            <w:vAlign w:val="bottom"/>
          </w:tcPr>
          <w:p>
            <w:pPr>
              <w:ind w:left="360"/>
              <w:spacing w:after="0"/>
              <w:rPr>
                <w:sz w:val="20"/>
                <w:szCs w:val="20"/>
                <w:color w:val="auto"/>
              </w:rPr>
            </w:pPr>
            <w:r>
              <w:rPr>
                <w:rFonts w:ascii="Arial" w:cs="Arial" w:eastAsia="Arial" w:hAnsi="Arial"/>
                <w:sz w:val="18"/>
                <w:szCs w:val="18"/>
                <w:color w:val="auto"/>
              </w:rPr>
              <w:t>EEA Financial Institutions</w:t>
            </w: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6.19</w:t>
            </w:r>
          </w:p>
        </w:tc>
        <w:tc>
          <w:tcPr>
            <w:tcW w:w="9180" w:type="dxa"/>
            <w:vAlign w:val="bottom"/>
          </w:tcPr>
          <w:p>
            <w:pPr>
              <w:ind w:left="360"/>
              <w:spacing w:after="0"/>
              <w:rPr>
                <w:sz w:val="20"/>
                <w:szCs w:val="20"/>
                <w:color w:val="auto"/>
              </w:rPr>
            </w:pPr>
            <w:r>
              <w:rPr>
                <w:rFonts w:ascii="Arial" w:cs="Arial" w:eastAsia="Arial" w:hAnsi="Arial"/>
                <w:sz w:val="18"/>
                <w:szCs w:val="18"/>
                <w:color w:val="auto"/>
              </w:rPr>
              <w:t>Liens</w:t>
            </w: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6.20</w:t>
            </w:r>
          </w:p>
        </w:tc>
        <w:tc>
          <w:tcPr>
            <w:tcW w:w="9180" w:type="dxa"/>
            <w:vAlign w:val="bottom"/>
          </w:tcPr>
          <w:p>
            <w:pPr>
              <w:ind w:left="360"/>
              <w:spacing w:after="0"/>
              <w:rPr>
                <w:sz w:val="20"/>
                <w:szCs w:val="20"/>
                <w:color w:val="auto"/>
              </w:rPr>
            </w:pPr>
            <w:r>
              <w:rPr>
                <w:rFonts w:ascii="Arial" w:cs="Arial" w:eastAsia="Arial" w:hAnsi="Arial"/>
                <w:sz w:val="18"/>
                <w:szCs w:val="18"/>
                <w:color w:val="auto"/>
              </w:rPr>
              <w:t>Security Interest in Collateral</w:t>
            </w: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6.21</w:t>
            </w:r>
          </w:p>
        </w:tc>
        <w:tc>
          <w:tcPr>
            <w:tcW w:w="9180" w:type="dxa"/>
            <w:vAlign w:val="bottom"/>
          </w:tcPr>
          <w:p>
            <w:pPr>
              <w:ind w:left="360"/>
              <w:spacing w:after="0"/>
              <w:rPr>
                <w:sz w:val="20"/>
                <w:szCs w:val="20"/>
                <w:color w:val="auto"/>
              </w:rPr>
            </w:pPr>
            <w:r>
              <w:rPr>
                <w:rFonts w:ascii="Arial" w:cs="Arial" w:eastAsia="Arial" w:hAnsi="Arial"/>
                <w:sz w:val="18"/>
                <w:szCs w:val="18"/>
                <w:color w:val="auto"/>
              </w:rPr>
              <w:t>Current Assets and Current Liabilities</w:t>
            </w: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6.22</w:t>
            </w:r>
          </w:p>
        </w:tc>
        <w:tc>
          <w:tcPr>
            <w:tcW w:w="9180" w:type="dxa"/>
            <w:vAlign w:val="bottom"/>
          </w:tcPr>
          <w:p>
            <w:pPr>
              <w:ind w:left="360"/>
              <w:spacing w:after="0"/>
              <w:rPr>
                <w:sz w:val="20"/>
                <w:szCs w:val="20"/>
                <w:color w:val="auto"/>
              </w:rPr>
            </w:pPr>
            <w:r>
              <w:rPr>
                <w:rFonts w:ascii="Arial" w:cs="Arial" w:eastAsia="Arial" w:hAnsi="Arial"/>
                <w:sz w:val="18"/>
                <w:szCs w:val="18"/>
                <w:color w:val="auto"/>
              </w:rPr>
              <w:t>Compliance with the Swiss Non-Bank Rules</w:t>
            </w: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18"/>
        </w:trPr>
        <w:tc>
          <w:tcPr>
            <w:tcW w:w="1260" w:type="dxa"/>
            <w:vAlign w:val="bottom"/>
          </w:tcPr>
          <w:p>
            <w:pPr>
              <w:spacing w:after="0"/>
              <w:rPr>
                <w:sz w:val="24"/>
                <w:szCs w:val="24"/>
                <w:color w:val="auto"/>
              </w:rPr>
            </w:pPr>
          </w:p>
        </w:tc>
        <w:tc>
          <w:tcPr>
            <w:tcW w:w="9180" w:type="dxa"/>
            <w:vAlign w:val="bottom"/>
          </w:tcPr>
          <w:p>
            <w:pPr>
              <w:jc w:val="center"/>
              <w:ind w:right="170"/>
              <w:spacing w:after="0"/>
              <w:rPr>
                <w:sz w:val="20"/>
                <w:szCs w:val="20"/>
                <w:color w:val="auto"/>
              </w:rPr>
            </w:pPr>
            <w:r>
              <w:rPr>
                <w:rFonts w:ascii="Arial" w:cs="Arial" w:eastAsia="Arial" w:hAnsi="Arial"/>
                <w:sz w:val="18"/>
                <w:szCs w:val="18"/>
                <w:color w:val="auto"/>
              </w:rPr>
              <w:t>ARTICLE VII</w:t>
            </w:r>
          </w:p>
        </w:tc>
        <w:tc>
          <w:tcPr>
            <w:tcW w:w="102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9180" w:type="dxa"/>
            <w:vAlign w:val="bottom"/>
          </w:tcPr>
          <w:p>
            <w:pPr>
              <w:jc w:val="center"/>
              <w:ind w:right="170"/>
              <w:spacing w:after="0"/>
              <w:rPr>
                <w:sz w:val="20"/>
                <w:szCs w:val="20"/>
                <w:color w:val="auto"/>
              </w:rPr>
            </w:pPr>
            <w:r>
              <w:rPr>
                <w:rFonts w:ascii="Arial" w:cs="Arial" w:eastAsia="Arial" w:hAnsi="Arial"/>
                <w:sz w:val="18"/>
                <w:szCs w:val="18"/>
                <w:color w:val="auto"/>
                <w:w w:val="98"/>
              </w:rPr>
              <w:t>AFFIRMATIVE COVENANTS</w:t>
            </w:r>
          </w:p>
        </w:tc>
        <w:tc>
          <w:tcPr>
            <w:tcW w:w="1020" w:type="dxa"/>
            <w:vAlign w:val="bottom"/>
          </w:tcPr>
          <w:p>
            <w:pPr>
              <w:spacing w:after="0"/>
              <w:rPr>
                <w:sz w:val="20"/>
                <w:szCs w:val="20"/>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Section 7.01</w:t>
            </w:r>
          </w:p>
        </w:tc>
        <w:tc>
          <w:tcPr>
            <w:tcW w:w="9180" w:type="dxa"/>
            <w:vAlign w:val="bottom"/>
          </w:tcPr>
          <w:p>
            <w:pPr>
              <w:ind w:left="360"/>
              <w:spacing w:after="0"/>
              <w:rPr>
                <w:sz w:val="20"/>
                <w:szCs w:val="20"/>
                <w:color w:val="auto"/>
              </w:rPr>
            </w:pPr>
            <w:r>
              <w:rPr>
                <w:rFonts w:ascii="Arial" w:cs="Arial" w:eastAsia="Arial" w:hAnsi="Arial"/>
                <w:sz w:val="18"/>
                <w:szCs w:val="18"/>
                <w:color w:val="auto"/>
              </w:rPr>
              <w:t>Information Covenants</w:t>
            </w: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7.02</w:t>
            </w:r>
          </w:p>
        </w:tc>
        <w:tc>
          <w:tcPr>
            <w:tcW w:w="9180" w:type="dxa"/>
            <w:vAlign w:val="bottom"/>
          </w:tcPr>
          <w:p>
            <w:pPr>
              <w:ind w:left="360"/>
              <w:spacing w:after="0"/>
              <w:rPr>
                <w:sz w:val="20"/>
                <w:szCs w:val="20"/>
                <w:color w:val="auto"/>
              </w:rPr>
            </w:pPr>
            <w:r>
              <w:rPr>
                <w:rFonts w:ascii="Arial" w:cs="Arial" w:eastAsia="Arial" w:hAnsi="Arial"/>
                <w:sz w:val="18"/>
                <w:szCs w:val="18"/>
                <w:color w:val="auto"/>
              </w:rPr>
              <w:t>Books, Records and Inspections</w:t>
            </w: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7.03</w:t>
            </w:r>
          </w:p>
        </w:tc>
        <w:tc>
          <w:tcPr>
            <w:tcW w:w="9180" w:type="dxa"/>
            <w:vAlign w:val="bottom"/>
          </w:tcPr>
          <w:p>
            <w:pPr>
              <w:ind w:left="360"/>
              <w:spacing w:after="0"/>
              <w:rPr>
                <w:sz w:val="20"/>
                <w:szCs w:val="20"/>
                <w:color w:val="auto"/>
              </w:rPr>
            </w:pPr>
            <w:r>
              <w:rPr>
                <w:rFonts w:ascii="Arial" w:cs="Arial" w:eastAsia="Arial" w:hAnsi="Arial"/>
                <w:sz w:val="18"/>
                <w:szCs w:val="18"/>
                <w:color w:val="auto"/>
              </w:rPr>
              <w:t>Insurance</w:t>
            </w: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7.04</w:t>
            </w:r>
          </w:p>
        </w:tc>
        <w:tc>
          <w:tcPr>
            <w:tcW w:w="9180" w:type="dxa"/>
            <w:vAlign w:val="bottom"/>
          </w:tcPr>
          <w:p>
            <w:pPr>
              <w:ind w:left="360"/>
              <w:spacing w:after="0"/>
              <w:rPr>
                <w:sz w:val="20"/>
                <w:szCs w:val="20"/>
                <w:color w:val="auto"/>
              </w:rPr>
            </w:pPr>
            <w:r>
              <w:rPr>
                <w:rFonts w:ascii="Arial" w:cs="Arial" w:eastAsia="Arial" w:hAnsi="Arial"/>
                <w:sz w:val="18"/>
                <w:szCs w:val="18"/>
                <w:color w:val="auto"/>
              </w:rPr>
              <w:t>Payment of Taxes and other Claims</w:t>
            </w: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7.05</w:t>
            </w:r>
          </w:p>
        </w:tc>
        <w:tc>
          <w:tcPr>
            <w:tcW w:w="9180" w:type="dxa"/>
            <w:vAlign w:val="bottom"/>
          </w:tcPr>
          <w:p>
            <w:pPr>
              <w:ind w:left="360"/>
              <w:spacing w:after="0"/>
              <w:rPr>
                <w:sz w:val="20"/>
                <w:szCs w:val="20"/>
                <w:color w:val="auto"/>
              </w:rPr>
            </w:pPr>
            <w:r>
              <w:rPr>
                <w:rFonts w:ascii="Arial" w:cs="Arial" w:eastAsia="Arial" w:hAnsi="Arial"/>
                <w:sz w:val="18"/>
                <w:szCs w:val="18"/>
                <w:color w:val="auto"/>
              </w:rPr>
              <w:t>Existence</w:t>
            </w: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7.06</w:t>
            </w:r>
          </w:p>
        </w:tc>
        <w:tc>
          <w:tcPr>
            <w:tcW w:w="9180" w:type="dxa"/>
            <w:vAlign w:val="bottom"/>
          </w:tcPr>
          <w:p>
            <w:pPr>
              <w:ind w:left="360"/>
              <w:spacing w:after="0"/>
              <w:rPr>
                <w:sz w:val="20"/>
                <w:szCs w:val="20"/>
                <w:color w:val="auto"/>
              </w:rPr>
            </w:pPr>
            <w:r>
              <w:rPr>
                <w:rFonts w:ascii="Arial" w:cs="Arial" w:eastAsia="Arial" w:hAnsi="Arial"/>
                <w:sz w:val="18"/>
                <w:szCs w:val="18"/>
                <w:color w:val="auto"/>
              </w:rPr>
              <w:t>ERISA Compliance</w:t>
            </w: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7.07</w:t>
            </w:r>
          </w:p>
        </w:tc>
        <w:tc>
          <w:tcPr>
            <w:tcW w:w="9180" w:type="dxa"/>
            <w:vAlign w:val="bottom"/>
          </w:tcPr>
          <w:p>
            <w:pPr>
              <w:ind w:left="360"/>
              <w:spacing w:after="0"/>
              <w:rPr>
                <w:sz w:val="20"/>
                <w:szCs w:val="20"/>
                <w:color w:val="auto"/>
              </w:rPr>
            </w:pPr>
            <w:r>
              <w:rPr>
                <w:rFonts w:ascii="Arial" w:cs="Arial" w:eastAsia="Arial" w:hAnsi="Arial"/>
                <w:sz w:val="18"/>
                <w:szCs w:val="18"/>
                <w:color w:val="auto"/>
              </w:rPr>
              <w:t>Compliance with Laws and Material Contractual Obligations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7.08</w:t>
            </w:r>
          </w:p>
        </w:tc>
        <w:tc>
          <w:tcPr>
            <w:tcW w:w="9180" w:type="dxa"/>
            <w:vAlign w:val="bottom"/>
          </w:tcPr>
          <w:p>
            <w:pPr>
              <w:ind w:left="360"/>
              <w:spacing w:after="0"/>
              <w:rPr>
                <w:sz w:val="20"/>
                <w:szCs w:val="20"/>
                <w:color w:val="auto"/>
              </w:rPr>
            </w:pPr>
            <w:r>
              <w:rPr>
                <w:rFonts w:ascii="Arial" w:cs="Arial" w:eastAsia="Arial" w:hAnsi="Arial"/>
                <w:sz w:val="18"/>
                <w:szCs w:val="18"/>
                <w:color w:val="auto"/>
              </w:rPr>
              <w:t>Additional Guarantors; Additional Collateral; Additional Specified Jurisdictions; Further Assurances</w:t>
            </w: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7.09</w:t>
            </w:r>
          </w:p>
        </w:tc>
        <w:tc>
          <w:tcPr>
            <w:tcW w:w="9180" w:type="dxa"/>
            <w:vAlign w:val="bottom"/>
          </w:tcPr>
          <w:p>
            <w:pPr>
              <w:ind w:left="360"/>
              <w:spacing w:after="0"/>
              <w:rPr>
                <w:sz w:val="20"/>
                <w:szCs w:val="20"/>
                <w:color w:val="auto"/>
              </w:rPr>
            </w:pPr>
            <w:r>
              <w:rPr>
                <w:rFonts w:ascii="Arial" w:cs="Arial" w:eastAsia="Arial" w:hAnsi="Arial"/>
                <w:sz w:val="18"/>
                <w:szCs w:val="18"/>
                <w:color w:val="auto"/>
                <w:w w:val="99"/>
              </w:rPr>
              <w:t>Designation of Unrestricted Subsidiaries; Redesignation of Unrestricted Subsidiaries as Restricted Subsidiaries</w:t>
            </w: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7.10</w:t>
            </w:r>
          </w:p>
        </w:tc>
        <w:tc>
          <w:tcPr>
            <w:tcW w:w="9180" w:type="dxa"/>
            <w:vAlign w:val="bottom"/>
          </w:tcPr>
          <w:p>
            <w:pPr>
              <w:ind w:left="360"/>
              <w:spacing w:after="0"/>
              <w:rPr>
                <w:sz w:val="20"/>
                <w:szCs w:val="20"/>
                <w:color w:val="auto"/>
              </w:rPr>
            </w:pPr>
            <w:r>
              <w:rPr>
                <w:rFonts w:ascii="Arial" w:cs="Arial" w:eastAsia="Arial" w:hAnsi="Arial"/>
                <w:sz w:val="18"/>
                <w:szCs w:val="18"/>
                <w:color w:val="auto"/>
              </w:rPr>
              <w:t>More Favorable Financial Covenants</w:t>
            </w: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-6562090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-6562090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0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7.11</w:t>
            </w:r>
          </w:p>
        </w:tc>
        <w:tc>
          <w:tcPr>
            <w:tcW w:w="8980" w:type="dxa"/>
            <w:vAlign w:val="bottom"/>
          </w:tcPr>
          <w:p>
            <w:pPr>
              <w:ind w:left="300"/>
              <w:spacing w:after="0"/>
              <w:rPr>
                <w:sz w:val="20"/>
                <w:szCs w:val="20"/>
                <w:color w:val="auto"/>
              </w:rPr>
            </w:pPr>
            <w:r>
              <w:rPr>
                <w:rFonts w:ascii="Arial" w:cs="Arial" w:eastAsia="Arial" w:hAnsi="Arial"/>
                <w:sz w:val="18"/>
                <w:szCs w:val="18"/>
                <w:color w:val="auto"/>
              </w:rPr>
              <w:t>Post-Closing Matters</w:t>
            </w: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7.12</w:t>
            </w:r>
          </w:p>
        </w:tc>
        <w:tc>
          <w:tcPr>
            <w:tcW w:w="8980" w:type="dxa"/>
            <w:vAlign w:val="bottom"/>
          </w:tcPr>
          <w:p>
            <w:pPr>
              <w:ind w:left="300"/>
              <w:spacing w:after="0"/>
              <w:rPr>
                <w:sz w:val="20"/>
                <w:szCs w:val="20"/>
                <w:color w:val="auto"/>
              </w:rPr>
            </w:pPr>
            <w:r>
              <w:rPr>
                <w:rFonts w:ascii="Arial" w:cs="Arial" w:eastAsia="Arial" w:hAnsi="Arial"/>
                <w:sz w:val="18"/>
                <w:szCs w:val="18"/>
                <w:color w:val="auto"/>
              </w:rPr>
              <w:t>Compliance with the Swiss Non-Bank Rules</w:t>
            </w: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7.13</w:t>
            </w:r>
          </w:p>
        </w:tc>
        <w:tc>
          <w:tcPr>
            <w:tcW w:w="8980" w:type="dxa"/>
            <w:vAlign w:val="bottom"/>
          </w:tcPr>
          <w:p>
            <w:pPr>
              <w:ind w:left="300"/>
              <w:spacing w:after="0"/>
              <w:rPr>
                <w:sz w:val="20"/>
                <w:szCs w:val="20"/>
                <w:color w:val="auto"/>
              </w:rPr>
            </w:pPr>
            <w:r>
              <w:rPr>
                <w:rFonts w:ascii="Arial" w:cs="Arial" w:eastAsia="Arial" w:hAnsi="Arial"/>
                <w:sz w:val="18"/>
                <w:szCs w:val="18"/>
                <w:color w:val="auto"/>
              </w:rPr>
              <w:t>Secured Facility Covenant</w:t>
            </w: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18"/>
        </w:trPr>
        <w:tc>
          <w:tcPr>
            <w:tcW w:w="1320" w:type="dxa"/>
            <w:vAlign w:val="bottom"/>
          </w:tcPr>
          <w:p>
            <w:pPr>
              <w:spacing w:after="0"/>
              <w:rPr>
                <w:sz w:val="24"/>
                <w:szCs w:val="24"/>
                <w:color w:val="auto"/>
              </w:rPr>
            </w:pPr>
          </w:p>
        </w:tc>
        <w:tc>
          <w:tcPr>
            <w:tcW w:w="8980" w:type="dxa"/>
            <w:vAlign w:val="bottom"/>
          </w:tcPr>
          <w:p>
            <w:pPr>
              <w:jc w:val="center"/>
              <w:ind w:right="110"/>
              <w:spacing w:after="0"/>
              <w:rPr>
                <w:sz w:val="20"/>
                <w:szCs w:val="20"/>
                <w:color w:val="auto"/>
              </w:rPr>
            </w:pPr>
            <w:r>
              <w:rPr>
                <w:rFonts w:ascii="Arial" w:cs="Arial" w:eastAsia="Arial" w:hAnsi="Arial"/>
                <w:sz w:val="18"/>
                <w:szCs w:val="18"/>
                <w:color w:val="auto"/>
              </w:rPr>
              <w:t>ARTICLE VIII</w:t>
            </w:r>
          </w:p>
        </w:tc>
        <w:tc>
          <w:tcPr>
            <w:tcW w:w="1160" w:type="dxa"/>
            <w:vAlign w:val="bottom"/>
          </w:tcPr>
          <w:p>
            <w:pPr>
              <w:spacing w:after="0"/>
              <w:rPr>
                <w:sz w:val="24"/>
                <w:szCs w:val="24"/>
                <w:color w:val="auto"/>
              </w:rPr>
            </w:pPr>
          </w:p>
        </w:tc>
      </w:tr>
      <w:tr>
        <w:trPr>
          <w:trHeight w:val="230"/>
        </w:trPr>
        <w:tc>
          <w:tcPr>
            <w:tcW w:w="1320" w:type="dxa"/>
            <w:vAlign w:val="bottom"/>
          </w:tcPr>
          <w:p>
            <w:pPr>
              <w:spacing w:after="0"/>
              <w:rPr>
                <w:sz w:val="20"/>
                <w:szCs w:val="20"/>
                <w:color w:val="auto"/>
              </w:rPr>
            </w:pPr>
          </w:p>
        </w:tc>
        <w:tc>
          <w:tcPr>
            <w:tcW w:w="8980" w:type="dxa"/>
            <w:vAlign w:val="bottom"/>
          </w:tcPr>
          <w:p>
            <w:pPr>
              <w:jc w:val="center"/>
              <w:ind w:right="110"/>
              <w:spacing w:after="0"/>
              <w:rPr>
                <w:sz w:val="20"/>
                <w:szCs w:val="20"/>
                <w:color w:val="auto"/>
              </w:rPr>
            </w:pPr>
            <w:r>
              <w:rPr>
                <w:rFonts w:ascii="Arial" w:cs="Arial" w:eastAsia="Arial" w:hAnsi="Arial"/>
                <w:sz w:val="18"/>
                <w:szCs w:val="18"/>
                <w:color w:val="auto"/>
                <w:w w:val="97"/>
              </w:rPr>
              <w:t>NEGATIVE COVENANTS</w:t>
            </w:r>
          </w:p>
        </w:tc>
        <w:tc>
          <w:tcPr>
            <w:tcW w:w="1160" w:type="dxa"/>
            <w:vAlign w:val="bottom"/>
          </w:tcPr>
          <w:p>
            <w:pPr>
              <w:spacing w:after="0"/>
              <w:rPr>
                <w:sz w:val="20"/>
                <w:szCs w:val="20"/>
                <w:color w:val="auto"/>
              </w:rPr>
            </w:pP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Section 8.01</w:t>
            </w:r>
          </w:p>
        </w:tc>
        <w:tc>
          <w:tcPr>
            <w:tcW w:w="8980" w:type="dxa"/>
            <w:vAlign w:val="bottom"/>
          </w:tcPr>
          <w:p>
            <w:pPr>
              <w:ind w:left="300"/>
              <w:spacing w:after="0"/>
              <w:rPr>
                <w:sz w:val="20"/>
                <w:szCs w:val="20"/>
                <w:color w:val="auto"/>
              </w:rPr>
            </w:pPr>
            <w:r>
              <w:rPr>
                <w:rFonts w:ascii="Arial" w:cs="Arial" w:eastAsia="Arial" w:hAnsi="Arial"/>
                <w:sz w:val="18"/>
                <w:szCs w:val="18"/>
                <w:color w:val="auto"/>
              </w:rPr>
              <w:t>Indebtedness</w:t>
            </w: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8.02</w:t>
            </w:r>
          </w:p>
        </w:tc>
        <w:tc>
          <w:tcPr>
            <w:tcW w:w="8980" w:type="dxa"/>
            <w:vAlign w:val="bottom"/>
          </w:tcPr>
          <w:p>
            <w:pPr>
              <w:ind w:left="300"/>
              <w:spacing w:after="0"/>
              <w:rPr>
                <w:sz w:val="20"/>
                <w:szCs w:val="20"/>
                <w:color w:val="auto"/>
              </w:rPr>
            </w:pPr>
            <w:r>
              <w:rPr>
                <w:rFonts w:ascii="Arial" w:cs="Arial" w:eastAsia="Arial" w:hAnsi="Arial"/>
                <w:sz w:val="18"/>
                <w:szCs w:val="18"/>
                <w:color w:val="auto"/>
              </w:rPr>
              <w:t>Fundamental Changes</w:t>
            </w: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8.03</w:t>
            </w:r>
          </w:p>
        </w:tc>
        <w:tc>
          <w:tcPr>
            <w:tcW w:w="8980" w:type="dxa"/>
            <w:vAlign w:val="bottom"/>
          </w:tcPr>
          <w:p>
            <w:pPr>
              <w:ind w:left="300"/>
              <w:spacing w:after="0"/>
              <w:rPr>
                <w:sz w:val="20"/>
                <w:szCs w:val="20"/>
                <w:color w:val="auto"/>
              </w:rPr>
            </w:pPr>
            <w:r>
              <w:rPr>
                <w:rFonts w:ascii="Arial" w:cs="Arial" w:eastAsia="Arial" w:hAnsi="Arial"/>
                <w:sz w:val="18"/>
                <w:szCs w:val="18"/>
                <w:color w:val="auto"/>
              </w:rPr>
              <w:t>Material Change in Business</w:t>
            </w: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8.04</w:t>
            </w:r>
          </w:p>
        </w:tc>
        <w:tc>
          <w:tcPr>
            <w:tcW w:w="8980" w:type="dxa"/>
            <w:vAlign w:val="bottom"/>
          </w:tcPr>
          <w:p>
            <w:pPr>
              <w:ind w:left="300"/>
              <w:spacing w:after="0"/>
              <w:rPr>
                <w:sz w:val="20"/>
                <w:szCs w:val="20"/>
                <w:color w:val="auto"/>
              </w:rPr>
            </w:pPr>
            <w:r>
              <w:rPr>
                <w:rFonts w:ascii="Arial" w:cs="Arial" w:eastAsia="Arial" w:hAnsi="Arial"/>
                <w:sz w:val="18"/>
                <w:szCs w:val="18"/>
                <w:color w:val="auto"/>
              </w:rPr>
              <w:t>Liens</w:t>
            </w: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8.05</w:t>
            </w:r>
          </w:p>
        </w:tc>
        <w:tc>
          <w:tcPr>
            <w:tcW w:w="8980" w:type="dxa"/>
            <w:vAlign w:val="bottom"/>
          </w:tcPr>
          <w:p>
            <w:pPr>
              <w:ind w:left="300"/>
              <w:spacing w:after="0"/>
              <w:rPr>
                <w:sz w:val="20"/>
                <w:szCs w:val="20"/>
                <w:color w:val="auto"/>
              </w:rPr>
            </w:pPr>
            <w:r>
              <w:rPr>
                <w:rFonts w:ascii="Arial" w:cs="Arial" w:eastAsia="Arial" w:hAnsi="Arial"/>
                <w:sz w:val="18"/>
                <w:szCs w:val="18"/>
                <w:color w:val="auto"/>
              </w:rPr>
              <w:t>Asset Dispositions</w:t>
            </w: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8.06</w:t>
            </w:r>
          </w:p>
        </w:tc>
        <w:tc>
          <w:tcPr>
            <w:tcW w:w="8980" w:type="dxa"/>
            <w:vAlign w:val="bottom"/>
          </w:tcPr>
          <w:p>
            <w:pPr>
              <w:ind w:left="300"/>
              <w:spacing w:after="0"/>
              <w:rPr>
                <w:sz w:val="20"/>
                <w:szCs w:val="20"/>
                <w:color w:val="auto"/>
              </w:rPr>
            </w:pPr>
            <w:r>
              <w:rPr>
                <w:rFonts w:ascii="Arial" w:cs="Arial" w:eastAsia="Arial" w:hAnsi="Arial"/>
                <w:sz w:val="18"/>
                <w:szCs w:val="18"/>
                <w:color w:val="auto"/>
              </w:rPr>
              <w:t>Investments</w:t>
            </w:r>
          </w:p>
        </w:tc>
        <w:tc>
          <w:tcPr>
            <w:tcW w:w="11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8.07</w:t>
            </w:r>
          </w:p>
        </w:tc>
        <w:tc>
          <w:tcPr>
            <w:tcW w:w="8980" w:type="dxa"/>
            <w:vAlign w:val="bottom"/>
          </w:tcPr>
          <w:p>
            <w:pPr>
              <w:ind w:left="300"/>
              <w:spacing w:after="0"/>
              <w:rPr>
                <w:sz w:val="20"/>
                <w:szCs w:val="20"/>
                <w:color w:val="auto"/>
              </w:rPr>
            </w:pPr>
            <w:r>
              <w:rPr>
                <w:rFonts w:ascii="Arial" w:cs="Arial" w:eastAsia="Arial" w:hAnsi="Arial"/>
                <w:sz w:val="18"/>
                <w:szCs w:val="18"/>
                <w:color w:val="auto"/>
              </w:rPr>
              <w:t>Swap Agreements</w:t>
            </w: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8.08</w:t>
            </w:r>
          </w:p>
        </w:tc>
        <w:tc>
          <w:tcPr>
            <w:tcW w:w="8980" w:type="dxa"/>
            <w:vAlign w:val="bottom"/>
          </w:tcPr>
          <w:p>
            <w:pPr>
              <w:ind w:left="300"/>
              <w:spacing w:after="0"/>
              <w:rPr>
                <w:sz w:val="20"/>
                <w:szCs w:val="20"/>
                <w:color w:val="auto"/>
              </w:rPr>
            </w:pPr>
            <w:r>
              <w:rPr>
                <w:rFonts w:ascii="Arial" w:cs="Arial" w:eastAsia="Arial" w:hAnsi="Arial"/>
                <w:sz w:val="18"/>
                <w:szCs w:val="18"/>
                <w:color w:val="auto"/>
              </w:rPr>
              <w:t>Restricted Payments</w:t>
            </w:r>
          </w:p>
        </w:tc>
        <w:tc>
          <w:tcPr>
            <w:tcW w:w="11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8.09</w:t>
            </w:r>
          </w:p>
        </w:tc>
        <w:tc>
          <w:tcPr>
            <w:tcW w:w="8980" w:type="dxa"/>
            <w:vAlign w:val="bottom"/>
          </w:tcPr>
          <w:p>
            <w:pPr>
              <w:ind w:left="300"/>
              <w:spacing w:after="0"/>
              <w:rPr>
                <w:sz w:val="20"/>
                <w:szCs w:val="20"/>
                <w:color w:val="auto"/>
              </w:rPr>
            </w:pPr>
            <w:r>
              <w:rPr>
                <w:rFonts w:ascii="Arial" w:cs="Arial" w:eastAsia="Arial" w:hAnsi="Arial"/>
                <w:sz w:val="18"/>
                <w:szCs w:val="18"/>
                <w:color w:val="auto"/>
              </w:rPr>
              <w:t>Financial Covenants</w:t>
            </w: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8.10</w:t>
            </w:r>
          </w:p>
        </w:tc>
        <w:tc>
          <w:tcPr>
            <w:tcW w:w="8980" w:type="dxa"/>
            <w:vAlign w:val="bottom"/>
          </w:tcPr>
          <w:p>
            <w:pPr>
              <w:ind w:left="300"/>
              <w:spacing w:after="0"/>
              <w:rPr>
                <w:sz w:val="20"/>
                <w:szCs w:val="20"/>
                <w:color w:val="auto"/>
              </w:rPr>
            </w:pPr>
            <w:r>
              <w:rPr>
                <w:rFonts w:ascii="Arial" w:cs="Arial" w:eastAsia="Arial" w:hAnsi="Arial"/>
                <w:sz w:val="18"/>
                <w:szCs w:val="18"/>
                <w:color w:val="auto"/>
              </w:rPr>
              <w:t>Limitation on Transactions with Affiliates</w:t>
            </w: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8.11</w:t>
            </w:r>
          </w:p>
        </w:tc>
        <w:tc>
          <w:tcPr>
            <w:tcW w:w="8980" w:type="dxa"/>
            <w:vAlign w:val="bottom"/>
          </w:tcPr>
          <w:p>
            <w:pPr>
              <w:ind w:left="300"/>
              <w:spacing w:after="0"/>
              <w:rPr>
                <w:sz w:val="20"/>
                <w:szCs w:val="20"/>
                <w:color w:val="auto"/>
              </w:rPr>
            </w:pPr>
            <w:r>
              <w:rPr>
                <w:rFonts w:ascii="Arial" w:cs="Arial" w:eastAsia="Arial" w:hAnsi="Arial"/>
                <w:sz w:val="18"/>
                <w:szCs w:val="18"/>
                <w:color w:val="auto"/>
              </w:rPr>
              <w:t>Restrictive Agreements</w:t>
            </w:r>
          </w:p>
        </w:tc>
        <w:tc>
          <w:tcPr>
            <w:tcW w:w="11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8.12</w:t>
            </w:r>
          </w:p>
        </w:tc>
        <w:tc>
          <w:tcPr>
            <w:tcW w:w="8980" w:type="dxa"/>
            <w:vAlign w:val="bottom"/>
          </w:tcPr>
          <w:p>
            <w:pPr>
              <w:ind w:left="300"/>
              <w:spacing w:after="0"/>
              <w:rPr>
                <w:sz w:val="20"/>
                <w:szCs w:val="20"/>
                <w:color w:val="auto"/>
              </w:rPr>
            </w:pPr>
            <w:r>
              <w:rPr>
                <w:rFonts w:ascii="Arial" w:cs="Arial" w:eastAsia="Arial" w:hAnsi="Arial"/>
                <w:sz w:val="18"/>
                <w:szCs w:val="18"/>
                <w:color w:val="auto"/>
              </w:rPr>
              <w:t>Use of Proceeds</w:t>
            </w: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8.13</w:t>
            </w:r>
          </w:p>
        </w:tc>
        <w:tc>
          <w:tcPr>
            <w:tcW w:w="8980" w:type="dxa"/>
            <w:vAlign w:val="bottom"/>
          </w:tcPr>
          <w:p>
            <w:pPr>
              <w:ind w:left="300"/>
              <w:spacing w:after="0"/>
              <w:rPr>
                <w:sz w:val="20"/>
                <w:szCs w:val="20"/>
                <w:color w:val="auto"/>
              </w:rPr>
            </w:pPr>
            <w:r>
              <w:rPr>
                <w:rFonts w:ascii="Arial" w:cs="Arial" w:eastAsia="Arial" w:hAnsi="Arial"/>
                <w:sz w:val="18"/>
                <w:szCs w:val="18"/>
                <w:color w:val="auto"/>
              </w:rPr>
              <w:t>Changes to Fiscal Year</w:t>
            </w: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8.14</w:t>
            </w:r>
          </w:p>
        </w:tc>
        <w:tc>
          <w:tcPr>
            <w:tcW w:w="8980" w:type="dxa"/>
            <w:vAlign w:val="bottom"/>
          </w:tcPr>
          <w:p>
            <w:pPr>
              <w:ind w:left="300"/>
              <w:spacing w:after="0"/>
              <w:rPr>
                <w:sz w:val="20"/>
                <w:szCs w:val="20"/>
                <w:color w:val="auto"/>
              </w:rPr>
            </w:pPr>
            <w:r>
              <w:rPr>
                <w:rFonts w:ascii="Arial" w:cs="Arial" w:eastAsia="Arial" w:hAnsi="Arial"/>
                <w:sz w:val="18"/>
                <w:szCs w:val="18"/>
                <w:color w:val="auto"/>
              </w:rPr>
              <w:t>Amendments to Documents Governing Certain Indebtedness</w:t>
            </w: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8.15</w:t>
            </w:r>
          </w:p>
        </w:tc>
        <w:tc>
          <w:tcPr>
            <w:tcW w:w="8980" w:type="dxa"/>
            <w:vAlign w:val="bottom"/>
          </w:tcPr>
          <w:p>
            <w:pPr>
              <w:ind w:left="300"/>
              <w:spacing w:after="0"/>
              <w:rPr>
                <w:sz w:val="20"/>
                <w:szCs w:val="20"/>
                <w:color w:val="auto"/>
              </w:rPr>
            </w:pPr>
            <w:r>
              <w:rPr>
                <w:rFonts w:ascii="Arial" w:cs="Arial" w:eastAsia="Arial" w:hAnsi="Arial"/>
                <w:sz w:val="18"/>
                <w:szCs w:val="18"/>
                <w:color w:val="auto"/>
              </w:rPr>
              <w:t>Limit on Credit Support Instruments</w:t>
            </w: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8.16</w:t>
            </w:r>
          </w:p>
        </w:tc>
        <w:tc>
          <w:tcPr>
            <w:tcW w:w="8980" w:type="dxa"/>
            <w:vAlign w:val="bottom"/>
          </w:tcPr>
          <w:p>
            <w:pPr>
              <w:ind w:left="300"/>
              <w:spacing w:after="0"/>
              <w:rPr>
                <w:sz w:val="20"/>
                <w:szCs w:val="20"/>
                <w:color w:val="auto"/>
              </w:rPr>
            </w:pPr>
            <w:r>
              <w:rPr>
                <w:rFonts w:ascii="Arial" w:cs="Arial" w:eastAsia="Arial" w:hAnsi="Arial"/>
                <w:sz w:val="18"/>
                <w:szCs w:val="18"/>
                <w:color w:val="auto"/>
              </w:rPr>
              <w:t>Current Assets and Current Liabilities</w:t>
            </w: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418"/>
        </w:trPr>
        <w:tc>
          <w:tcPr>
            <w:tcW w:w="1320" w:type="dxa"/>
            <w:vAlign w:val="bottom"/>
          </w:tcPr>
          <w:p>
            <w:pPr>
              <w:spacing w:after="0"/>
              <w:rPr>
                <w:sz w:val="24"/>
                <w:szCs w:val="24"/>
                <w:color w:val="auto"/>
              </w:rPr>
            </w:pPr>
          </w:p>
        </w:tc>
        <w:tc>
          <w:tcPr>
            <w:tcW w:w="8980" w:type="dxa"/>
            <w:vAlign w:val="bottom"/>
          </w:tcPr>
          <w:p>
            <w:pPr>
              <w:jc w:val="center"/>
              <w:ind w:right="110"/>
              <w:spacing w:after="0"/>
              <w:rPr>
                <w:sz w:val="20"/>
                <w:szCs w:val="20"/>
                <w:color w:val="auto"/>
              </w:rPr>
            </w:pPr>
            <w:r>
              <w:rPr>
                <w:rFonts w:ascii="Arial" w:cs="Arial" w:eastAsia="Arial" w:hAnsi="Arial"/>
                <w:sz w:val="18"/>
                <w:szCs w:val="18"/>
                <w:color w:val="auto"/>
                <w:w w:val="99"/>
              </w:rPr>
              <w:t>ARTICLE IX</w:t>
            </w:r>
          </w:p>
        </w:tc>
        <w:tc>
          <w:tcPr>
            <w:tcW w:w="1160" w:type="dxa"/>
            <w:vAlign w:val="bottom"/>
          </w:tcPr>
          <w:p>
            <w:pPr>
              <w:spacing w:after="0"/>
              <w:rPr>
                <w:sz w:val="24"/>
                <w:szCs w:val="24"/>
                <w:color w:val="auto"/>
              </w:rPr>
            </w:pPr>
          </w:p>
        </w:tc>
      </w:tr>
      <w:tr>
        <w:trPr>
          <w:trHeight w:val="230"/>
        </w:trPr>
        <w:tc>
          <w:tcPr>
            <w:tcW w:w="1320" w:type="dxa"/>
            <w:vAlign w:val="bottom"/>
          </w:tcPr>
          <w:p>
            <w:pPr>
              <w:spacing w:after="0"/>
              <w:rPr>
                <w:sz w:val="20"/>
                <w:szCs w:val="20"/>
                <w:color w:val="auto"/>
              </w:rPr>
            </w:pPr>
          </w:p>
        </w:tc>
        <w:tc>
          <w:tcPr>
            <w:tcW w:w="8980" w:type="dxa"/>
            <w:vAlign w:val="bottom"/>
          </w:tcPr>
          <w:p>
            <w:pPr>
              <w:jc w:val="center"/>
              <w:ind w:right="110"/>
              <w:spacing w:after="0"/>
              <w:rPr>
                <w:sz w:val="20"/>
                <w:szCs w:val="20"/>
                <w:color w:val="auto"/>
              </w:rPr>
            </w:pPr>
            <w:r>
              <w:rPr>
                <w:rFonts w:ascii="Arial" w:cs="Arial" w:eastAsia="Arial" w:hAnsi="Arial"/>
                <w:sz w:val="18"/>
                <w:szCs w:val="18"/>
                <w:color w:val="auto"/>
                <w:w w:val="96"/>
              </w:rPr>
              <w:t>EVENTS OF DEFAULT AND REMEDIES</w:t>
            </w:r>
          </w:p>
        </w:tc>
        <w:tc>
          <w:tcPr>
            <w:tcW w:w="1160" w:type="dxa"/>
            <w:vAlign w:val="bottom"/>
          </w:tcPr>
          <w:p>
            <w:pPr>
              <w:spacing w:after="0"/>
              <w:rPr>
                <w:sz w:val="20"/>
                <w:szCs w:val="20"/>
                <w:color w:val="auto"/>
              </w:rPr>
            </w:pP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Section 9.01</w:t>
            </w:r>
          </w:p>
        </w:tc>
        <w:tc>
          <w:tcPr>
            <w:tcW w:w="8980" w:type="dxa"/>
            <w:vAlign w:val="bottom"/>
          </w:tcPr>
          <w:p>
            <w:pPr>
              <w:ind w:left="300"/>
              <w:spacing w:after="0"/>
              <w:rPr>
                <w:sz w:val="20"/>
                <w:szCs w:val="20"/>
                <w:color w:val="auto"/>
              </w:rPr>
            </w:pPr>
            <w:r>
              <w:rPr>
                <w:rFonts w:ascii="Arial" w:cs="Arial" w:eastAsia="Arial" w:hAnsi="Arial"/>
                <w:sz w:val="18"/>
                <w:szCs w:val="18"/>
                <w:color w:val="auto"/>
              </w:rPr>
              <w:t>Events of Default and Remedies</w:t>
            </w: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9.02</w:t>
            </w:r>
          </w:p>
        </w:tc>
        <w:tc>
          <w:tcPr>
            <w:tcW w:w="8980" w:type="dxa"/>
            <w:vAlign w:val="bottom"/>
          </w:tcPr>
          <w:p>
            <w:pPr>
              <w:ind w:left="300"/>
              <w:spacing w:after="0"/>
              <w:rPr>
                <w:sz w:val="20"/>
                <w:szCs w:val="20"/>
                <w:color w:val="auto"/>
              </w:rPr>
            </w:pPr>
            <w:r>
              <w:rPr>
                <w:rFonts w:ascii="Arial" w:cs="Arial" w:eastAsia="Arial" w:hAnsi="Arial"/>
                <w:sz w:val="18"/>
                <w:szCs w:val="18"/>
                <w:color w:val="auto"/>
              </w:rPr>
              <w:t>Right of Setoff</w:t>
            </w: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9.03</w:t>
            </w:r>
          </w:p>
        </w:tc>
        <w:tc>
          <w:tcPr>
            <w:tcW w:w="8980" w:type="dxa"/>
            <w:vAlign w:val="bottom"/>
          </w:tcPr>
          <w:p>
            <w:pPr>
              <w:ind w:left="300"/>
              <w:spacing w:after="0"/>
              <w:rPr>
                <w:sz w:val="20"/>
                <w:szCs w:val="20"/>
                <w:color w:val="auto"/>
              </w:rPr>
            </w:pPr>
            <w:r>
              <w:rPr>
                <w:rFonts w:ascii="Arial" w:cs="Arial" w:eastAsia="Arial" w:hAnsi="Arial"/>
                <w:sz w:val="18"/>
                <w:szCs w:val="18"/>
                <w:color w:val="auto"/>
              </w:rPr>
              <w:t>Other Remedies</w:t>
            </w: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9.04</w:t>
            </w:r>
          </w:p>
        </w:tc>
        <w:tc>
          <w:tcPr>
            <w:tcW w:w="8980" w:type="dxa"/>
            <w:vAlign w:val="bottom"/>
          </w:tcPr>
          <w:p>
            <w:pPr>
              <w:ind w:left="300"/>
              <w:spacing w:after="0"/>
              <w:rPr>
                <w:sz w:val="20"/>
                <w:szCs w:val="20"/>
                <w:color w:val="auto"/>
              </w:rPr>
            </w:pPr>
            <w:r>
              <w:rPr>
                <w:rFonts w:ascii="Arial" w:cs="Arial" w:eastAsia="Arial" w:hAnsi="Arial"/>
                <w:sz w:val="18"/>
                <w:szCs w:val="18"/>
                <w:color w:val="auto"/>
              </w:rPr>
              <w:t>Application of Moneys During Continuation of Event of Default</w:t>
            </w: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418"/>
        </w:trPr>
        <w:tc>
          <w:tcPr>
            <w:tcW w:w="1320" w:type="dxa"/>
            <w:vAlign w:val="bottom"/>
          </w:tcPr>
          <w:p>
            <w:pPr>
              <w:spacing w:after="0"/>
              <w:rPr>
                <w:sz w:val="24"/>
                <w:szCs w:val="24"/>
                <w:color w:val="auto"/>
              </w:rPr>
            </w:pPr>
          </w:p>
        </w:tc>
        <w:tc>
          <w:tcPr>
            <w:tcW w:w="8980" w:type="dxa"/>
            <w:vAlign w:val="bottom"/>
          </w:tcPr>
          <w:p>
            <w:pPr>
              <w:jc w:val="center"/>
              <w:ind w:right="90"/>
              <w:spacing w:after="0"/>
              <w:rPr>
                <w:sz w:val="20"/>
                <w:szCs w:val="20"/>
                <w:color w:val="auto"/>
              </w:rPr>
            </w:pPr>
            <w:r>
              <w:rPr>
                <w:rFonts w:ascii="Arial" w:cs="Arial" w:eastAsia="Arial" w:hAnsi="Arial"/>
                <w:sz w:val="18"/>
                <w:szCs w:val="18"/>
                <w:color w:val="auto"/>
                <w:w w:val="98"/>
              </w:rPr>
              <w:t>ARTICLE X</w:t>
            </w:r>
          </w:p>
        </w:tc>
        <w:tc>
          <w:tcPr>
            <w:tcW w:w="1160" w:type="dxa"/>
            <w:vAlign w:val="bottom"/>
          </w:tcPr>
          <w:p>
            <w:pPr>
              <w:spacing w:after="0"/>
              <w:rPr>
                <w:sz w:val="24"/>
                <w:szCs w:val="24"/>
                <w:color w:val="auto"/>
              </w:rPr>
            </w:pPr>
          </w:p>
        </w:tc>
      </w:tr>
      <w:tr>
        <w:trPr>
          <w:trHeight w:val="230"/>
        </w:trPr>
        <w:tc>
          <w:tcPr>
            <w:tcW w:w="1320" w:type="dxa"/>
            <w:vAlign w:val="bottom"/>
          </w:tcPr>
          <w:p>
            <w:pPr>
              <w:spacing w:after="0"/>
              <w:rPr>
                <w:sz w:val="20"/>
                <w:szCs w:val="20"/>
                <w:color w:val="auto"/>
              </w:rPr>
            </w:pPr>
          </w:p>
        </w:tc>
        <w:tc>
          <w:tcPr>
            <w:tcW w:w="8980" w:type="dxa"/>
            <w:vAlign w:val="bottom"/>
          </w:tcPr>
          <w:p>
            <w:pPr>
              <w:jc w:val="center"/>
              <w:ind w:right="110"/>
              <w:spacing w:after="0"/>
              <w:rPr>
                <w:sz w:val="20"/>
                <w:szCs w:val="20"/>
                <w:color w:val="auto"/>
              </w:rPr>
            </w:pPr>
            <w:r>
              <w:rPr>
                <w:rFonts w:ascii="Arial" w:cs="Arial" w:eastAsia="Arial" w:hAnsi="Arial"/>
                <w:sz w:val="18"/>
                <w:szCs w:val="18"/>
                <w:color w:val="auto"/>
                <w:w w:val="99"/>
              </w:rPr>
              <w:t>ADMINISTRATIVE AGENT AND COLLATERAL AGENT</w:t>
            </w:r>
          </w:p>
        </w:tc>
        <w:tc>
          <w:tcPr>
            <w:tcW w:w="1160" w:type="dxa"/>
            <w:vAlign w:val="bottom"/>
          </w:tcPr>
          <w:p>
            <w:pPr>
              <w:spacing w:after="0"/>
              <w:rPr>
                <w:sz w:val="20"/>
                <w:szCs w:val="20"/>
                <w:color w:val="auto"/>
              </w:rPr>
            </w:pP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Section 10.01</w:t>
            </w:r>
          </w:p>
        </w:tc>
        <w:tc>
          <w:tcPr>
            <w:tcW w:w="8980" w:type="dxa"/>
            <w:vAlign w:val="bottom"/>
          </w:tcPr>
          <w:p>
            <w:pPr>
              <w:ind w:left="300"/>
              <w:spacing w:after="0"/>
              <w:rPr>
                <w:sz w:val="20"/>
                <w:szCs w:val="20"/>
                <w:color w:val="auto"/>
              </w:rPr>
            </w:pPr>
            <w:r>
              <w:rPr>
                <w:rFonts w:ascii="Arial" w:cs="Arial" w:eastAsia="Arial" w:hAnsi="Arial"/>
                <w:sz w:val="18"/>
                <w:szCs w:val="18"/>
                <w:color w:val="auto"/>
              </w:rPr>
              <w:t>Authorization and Action</w:t>
            </w:r>
          </w:p>
        </w:tc>
        <w:tc>
          <w:tcPr>
            <w:tcW w:w="11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10.02</w:t>
            </w:r>
          </w:p>
        </w:tc>
        <w:tc>
          <w:tcPr>
            <w:tcW w:w="8980" w:type="dxa"/>
            <w:vAlign w:val="bottom"/>
          </w:tcPr>
          <w:p>
            <w:pPr>
              <w:ind w:left="300"/>
              <w:spacing w:after="0"/>
              <w:rPr>
                <w:sz w:val="20"/>
                <w:szCs w:val="20"/>
                <w:color w:val="auto"/>
              </w:rPr>
            </w:pPr>
            <w:r>
              <w:rPr>
                <w:rFonts w:ascii="Arial" w:cs="Arial" w:eastAsia="Arial" w:hAnsi="Arial"/>
                <w:sz w:val="18"/>
                <w:szCs w:val="18"/>
                <w:color w:val="auto"/>
              </w:rPr>
              <w:t>Liability of Agents</w:t>
            </w:r>
          </w:p>
        </w:tc>
        <w:tc>
          <w:tcPr>
            <w:tcW w:w="11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10.03</w:t>
            </w:r>
          </w:p>
        </w:tc>
        <w:tc>
          <w:tcPr>
            <w:tcW w:w="8980" w:type="dxa"/>
            <w:vAlign w:val="bottom"/>
          </w:tcPr>
          <w:p>
            <w:pPr>
              <w:ind w:left="300"/>
              <w:spacing w:after="0"/>
              <w:rPr>
                <w:sz w:val="20"/>
                <w:szCs w:val="20"/>
                <w:color w:val="auto"/>
              </w:rPr>
            </w:pPr>
            <w:r>
              <w:rPr>
                <w:rFonts w:ascii="Arial" w:cs="Arial" w:eastAsia="Arial" w:hAnsi="Arial"/>
                <w:sz w:val="18"/>
                <w:szCs w:val="18"/>
                <w:color w:val="auto"/>
              </w:rPr>
              <w:t>Agents Individually</w:t>
            </w:r>
          </w:p>
        </w:tc>
        <w:tc>
          <w:tcPr>
            <w:tcW w:w="11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10.04</w:t>
            </w:r>
          </w:p>
        </w:tc>
        <w:tc>
          <w:tcPr>
            <w:tcW w:w="8980" w:type="dxa"/>
            <w:vAlign w:val="bottom"/>
          </w:tcPr>
          <w:p>
            <w:pPr>
              <w:ind w:left="300"/>
              <w:spacing w:after="0"/>
              <w:rPr>
                <w:sz w:val="20"/>
                <w:szCs w:val="20"/>
                <w:color w:val="auto"/>
              </w:rPr>
            </w:pPr>
            <w:r>
              <w:rPr>
                <w:rFonts w:ascii="Arial" w:cs="Arial" w:eastAsia="Arial" w:hAnsi="Arial"/>
                <w:sz w:val="18"/>
                <w:szCs w:val="18"/>
                <w:color w:val="auto"/>
              </w:rPr>
              <w:t>Reliance by Agents</w:t>
            </w:r>
          </w:p>
        </w:tc>
        <w:tc>
          <w:tcPr>
            <w:tcW w:w="11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10.05</w:t>
            </w:r>
          </w:p>
        </w:tc>
        <w:tc>
          <w:tcPr>
            <w:tcW w:w="8980" w:type="dxa"/>
            <w:vAlign w:val="bottom"/>
          </w:tcPr>
          <w:p>
            <w:pPr>
              <w:ind w:left="300"/>
              <w:spacing w:after="0"/>
              <w:rPr>
                <w:sz w:val="20"/>
                <w:szCs w:val="20"/>
                <w:color w:val="auto"/>
              </w:rPr>
            </w:pPr>
            <w:r>
              <w:rPr>
                <w:rFonts w:ascii="Arial" w:cs="Arial" w:eastAsia="Arial" w:hAnsi="Arial"/>
                <w:sz w:val="18"/>
                <w:szCs w:val="18"/>
                <w:color w:val="auto"/>
              </w:rPr>
              <w:t>Delegation of Duties</w:t>
            </w:r>
          </w:p>
        </w:tc>
        <w:tc>
          <w:tcPr>
            <w:tcW w:w="11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10.06</w:t>
            </w:r>
          </w:p>
        </w:tc>
        <w:tc>
          <w:tcPr>
            <w:tcW w:w="8980" w:type="dxa"/>
            <w:vAlign w:val="bottom"/>
          </w:tcPr>
          <w:p>
            <w:pPr>
              <w:ind w:left="300"/>
              <w:spacing w:after="0"/>
              <w:rPr>
                <w:sz w:val="20"/>
                <w:szCs w:val="20"/>
                <w:color w:val="auto"/>
              </w:rPr>
            </w:pPr>
            <w:r>
              <w:rPr>
                <w:rFonts w:ascii="Arial" w:cs="Arial" w:eastAsia="Arial" w:hAnsi="Arial"/>
                <w:sz w:val="18"/>
                <w:szCs w:val="18"/>
                <w:color w:val="auto"/>
              </w:rPr>
              <w:t>Successor Agents</w:t>
            </w:r>
          </w:p>
        </w:tc>
        <w:tc>
          <w:tcPr>
            <w:tcW w:w="11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10.07</w:t>
            </w:r>
          </w:p>
        </w:tc>
        <w:tc>
          <w:tcPr>
            <w:tcW w:w="8980" w:type="dxa"/>
            <w:vAlign w:val="bottom"/>
          </w:tcPr>
          <w:p>
            <w:pPr>
              <w:ind w:left="300"/>
              <w:spacing w:after="0"/>
              <w:rPr>
                <w:sz w:val="20"/>
                <w:szCs w:val="20"/>
                <w:color w:val="auto"/>
              </w:rPr>
            </w:pPr>
            <w:r>
              <w:rPr>
                <w:rFonts w:ascii="Arial" w:cs="Arial" w:eastAsia="Arial" w:hAnsi="Arial"/>
                <w:sz w:val="18"/>
                <w:szCs w:val="18"/>
                <w:color w:val="auto"/>
              </w:rPr>
              <w:t>Credit Decision</w:t>
            </w:r>
          </w:p>
        </w:tc>
        <w:tc>
          <w:tcPr>
            <w:tcW w:w="11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10.08</w:t>
            </w:r>
          </w:p>
        </w:tc>
        <w:tc>
          <w:tcPr>
            <w:tcW w:w="8980" w:type="dxa"/>
            <w:vAlign w:val="bottom"/>
          </w:tcPr>
          <w:p>
            <w:pPr>
              <w:ind w:left="300"/>
              <w:spacing w:after="0"/>
              <w:rPr>
                <w:sz w:val="20"/>
                <w:szCs w:val="20"/>
                <w:color w:val="auto"/>
              </w:rPr>
            </w:pPr>
            <w:r>
              <w:rPr>
                <w:rFonts w:ascii="Arial" w:cs="Arial" w:eastAsia="Arial" w:hAnsi="Arial"/>
                <w:sz w:val="18"/>
                <w:szCs w:val="18"/>
                <w:color w:val="auto"/>
              </w:rPr>
              <w:t>Other Agents; Lead Arrangers</w:t>
            </w:r>
          </w:p>
        </w:tc>
        <w:tc>
          <w:tcPr>
            <w:tcW w:w="11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10.09</w:t>
            </w:r>
          </w:p>
        </w:tc>
        <w:tc>
          <w:tcPr>
            <w:tcW w:w="8980" w:type="dxa"/>
            <w:vAlign w:val="bottom"/>
          </w:tcPr>
          <w:p>
            <w:pPr>
              <w:ind w:left="300"/>
              <w:spacing w:after="0"/>
              <w:rPr>
                <w:sz w:val="20"/>
                <w:szCs w:val="20"/>
                <w:color w:val="auto"/>
              </w:rPr>
            </w:pPr>
            <w:r>
              <w:rPr>
                <w:rFonts w:ascii="Arial" w:cs="Arial" w:eastAsia="Arial" w:hAnsi="Arial"/>
                <w:sz w:val="18"/>
                <w:szCs w:val="18"/>
                <w:color w:val="auto"/>
              </w:rPr>
              <w:t>Administrative Agent or Collateral Agent May File Proofs of Claim</w:t>
            </w:r>
          </w:p>
        </w:tc>
        <w:tc>
          <w:tcPr>
            <w:tcW w:w="11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10.10</w:t>
            </w:r>
          </w:p>
        </w:tc>
        <w:tc>
          <w:tcPr>
            <w:tcW w:w="8980" w:type="dxa"/>
            <w:vAlign w:val="bottom"/>
          </w:tcPr>
          <w:p>
            <w:pPr>
              <w:ind w:left="300"/>
              <w:spacing w:after="0"/>
              <w:rPr>
                <w:sz w:val="20"/>
                <w:szCs w:val="20"/>
                <w:color w:val="auto"/>
              </w:rPr>
            </w:pPr>
            <w:r>
              <w:rPr>
                <w:rFonts w:ascii="Arial" w:cs="Arial" w:eastAsia="Arial" w:hAnsi="Arial"/>
                <w:sz w:val="18"/>
                <w:szCs w:val="18"/>
                <w:color w:val="auto"/>
              </w:rPr>
              <w:t>Collateral Agent</w:t>
            </w: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10.11</w:t>
            </w:r>
          </w:p>
        </w:tc>
        <w:tc>
          <w:tcPr>
            <w:tcW w:w="8980" w:type="dxa"/>
            <w:vAlign w:val="bottom"/>
          </w:tcPr>
          <w:p>
            <w:pPr>
              <w:ind w:left="300"/>
              <w:spacing w:after="0"/>
              <w:rPr>
                <w:sz w:val="20"/>
                <w:szCs w:val="20"/>
                <w:color w:val="auto"/>
              </w:rPr>
            </w:pPr>
            <w:r>
              <w:rPr>
                <w:rFonts w:ascii="Arial" w:cs="Arial" w:eastAsia="Arial" w:hAnsi="Arial"/>
                <w:sz w:val="18"/>
                <w:szCs w:val="18"/>
                <w:color w:val="auto"/>
              </w:rPr>
              <w:t>Collateral Release Matters</w:t>
            </w: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10.12</w:t>
            </w:r>
          </w:p>
        </w:tc>
        <w:tc>
          <w:tcPr>
            <w:tcW w:w="8980" w:type="dxa"/>
            <w:vAlign w:val="bottom"/>
          </w:tcPr>
          <w:p>
            <w:pPr>
              <w:ind w:left="300"/>
              <w:spacing w:after="0"/>
              <w:rPr>
                <w:sz w:val="20"/>
                <w:szCs w:val="20"/>
                <w:color w:val="auto"/>
              </w:rPr>
            </w:pPr>
            <w:r>
              <w:rPr>
                <w:rFonts w:ascii="Arial" w:cs="Arial" w:eastAsia="Arial" w:hAnsi="Arial"/>
                <w:sz w:val="18"/>
                <w:szCs w:val="18"/>
                <w:color w:val="auto"/>
              </w:rPr>
              <w:t>Credit Bidding</w:t>
            </w:r>
          </w:p>
        </w:tc>
        <w:tc>
          <w:tcPr>
            <w:tcW w:w="11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432"/>
        </w:trPr>
        <w:tc>
          <w:tcPr>
            <w:tcW w:w="1320" w:type="dxa"/>
            <w:vAlign w:val="bottom"/>
          </w:tcPr>
          <w:p>
            <w:pPr>
              <w:spacing w:after="0"/>
              <w:rPr>
                <w:sz w:val="24"/>
                <w:szCs w:val="24"/>
                <w:color w:val="auto"/>
              </w:rPr>
            </w:pPr>
          </w:p>
        </w:tc>
        <w:tc>
          <w:tcPr>
            <w:tcW w:w="8980" w:type="dxa"/>
            <w:vAlign w:val="bottom"/>
          </w:tcPr>
          <w:p>
            <w:pPr>
              <w:jc w:val="center"/>
              <w:ind w:right="110"/>
              <w:spacing w:after="0"/>
              <w:rPr>
                <w:sz w:val="20"/>
                <w:szCs w:val="20"/>
                <w:color w:val="auto"/>
              </w:rPr>
            </w:pPr>
            <w:r>
              <w:rPr>
                <w:rFonts w:ascii="Arial" w:cs="Arial" w:eastAsia="Arial" w:hAnsi="Arial"/>
                <w:sz w:val="18"/>
                <w:szCs w:val="18"/>
                <w:color w:val="auto"/>
              </w:rPr>
              <w:t>iii</w:t>
            </w:r>
          </w:p>
        </w:tc>
        <w:tc>
          <w:tcPr>
            <w:tcW w:w="1160" w:type="dxa"/>
            <w:vAlign w:val="bottom"/>
          </w:tcPr>
          <w:p>
            <w:pPr>
              <w:spacing w:after="0"/>
              <w:rPr>
                <w:sz w:val="24"/>
                <w:szCs w:val="24"/>
                <w:color w:val="auto"/>
              </w:rPr>
            </w:pPr>
          </w:p>
        </w:tc>
      </w:tr>
      <w:tr>
        <w:trPr>
          <w:trHeight w:val="132"/>
        </w:trPr>
        <w:tc>
          <w:tcPr>
            <w:tcW w:w="1320" w:type="dxa"/>
            <w:vAlign w:val="bottom"/>
            <w:tcBorders>
              <w:bottom w:val="single" w:sz="8" w:color="808080"/>
            </w:tcBorders>
          </w:tcPr>
          <w:p>
            <w:pPr>
              <w:spacing w:after="0"/>
              <w:rPr>
                <w:sz w:val="11"/>
                <w:szCs w:val="11"/>
                <w:color w:val="auto"/>
              </w:rPr>
            </w:pPr>
          </w:p>
        </w:tc>
        <w:tc>
          <w:tcPr>
            <w:tcW w:w="898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r>
      <w:tr>
        <w:trPr>
          <w:trHeight w:val="766"/>
        </w:trPr>
        <w:tc>
          <w:tcPr>
            <w:tcW w:w="1320" w:type="dxa"/>
            <w:vAlign w:val="bottom"/>
          </w:tcPr>
          <w:p>
            <w:pPr>
              <w:spacing w:after="0"/>
              <w:rPr>
                <w:sz w:val="20"/>
                <w:szCs w:val="20"/>
                <w:color w:val="auto"/>
              </w:rPr>
            </w:pPr>
            <w:r>
              <w:rPr>
                <w:rFonts w:ascii="Arial" w:cs="Arial" w:eastAsia="Arial" w:hAnsi="Arial"/>
                <w:sz w:val="18"/>
                <w:szCs w:val="18"/>
                <w:color w:val="auto"/>
              </w:rPr>
              <w:t>Section 10.13</w:t>
            </w:r>
          </w:p>
        </w:tc>
        <w:tc>
          <w:tcPr>
            <w:tcW w:w="8980" w:type="dxa"/>
            <w:vAlign w:val="bottom"/>
          </w:tcPr>
          <w:p>
            <w:pPr>
              <w:ind w:left="300"/>
              <w:spacing w:after="0"/>
              <w:rPr>
                <w:sz w:val="20"/>
                <w:szCs w:val="20"/>
                <w:color w:val="auto"/>
              </w:rPr>
            </w:pPr>
            <w:r>
              <w:rPr>
                <w:rFonts w:ascii="Arial" w:cs="Arial" w:eastAsia="Arial" w:hAnsi="Arial"/>
                <w:sz w:val="18"/>
                <w:szCs w:val="18"/>
                <w:color w:val="auto"/>
              </w:rPr>
              <w:t>Quebec Collateral Matters</w:t>
            </w: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10.14</w:t>
            </w:r>
          </w:p>
        </w:tc>
        <w:tc>
          <w:tcPr>
            <w:tcW w:w="8980" w:type="dxa"/>
            <w:vAlign w:val="bottom"/>
          </w:tcPr>
          <w:p>
            <w:pPr>
              <w:ind w:left="300"/>
              <w:spacing w:after="0"/>
              <w:rPr>
                <w:sz w:val="20"/>
                <w:szCs w:val="20"/>
                <w:color w:val="auto"/>
              </w:rPr>
            </w:pPr>
            <w:r>
              <w:rPr>
                <w:rFonts w:ascii="Arial" w:cs="Arial" w:eastAsia="Arial" w:hAnsi="Arial"/>
                <w:sz w:val="18"/>
                <w:szCs w:val="18"/>
                <w:color w:val="auto"/>
              </w:rPr>
              <w:t>Dutch Collateral Matters</w:t>
            </w: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10.15</w:t>
            </w:r>
          </w:p>
        </w:tc>
        <w:tc>
          <w:tcPr>
            <w:tcW w:w="8980" w:type="dxa"/>
            <w:vAlign w:val="bottom"/>
          </w:tcPr>
          <w:p>
            <w:pPr>
              <w:ind w:left="300"/>
              <w:spacing w:after="0"/>
              <w:rPr>
                <w:sz w:val="20"/>
                <w:szCs w:val="20"/>
                <w:color w:val="auto"/>
              </w:rPr>
            </w:pPr>
            <w:r>
              <w:rPr>
                <w:rFonts w:ascii="Arial" w:cs="Arial" w:eastAsia="Arial" w:hAnsi="Arial"/>
                <w:sz w:val="18"/>
                <w:szCs w:val="18"/>
                <w:color w:val="auto"/>
              </w:rPr>
              <w:t>Hungarian Collateral Matters</w:t>
            </w: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10.16</w:t>
            </w:r>
          </w:p>
        </w:tc>
        <w:tc>
          <w:tcPr>
            <w:tcW w:w="8980" w:type="dxa"/>
            <w:vAlign w:val="bottom"/>
          </w:tcPr>
          <w:p>
            <w:pPr>
              <w:ind w:left="300"/>
              <w:spacing w:after="0"/>
              <w:rPr>
                <w:sz w:val="20"/>
                <w:szCs w:val="20"/>
                <w:color w:val="auto"/>
              </w:rPr>
            </w:pPr>
            <w:r>
              <w:rPr>
                <w:rFonts w:ascii="Arial" w:cs="Arial" w:eastAsia="Arial" w:hAnsi="Arial"/>
                <w:sz w:val="18"/>
                <w:szCs w:val="18"/>
                <w:color w:val="auto"/>
              </w:rPr>
              <w:t>Swiss Collateral Matters</w:t>
            </w: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10.17</w:t>
            </w:r>
          </w:p>
        </w:tc>
        <w:tc>
          <w:tcPr>
            <w:tcW w:w="8980" w:type="dxa"/>
            <w:vAlign w:val="bottom"/>
          </w:tcPr>
          <w:p>
            <w:pPr>
              <w:ind w:left="300"/>
              <w:spacing w:after="0"/>
              <w:rPr>
                <w:sz w:val="20"/>
                <w:szCs w:val="20"/>
                <w:color w:val="auto"/>
              </w:rPr>
            </w:pPr>
            <w:r>
              <w:rPr>
                <w:rFonts w:ascii="Arial" w:cs="Arial" w:eastAsia="Arial" w:hAnsi="Arial"/>
                <w:sz w:val="18"/>
                <w:szCs w:val="18"/>
                <w:color w:val="auto"/>
              </w:rPr>
              <w:t>Intercreditor Agreement</w:t>
            </w:r>
          </w:p>
        </w:tc>
        <w:tc>
          <w:tcPr>
            <w:tcW w:w="11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10.18</w:t>
            </w:r>
          </w:p>
        </w:tc>
        <w:tc>
          <w:tcPr>
            <w:tcW w:w="8980" w:type="dxa"/>
            <w:vAlign w:val="bottom"/>
          </w:tcPr>
          <w:p>
            <w:pPr>
              <w:ind w:left="300"/>
              <w:spacing w:after="0"/>
              <w:rPr>
                <w:sz w:val="20"/>
                <w:szCs w:val="20"/>
                <w:color w:val="auto"/>
              </w:rPr>
            </w:pPr>
            <w:r>
              <w:rPr>
                <w:rFonts w:ascii="Arial" w:cs="Arial" w:eastAsia="Arial" w:hAnsi="Arial"/>
                <w:sz w:val="18"/>
                <w:szCs w:val="18"/>
                <w:color w:val="auto"/>
              </w:rPr>
              <w:t>Certain ERISA Matters</w:t>
            </w:r>
          </w:p>
        </w:tc>
        <w:tc>
          <w:tcPr>
            <w:tcW w:w="11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418"/>
        </w:trPr>
        <w:tc>
          <w:tcPr>
            <w:tcW w:w="1320" w:type="dxa"/>
            <w:vAlign w:val="bottom"/>
          </w:tcPr>
          <w:p>
            <w:pPr>
              <w:spacing w:after="0"/>
              <w:rPr>
                <w:sz w:val="24"/>
                <w:szCs w:val="24"/>
                <w:color w:val="auto"/>
              </w:rPr>
            </w:pPr>
          </w:p>
        </w:tc>
        <w:tc>
          <w:tcPr>
            <w:tcW w:w="8980" w:type="dxa"/>
            <w:vAlign w:val="bottom"/>
          </w:tcPr>
          <w:p>
            <w:pPr>
              <w:jc w:val="center"/>
              <w:ind w:right="110"/>
              <w:spacing w:after="0"/>
              <w:rPr>
                <w:sz w:val="20"/>
                <w:szCs w:val="20"/>
                <w:color w:val="auto"/>
              </w:rPr>
            </w:pPr>
            <w:r>
              <w:rPr>
                <w:rFonts w:ascii="Arial" w:cs="Arial" w:eastAsia="Arial" w:hAnsi="Arial"/>
                <w:sz w:val="18"/>
                <w:szCs w:val="18"/>
                <w:color w:val="auto"/>
                <w:w w:val="99"/>
              </w:rPr>
              <w:t>ARTICLE XI</w:t>
            </w:r>
          </w:p>
        </w:tc>
        <w:tc>
          <w:tcPr>
            <w:tcW w:w="1160" w:type="dxa"/>
            <w:vAlign w:val="bottom"/>
          </w:tcPr>
          <w:p>
            <w:pPr>
              <w:spacing w:after="0"/>
              <w:rPr>
                <w:sz w:val="24"/>
                <w:szCs w:val="24"/>
                <w:color w:val="auto"/>
              </w:rPr>
            </w:pPr>
          </w:p>
        </w:tc>
      </w:tr>
      <w:tr>
        <w:trPr>
          <w:trHeight w:val="230"/>
        </w:trPr>
        <w:tc>
          <w:tcPr>
            <w:tcW w:w="1320" w:type="dxa"/>
            <w:vAlign w:val="bottom"/>
          </w:tcPr>
          <w:p>
            <w:pPr>
              <w:spacing w:after="0"/>
              <w:rPr>
                <w:sz w:val="20"/>
                <w:szCs w:val="20"/>
                <w:color w:val="auto"/>
              </w:rPr>
            </w:pPr>
          </w:p>
        </w:tc>
        <w:tc>
          <w:tcPr>
            <w:tcW w:w="8980" w:type="dxa"/>
            <w:vAlign w:val="bottom"/>
          </w:tcPr>
          <w:p>
            <w:pPr>
              <w:jc w:val="center"/>
              <w:ind w:right="110"/>
              <w:spacing w:after="0"/>
              <w:rPr>
                <w:sz w:val="20"/>
                <w:szCs w:val="20"/>
                <w:color w:val="auto"/>
              </w:rPr>
            </w:pPr>
            <w:r>
              <w:rPr>
                <w:rFonts w:ascii="Arial" w:cs="Arial" w:eastAsia="Arial" w:hAnsi="Arial"/>
                <w:sz w:val="18"/>
                <w:szCs w:val="18"/>
                <w:color w:val="auto"/>
                <w:w w:val="97"/>
              </w:rPr>
              <w:t>MISCELLANEOUS</w:t>
            </w:r>
          </w:p>
        </w:tc>
        <w:tc>
          <w:tcPr>
            <w:tcW w:w="1160" w:type="dxa"/>
            <w:vAlign w:val="bottom"/>
          </w:tcPr>
          <w:p>
            <w:pPr>
              <w:spacing w:after="0"/>
              <w:rPr>
                <w:sz w:val="20"/>
                <w:szCs w:val="20"/>
                <w:color w:val="auto"/>
              </w:rPr>
            </w:pP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Section 11.01</w:t>
            </w:r>
          </w:p>
        </w:tc>
        <w:tc>
          <w:tcPr>
            <w:tcW w:w="8980" w:type="dxa"/>
            <w:vAlign w:val="bottom"/>
          </w:tcPr>
          <w:p>
            <w:pPr>
              <w:ind w:left="300"/>
              <w:spacing w:after="0"/>
              <w:rPr>
                <w:sz w:val="20"/>
                <w:szCs w:val="20"/>
                <w:color w:val="auto"/>
              </w:rPr>
            </w:pPr>
            <w:r>
              <w:rPr>
                <w:rFonts w:ascii="Arial" w:cs="Arial" w:eastAsia="Arial" w:hAnsi="Arial"/>
                <w:sz w:val="18"/>
                <w:szCs w:val="18"/>
                <w:color w:val="auto"/>
              </w:rPr>
              <w:t>Waiver; Amendments; Joinder; Removal of Certain Borrowers; Release of Guarantors; Release of Collateral</w:t>
            </w:r>
          </w:p>
        </w:tc>
        <w:tc>
          <w:tcPr>
            <w:tcW w:w="11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11.02</w:t>
            </w:r>
          </w:p>
        </w:tc>
        <w:tc>
          <w:tcPr>
            <w:tcW w:w="8980" w:type="dxa"/>
            <w:vAlign w:val="bottom"/>
          </w:tcPr>
          <w:p>
            <w:pPr>
              <w:ind w:left="300"/>
              <w:spacing w:after="0"/>
              <w:rPr>
                <w:sz w:val="20"/>
                <w:szCs w:val="20"/>
                <w:color w:val="auto"/>
              </w:rPr>
            </w:pPr>
            <w:r>
              <w:rPr>
                <w:rFonts w:ascii="Arial" w:cs="Arial" w:eastAsia="Arial" w:hAnsi="Arial"/>
                <w:sz w:val="18"/>
                <w:szCs w:val="18"/>
                <w:color w:val="auto"/>
              </w:rPr>
              <w:t>Notices</w:t>
            </w:r>
          </w:p>
        </w:tc>
        <w:tc>
          <w:tcPr>
            <w:tcW w:w="11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11.03</w:t>
            </w:r>
          </w:p>
        </w:tc>
        <w:tc>
          <w:tcPr>
            <w:tcW w:w="8980" w:type="dxa"/>
            <w:vAlign w:val="bottom"/>
          </w:tcPr>
          <w:p>
            <w:pPr>
              <w:ind w:left="300"/>
              <w:spacing w:after="0"/>
              <w:rPr>
                <w:sz w:val="20"/>
                <w:szCs w:val="20"/>
                <w:color w:val="auto"/>
              </w:rPr>
            </w:pPr>
            <w:r>
              <w:rPr>
                <w:rFonts w:ascii="Arial" w:cs="Arial" w:eastAsia="Arial" w:hAnsi="Arial"/>
                <w:sz w:val="18"/>
                <w:szCs w:val="18"/>
                <w:color w:val="auto"/>
              </w:rPr>
              <w:t>Expenses, Etc.</w:t>
            </w:r>
          </w:p>
        </w:tc>
        <w:tc>
          <w:tcPr>
            <w:tcW w:w="11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11.04</w:t>
            </w:r>
          </w:p>
        </w:tc>
        <w:tc>
          <w:tcPr>
            <w:tcW w:w="8980" w:type="dxa"/>
            <w:vAlign w:val="bottom"/>
          </w:tcPr>
          <w:p>
            <w:pPr>
              <w:ind w:left="300"/>
              <w:spacing w:after="0"/>
              <w:rPr>
                <w:sz w:val="20"/>
                <w:szCs w:val="20"/>
                <w:color w:val="auto"/>
              </w:rPr>
            </w:pPr>
            <w:r>
              <w:rPr>
                <w:rFonts w:ascii="Arial" w:cs="Arial" w:eastAsia="Arial" w:hAnsi="Arial"/>
                <w:sz w:val="18"/>
                <w:szCs w:val="18"/>
                <w:color w:val="auto"/>
              </w:rPr>
              <w:t>Indemnity</w:t>
            </w: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11.05</w:t>
            </w:r>
          </w:p>
        </w:tc>
        <w:tc>
          <w:tcPr>
            <w:tcW w:w="8980" w:type="dxa"/>
            <w:vAlign w:val="bottom"/>
          </w:tcPr>
          <w:p>
            <w:pPr>
              <w:ind w:left="300"/>
              <w:spacing w:after="0"/>
              <w:rPr>
                <w:sz w:val="20"/>
                <w:szCs w:val="20"/>
                <w:color w:val="auto"/>
              </w:rPr>
            </w:pPr>
            <w:r>
              <w:rPr>
                <w:rFonts w:ascii="Arial" w:cs="Arial" w:eastAsia="Arial" w:hAnsi="Arial"/>
                <w:sz w:val="18"/>
                <w:szCs w:val="18"/>
                <w:color w:val="auto"/>
              </w:rPr>
              <w:t>Successors and Assigns</w:t>
            </w:r>
          </w:p>
        </w:tc>
        <w:tc>
          <w:tcPr>
            <w:tcW w:w="11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11.06</w:t>
            </w:r>
          </w:p>
        </w:tc>
        <w:tc>
          <w:tcPr>
            <w:tcW w:w="8980" w:type="dxa"/>
            <w:vAlign w:val="bottom"/>
          </w:tcPr>
          <w:p>
            <w:pPr>
              <w:ind w:left="300"/>
              <w:spacing w:after="0"/>
              <w:rPr>
                <w:sz w:val="20"/>
                <w:szCs w:val="20"/>
                <w:color w:val="auto"/>
              </w:rPr>
            </w:pPr>
            <w:r>
              <w:rPr>
                <w:rFonts w:ascii="Arial" w:cs="Arial" w:eastAsia="Arial" w:hAnsi="Arial"/>
                <w:sz w:val="18"/>
                <w:szCs w:val="18"/>
                <w:color w:val="auto"/>
              </w:rPr>
              <w:t>Confidentiality</w:t>
            </w:r>
          </w:p>
        </w:tc>
        <w:tc>
          <w:tcPr>
            <w:tcW w:w="11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11.07</w:t>
            </w:r>
          </w:p>
        </w:tc>
        <w:tc>
          <w:tcPr>
            <w:tcW w:w="8980" w:type="dxa"/>
            <w:vAlign w:val="bottom"/>
          </w:tcPr>
          <w:p>
            <w:pPr>
              <w:ind w:left="300"/>
              <w:spacing w:after="0"/>
              <w:rPr>
                <w:sz w:val="20"/>
                <w:szCs w:val="20"/>
                <w:color w:val="auto"/>
              </w:rPr>
            </w:pPr>
            <w:r>
              <w:rPr>
                <w:rFonts w:ascii="Arial" w:cs="Arial" w:eastAsia="Arial" w:hAnsi="Arial"/>
                <w:sz w:val="18"/>
                <w:szCs w:val="18"/>
                <w:color w:val="auto"/>
              </w:rPr>
              <w:t>Survival</w:t>
            </w:r>
          </w:p>
        </w:tc>
        <w:tc>
          <w:tcPr>
            <w:tcW w:w="11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11.08</w:t>
            </w:r>
          </w:p>
        </w:tc>
        <w:tc>
          <w:tcPr>
            <w:tcW w:w="8980" w:type="dxa"/>
            <w:vAlign w:val="bottom"/>
          </w:tcPr>
          <w:p>
            <w:pPr>
              <w:ind w:left="300"/>
              <w:spacing w:after="0"/>
              <w:rPr>
                <w:sz w:val="20"/>
                <w:szCs w:val="20"/>
                <w:color w:val="auto"/>
              </w:rPr>
            </w:pPr>
            <w:r>
              <w:rPr>
                <w:rFonts w:ascii="Arial" w:cs="Arial" w:eastAsia="Arial" w:hAnsi="Arial"/>
                <w:sz w:val="18"/>
                <w:szCs w:val="18"/>
                <w:color w:val="auto"/>
              </w:rPr>
              <w:t>Governing Law</w:t>
            </w:r>
          </w:p>
        </w:tc>
        <w:tc>
          <w:tcPr>
            <w:tcW w:w="11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11.09</w:t>
            </w:r>
          </w:p>
        </w:tc>
        <w:tc>
          <w:tcPr>
            <w:tcW w:w="8980" w:type="dxa"/>
            <w:vAlign w:val="bottom"/>
          </w:tcPr>
          <w:p>
            <w:pPr>
              <w:ind w:left="300"/>
              <w:spacing w:after="0"/>
              <w:rPr>
                <w:sz w:val="20"/>
                <w:szCs w:val="20"/>
                <w:color w:val="auto"/>
              </w:rPr>
            </w:pPr>
            <w:r>
              <w:rPr>
                <w:rFonts w:ascii="Arial" w:cs="Arial" w:eastAsia="Arial" w:hAnsi="Arial"/>
                <w:sz w:val="18"/>
                <w:szCs w:val="18"/>
                <w:color w:val="auto"/>
              </w:rPr>
              <w:t>Independence of Covenants</w:t>
            </w:r>
          </w:p>
        </w:tc>
        <w:tc>
          <w:tcPr>
            <w:tcW w:w="11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11.10</w:t>
            </w:r>
          </w:p>
        </w:tc>
        <w:tc>
          <w:tcPr>
            <w:tcW w:w="8980" w:type="dxa"/>
            <w:vAlign w:val="bottom"/>
          </w:tcPr>
          <w:p>
            <w:pPr>
              <w:ind w:left="300"/>
              <w:spacing w:after="0"/>
              <w:rPr>
                <w:sz w:val="20"/>
                <w:szCs w:val="20"/>
                <w:color w:val="auto"/>
              </w:rPr>
            </w:pPr>
            <w:r>
              <w:rPr>
                <w:rFonts w:ascii="Arial" w:cs="Arial" w:eastAsia="Arial" w:hAnsi="Arial"/>
                <w:sz w:val="18"/>
                <w:szCs w:val="18"/>
                <w:color w:val="auto"/>
              </w:rPr>
              <w:t>Counterparts; Integration; Effectiveness; Electronic Execution</w:t>
            </w:r>
          </w:p>
        </w:tc>
        <w:tc>
          <w:tcPr>
            <w:tcW w:w="11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11.11</w:t>
            </w:r>
          </w:p>
        </w:tc>
        <w:tc>
          <w:tcPr>
            <w:tcW w:w="8980" w:type="dxa"/>
            <w:vAlign w:val="bottom"/>
          </w:tcPr>
          <w:p>
            <w:pPr>
              <w:ind w:left="300"/>
              <w:spacing w:after="0"/>
              <w:rPr>
                <w:sz w:val="20"/>
                <w:szCs w:val="20"/>
                <w:color w:val="auto"/>
              </w:rPr>
            </w:pPr>
            <w:r>
              <w:rPr>
                <w:rFonts w:ascii="Arial" w:cs="Arial" w:eastAsia="Arial" w:hAnsi="Arial"/>
                <w:sz w:val="18"/>
                <w:szCs w:val="18"/>
                <w:color w:val="auto"/>
              </w:rPr>
              <w:t>Severability</w:t>
            </w:r>
          </w:p>
        </w:tc>
        <w:tc>
          <w:tcPr>
            <w:tcW w:w="11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11.12</w:t>
            </w:r>
          </w:p>
        </w:tc>
        <w:tc>
          <w:tcPr>
            <w:tcW w:w="8980" w:type="dxa"/>
            <w:vAlign w:val="bottom"/>
          </w:tcPr>
          <w:p>
            <w:pPr>
              <w:ind w:left="300"/>
              <w:spacing w:after="0"/>
              <w:rPr>
                <w:sz w:val="20"/>
                <w:szCs w:val="20"/>
                <w:color w:val="auto"/>
              </w:rPr>
            </w:pPr>
            <w:r>
              <w:rPr>
                <w:rFonts w:ascii="Arial" w:cs="Arial" w:eastAsia="Arial" w:hAnsi="Arial"/>
                <w:sz w:val="18"/>
                <w:szCs w:val="18"/>
                <w:color w:val="auto"/>
              </w:rPr>
              <w:t>Conflicts Between This Agreement and the Other Loan Documents</w:t>
            </w:r>
          </w:p>
        </w:tc>
        <w:tc>
          <w:tcPr>
            <w:tcW w:w="11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11.13</w:t>
            </w:r>
          </w:p>
        </w:tc>
        <w:tc>
          <w:tcPr>
            <w:tcW w:w="8980" w:type="dxa"/>
            <w:vAlign w:val="bottom"/>
          </w:tcPr>
          <w:p>
            <w:pPr>
              <w:ind w:left="300"/>
              <w:spacing w:after="0"/>
              <w:rPr>
                <w:sz w:val="20"/>
                <w:szCs w:val="20"/>
                <w:color w:val="auto"/>
              </w:rPr>
            </w:pPr>
            <w:r>
              <w:rPr>
                <w:rFonts w:ascii="Arial" w:cs="Arial" w:eastAsia="Arial" w:hAnsi="Arial"/>
                <w:sz w:val="18"/>
                <w:szCs w:val="18"/>
                <w:color w:val="auto"/>
              </w:rPr>
              <w:t>Headings</w:t>
            </w:r>
          </w:p>
        </w:tc>
        <w:tc>
          <w:tcPr>
            <w:tcW w:w="1160" w:type="dxa"/>
            <w:vAlign w:val="bottom"/>
          </w:tcPr>
          <w:p>
            <w:pPr>
              <w:jc w:val="right"/>
              <w:spacing w:after="0"/>
              <w:rPr>
                <w:sz w:val="20"/>
                <w:szCs w:val="20"/>
                <w:color w:val="auto"/>
              </w:rPr>
            </w:pPr>
            <w:r>
              <w:rPr>
                <w:rFonts w:ascii="Arial" w:cs="Arial" w:eastAsia="Arial" w:hAnsi="Arial"/>
                <w:sz w:val="18"/>
                <w:szCs w:val="18"/>
                <w:color w:val="auto"/>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-3543300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-3543300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Section 11.14</w:t>
            </w:r>
          </w:p>
        </w:tc>
        <w:tc>
          <w:tcPr>
            <w:tcW w:w="7440" w:type="dxa"/>
            <w:vAlign w:val="bottom"/>
          </w:tcPr>
          <w:p>
            <w:pPr>
              <w:ind w:left="80"/>
              <w:spacing w:after="0"/>
              <w:rPr>
                <w:sz w:val="20"/>
                <w:szCs w:val="20"/>
                <w:color w:val="auto"/>
              </w:rPr>
            </w:pPr>
            <w:r>
              <w:rPr>
                <w:rFonts w:ascii="Arial" w:cs="Arial" w:eastAsia="Arial" w:hAnsi="Arial"/>
                <w:sz w:val="18"/>
                <w:szCs w:val="18"/>
                <w:color w:val="auto"/>
              </w:rPr>
              <w:t>Limitation of Interest</w:t>
            </w:r>
          </w:p>
        </w:tc>
        <w:tc>
          <w:tcPr>
            <w:tcW w:w="24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Section 11.15</w:t>
            </w:r>
          </w:p>
        </w:tc>
        <w:tc>
          <w:tcPr>
            <w:tcW w:w="7440" w:type="dxa"/>
            <w:vAlign w:val="bottom"/>
          </w:tcPr>
          <w:p>
            <w:pPr>
              <w:ind w:left="80"/>
              <w:spacing w:after="0"/>
              <w:rPr>
                <w:sz w:val="20"/>
                <w:szCs w:val="20"/>
                <w:color w:val="auto"/>
              </w:rPr>
            </w:pPr>
            <w:r>
              <w:rPr>
                <w:rFonts w:ascii="Arial" w:cs="Arial" w:eastAsia="Arial" w:hAnsi="Arial"/>
                <w:sz w:val="18"/>
                <w:szCs w:val="18"/>
                <w:color w:val="auto"/>
              </w:rPr>
              <w:t>Submission to Jurisdiction; Consent to Service of Process</w:t>
            </w:r>
          </w:p>
        </w:tc>
        <w:tc>
          <w:tcPr>
            <w:tcW w:w="24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Section 11.16</w:t>
            </w:r>
          </w:p>
        </w:tc>
        <w:tc>
          <w:tcPr>
            <w:tcW w:w="7440" w:type="dxa"/>
            <w:vAlign w:val="bottom"/>
          </w:tcPr>
          <w:p>
            <w:pPr>
              <w:ind w:left="80"/>
              <w:spacing w:after="0"/>
              <w:rPr>
                <w:sz w:val="20"/>
                <w:szCs w:val="20"/>
                <w:color w:val="auto"/>
              </w:rPr>
            </w:pPr>
            <w:r>
              <w:rPr>
                <w:rFonts w:ascii="Arial" w:cs="Arial" w:eastAsia="Arial" w:hAnsi="Arial"/>
                <w:sz w:val="18"/>
                <w:szCs w:val="18"/>
                <w:color w:val="auto"/>
              </w:rPr>
              <w:t>Waiver of Jury Trial</w:t>
            </w:r>
          </w:p>
        </w:tc>
        <w:tc>
          <w:tcPr>
            <w:tcW w:w="24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Section 11.17</w:t>
            </w:r>
          </w:p>
        </w:tc>
        <w:tc>
          <w:tcPr>
            <w:tcW w:w="7440" w:type="dxa"/>
            <w:vAlign w:val="bottom"/>
          </w:tcPr>
          <w:p>
            <w:pPr>
              <w:ind w:left="80"/>
              <w:spacing w:after="0"/>
              <w:rPr>
                <w:sz w:val="20"/>
                <w:szCs w:val="20"/>
                <w:color w:val="auto"/>
              </w:rPr>
            </w:pPr>
            <w:r>
              <w:rPr>
                <w:rFonts w:ascii="Arial" w:cs="Arial" w:eastAsia="Arial" w:hAnsi="Arial"/>
                <w:sz w:val="18"/>
                <w:szCs w:val="18"/>
                <w:color w:val="auto"/>
              </w:rPr>
              <w:t>Judgment Currency</w:t>
            </w:r>
          </w:p>
        </w:tc>
        <w:tc>
          <w:tcPr>
            <w:tcW w:w="24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Section 11.18</w:t>
            </w:r>
          </w:p>
        </w:tc>
        <w:tc>
          <w:tcPr>
            <w:tcW w:w="7440" w:type="dxa"/>
            <w:vAlign w:val="bottom"/>
          </w:tcPr>
          <w:p>
            <w:pPr>
              <w:ind w:left="80"/>
              <w:spacing w:after="0"/>
              <w:rPr>
                <w:sz w:val="20"/>
                <w:szCs w:val="20"/>
                <w:color w:val="auto"/>
              </w:rPr>
            </w:pPr>
            <w:r>
              <w:rPr>
                <w:rFonts w:ascii="Arial" w:cs="Arial" w:eastAsia="Arial" w:hAnsi="Arial"/>
                <w:sz w:val="18"/>
                <w:szCs w:val="18"/>
                <w:color w:val="auto"/>
              </w:rPr>
              <w:t>USA Patriot Act</w:t>
            </w:r>
          </w:p>
        </w:tc>
        <w:tc>
          <w:tcPr>
            <w:tcW w:w="24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Section 11.19</w:t>
            </w:r>
          </w:p>
        </w:tc>
        <w:tc>
          <w:tcPr>
            <w:tcW w:w="7440" w:type="dxa"/>
            <w:vAlign w:val="bottom"/>
          </w:tcPr>
          <w:p>
            <w:pPr>
              <w:ind w:left="80"/>
              <w:spacing w:after="0"/>
              <w:rPr>
                <w:sz w:val="20"/>
                <w:szCs w:val="20"/>
                <w:color w:val="auto"/>
              </w:rPr>
            </w:pPr>
            <w:r>
              <w:rPr>
                <w:rFonts w:ascii="Arial" w:cs="Arial" w:eastAsia="Arial" w:hAnsi="Arial"/>
                <w:sz w:val="18"/>
                <w:szCs w:val="18"/>
                <w:color w:val="auto"/>
              </w:rPr>
              <w:t>Appointment for Perfection</w:t>
            </w:r>
          </w:p>
        </w:tc>
        <w:tc>
          <w:tcPr>
            <w:tcW w:w="24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Section 11.20</w:t>
            </w:r>
          </w:p>
        </w:tc>
        <w:tc>
          <w:tcPr>
            <w:tcW w:w="7440" w:type="dxa"/>
            <w:vAlign w:val="bottom"/>
          </w:tcPr>
          <w:p>
            <w:pPr>
              <w:ind w:left="80"/>
              <w:spacing w:after="0"/>
              <w:rPr>
                <w:sz w:val="20"/>
                <w:szCs w:val="20"/>
                <w:color w:val="auto"/>
              </w:rPr>
            </w:pPr>
            <w:r>
              <w:rPr>
                <w:rFonts w:ascii="Arial" w:cs="Arial" w:eastAsia="Arial" w:hAnsi="Arial"/>
                <w:sz w:val="18"/>
                <w:szCs w:val="18"/>
                <w:color w:val="auto"/>
              </w:rPr>
              <w:t>Payments Set Aside</w:t>
            </w:r>
          </w:p>
        </w:tc>
        <w:tc>
          <w:tcPr>
            <w:tcW w:w="24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Section 11.21</w:t>
            </w:r>
          </w:p>
        </w:tc>
        <w:tc>
          <w:tcPr>
            <w:tcW w:w="7440" w:type="dxa"/>
            <w:vAlign w:val="bottom"/>
          </w:tcPr>
          <w:p>
            <w:pPr>
              <w:ind w:left="80"/>
              <w:spacing w:after="0"/>
              <w:rPr>
                <w:sz w:val="20"/>
                <w:szCs w:val="20"/>
                <w:color w:val="auto"/>
              </w:rPr>
            </w:pPr>
            <w:r>
              <w:rPr>
                <w:rFonts w:ascii="Arial" w:cs="Arial" w:eastAsia="Arial" w:hAnsi="Arial"/>
                <w:sz w:val="18"/>
                <w:szCs w:val="18"/>
                <w:color w:val="auto"/>
              </w:rPr>
              <w:t>No Fiduciary Duty</w:t>
            </w:r>
          </w:p>
        </w:tc>
        <w:tc>
          <w:tcPr>
            <w:tcW w:w="24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Section 11.22</w:t>
            </w:r>
          </w:p>
        </w:tc>
        <w:tc>
          <w:tcPr>
            <w:tcW w:w="7440" w:type="dxa"/>
            <w:vAlign w:val="bottom"/>
          </w:tcPr>
          <w:p>
            <w:pPr>
              <w:ind w:left="80"/>
              <w:spacing w:after="0"/>
              <w:rPr>
                <w:sz w:val="20"/>
                <w:szCs w:val="20"/>
                <w:color w:val="auto"/>
              </w:rPr>
            </w:pPr>
            <w:r>
              <w:rPr>
                <w:rFonts w:ascii="Arial" w:cs="Arial" w:eastAsia="Arial" w:hAnsi="Arial"/>
                <w:sz w:val="18"/>
                <w:szCs w:val="18"/>
                <w:color w:val="auto"/>
              </w:rPr>
              <w:t>Release of Guarantors</w:t>
            </w:r>
          </w:p>
        </w:tc>
        <w:tc>
          <w:tcPr>
            <w:tcW w:w="24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Section 11.23</w:t>
            </w:r>
          </w:p>
        </w:tc>
        <w:tc>
          <w:tcPr>
            <w:tcW w:w="7440" w:type="dxa"/>
            <w:vAlign w:val="bottom"/>
          </w:tcPr>
          <w:p>
            <w:pPr>
              <w:ind w:left="8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1540" w:type="dxa"/>
            <w:vAlign w:val="bottom"/>
            <w:gridSpan w:val="3"/>
          </w:tcPr>
          <w:p>
            <w:pPr>
              <w:spacing w:after="0"/>
              <w:rPr>
                <w:sz w:val="20"/>
                <w:szCs w:val="20"/>
                <w:color w:val="auto"/>
              </w:rPr>
            </w:pPr>
            <w:r>
              <w:rPr>
                <w:rFonts w:ascii="Arial" w:cs="Arial" w:eastAsia="Arial" w:hAnsi="Arial"/>
                <w:sz w:val="18"/>
                <w:szCs w:val="18"/>
                <w:color w:val="auto"/>
              </w:rPr>
              <w:t>Section 11.24</w:t>
            </w:r>
          </w:p>
        </w:tc>
        <w:tc>
          <w:tcPr>
            <w:tcW w:w="7440" w:type="dxa"/>
            <w:vAlign w:val="bottom"/>
          </w:tcPr>
          <w:p>
            <w:pPr>
              <w:ind w:left="80"/>
              <w:spacing w:after="0"/>
              <w:rPr>
                <w:sz w:val="20"/>
                <w:szCs w:val="20"/>
                <w:color w:val="auto"/>
              </w:rPr>
            </w:pPr>
            <w:r>
              <w:rPr>
                <w:rFonts w:ascii="Arial" w:cs="Arial" w:eastAsia="Arial" w:hAnsi="Arial"/>
                <w:sz w:val="18"/>
                <w:szCs w:val="18"/>
                <w:color w:val="auto"/>
              </w:rPr>
              <w:t>Confirmation of Lender’s Status as a Swiss Qualifying Lender</w:t>
            </w:r>
          </w:p>
        </w:tc>
        <w:tc>
          <w:tcPr>
            <w:tcW w:w="24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432"/>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40" w:type="dxa"/>
            <w:vAlign w:val="bottom"/>
          </w:tcPr>
          <w:p>
            <w:pPr>
              <w:ind w:left="4100"/>
              <w:spacing w:after="0"/>
              <w:rPr>
                <w:sz w:val="20"/>
                <w:szCs w:val="20"/>
                <w:color w:val="auto"/>
              </w:rPr>
            </w:pPr>
            <w:r>
              <w:rPr>
                <w:rFonts w:ascii="Arial" w:cs="Arial" w:eastAsia="Arial" w:hAnsi="Arial"/>
                <w:sz w:val="18"/>
                <w:szCs w:val="18"/>
                <w:color w:val="auto"/>
              </w:rPr>
              <w:t>iv</w:t>
            </w:r>
          </w:p>
        </w:tc>
        <w:tc>
          <w:tcPr>
            <w:tcW w:w="2480" w:type="dxa"/>
            <w:vAlign w:val="bottom"/>
          </w:tcPr>
          <w:p>
            <w:pPr>
              <w:spacing w:after="0"/>
              <w:rPr>
                <w:sz w:val="24"/>
                <w:szCs w:val="24"/>
                <w:color w:val="auto"/>
              </w:rPr>
            </w:pPr>
          </w:p>
        </w:tc>
      </w:tr>
      <w:tr>
        <w:trPr>
          <w:trHeight w:val="132"/>
        </w:trPr>
        <w:tc>
          <w:tcPr>
            <w:tcW w:w="8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7440" w:type="dxa"/>
            <w:vAlign w:val="bottom"/>
            <w:tcBorders>
              <w:bottom w:val="single" w:sz="8" w:color="808080"/>
            </w:tcBorders>
          </w:tcPr>
          <w:p>
            <w:pPr>
              <w:spacing w:after="0"/>
              <w:rPr>
                <w:sz w:val="11"/>
                <w:szCs w:val="11"/>
                <w:color w:val="auto"/>
              </w:rPr>
            </w:pPr>
          </w:p>
        </w:tc>
        <w:tc>
          <w:tcPr>
            <w:tcW w:w="2480" w:type="dxa"/>
            <w:vAlign w:val="bottom"/>
            <w:tcBorders>
              <w:bottom w:val="single" w:sz="8" w:color="808080"/>
            </w:tcBorders>
          </w:tcPr>
          <w:p>
            <w:pPr>
              <w:spacing w:after="0"/>
              <w:rPr>
                <w:sz w:val="11"/>
                <w:szCs w:val="11"/>
                <w:color w:val="auto"/>
              </w:rPr>
            </w:pPr>
          </w:p>
        </w:tc>
      </w:tr>
      <w:tr>
        <w:trPr>
          <w:trHeight w:val="740"/>
        </w:trPr>
        <w:tc>
          <w:tcPr>
            <w:tcW w:w="154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74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38"/>
        </w:trPr>
        <w:tc>
          <w:tcPr>
            <w:tcW w:w="154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7440" w:type="dxa"/>
            <w:vAlign w:val="bottom"/>
          </w:tcPr>
          <w:p>
            <w:pPr>
              <w:ind w:left="460"/>
              <w:spacing w:after="0"/>
              <w:rPr>
                <w:sz w:val="20"/>
                <w:szCs w:val="20"/>
                <w:color w:val="auto"/>
              </w:rPr>
            </w:pPr>
            <w:r>
              <w:rPr>
                <w:rFonts w:ascii="Arial" w:cs="Arial" w:eastAsia="Arial" w:hAnsi="Arial"/>
                <w:sz w:val="18"/>
                <w:szCs w:val="18"/>
                <w:color w:val="auto"/>
              </w:rPr>
              <w:t>Form of Assignment and Assumption</w:t>
            </w:r>
          </w:p>
        </w:tc>
        <w:tc>
          <w:tcPr>
            <w:tcW w:w="2480" w:type="dxa"/>
            <w:vAlign w:val="bottom"/>
          </w:tcPr>
          <w:p>
            <w:pPr>
              <w:spacing w:after="0"/>
              <w:rPr>
                <w:sz w:val="24"/>
                <w:szCs w:val="24"/>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EXHIBIT B-1</w:t>
            </w:r>
          </w:p>
        </w:tc>
        <w:tc>
          <w:tcPr>
            <w:tcW w:w="7440" w:type="dxa"/>
            <w:vAlign w:val="bottom"/>
          </w:tcPr>
          <w:p>
            <w:pPr>
              <w:ind w:left="460"/>
              <w:spacing w:after="0"/>
              <w:rPr>
                <w:sz w:val="20"/>
                <w:szCs w:val="20"/>
                <w:color w:val="auto"/>
              </w:rPr>
            </w:pPr>
            <w:r>
              <w:rPr>
                <w:rFonts w:ascii="Arial" w:cs="Arial" w:eastAsia="Arial" w:hAnsi="Arial"/>
                <w:sz w:val="18"/>
                <w:szCs w:val="18"/>
                <w:color w:val="auto"/>
              </w:rPr>
              <w:t>Form of Borrowing Request</w:t>
            </w:r>
          </w:p>
        </w:tc>
        <w:tc>
          <w:tcPr>
            <w:tcW w:w="2480" w:type="dxa"/>
            <w:vAlign w:val="bottom"/>
          </w:tcPr>
          <w:p>
            <w:pPr>
              <w:spacing w:after="0"/>
              <w:rPr>
                <w:sz w:val="18"/>
                <w:szCs w:val="18"/>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EXHIBIT B-2</w:t>
            </w:r>
          </w:p>
        </w:tc>
        <w:tc>
          <w:tcPr>
            <w:tcW w:w="7440" w:type="dxa"/>
            <w:vAlign w:val="bottom"/>
          </w:tcPr>
          <w:p>
            <w:pPr>
              <w:ind w:left="460"/>
              <w:spacing w:after="0"/>
              <w:rPr>
                <w:sz w:val="20"/>
                <w:szCs w:val="20"/>
                <w:color w:val="auto"/>
              </w:rPr>
            </w:pPr>
            <w:r>
              <w:rPr>
                <w:rFonts w:ascii="Arial" w:cs="Arial" w:eastAsia="Arial" w:hAnsi="Arial"/>
                <w:sz w:val="18"/>
                <w:szCs w:val="18"/>
                <w:color w:val="auto"/>
              </w:rPr>
              <w:t>Form of Swingline Borrowing Request</w:t>
            </w:r>
          </w:p>
        </w:tc>
        <w:tc>
          <w:tcPr>
            <w:tcW w:w="2480" w:type="dxa"/>
            <w:vAlign w:val="bottom"/>
          </w:tcPr>
          <w:p>
            <w:pPr>
              <w:spacing w:after="0"/>
              <w:rPr>
                <w:sz w:val="18"/>
                <w:szCs w:val="18"/>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7440" w:type="dxa"/>
            <w:vAlign w:val="bottom"/>
          </w:tcPr>
          <w:p>
            <w:pPr>
              <w:ind w:left="460"/>
              <w:spacing w:after="0"/>
              <w:rPr>
                <w:sz w:val="20"/>
                <w:szCs w:val="20"/>
                <w:color w:val="auto"/>
              </w:rPr>
            </w:pPr>
            <w:r>
              <w:rPr>
                <w:rFonts w:ascii="Arial" w:cs="Arial" w:eastAsia="Arial" w:hAnsi="Arial"/>
                <w:sz w:val="18"/>
                <w:szCs w:val="18"/>
                <w:color w:val="auto"/>
              </w:rPr>
              <w:t>Form of Interest Election Request</w:t>
            </w:r>
          </w:p>
        </w:tc>
        <w:tc>
          <w:tcPr>
            <w:tcW w:w="2480" w:type="dxa"/>
            <w:vAlign w:val="bottom"/>
          </w:tcPr>
          <w:p>
            <w:pPr>
              <w:spacing w:after="0"/>
              <w:rPr>
                <w:sz w:val="18"/>
                <w:szCs w:val="18"/>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EXHIBIT D-1</w:t>
            </w:r>
          </w:p>
        </w:tc>
        <w:tc>
          <w:tcPr>
            <w:tcW w:w="7440" w:type="dxa"/>
            <w:vAlign w:val="bottom"/>
          </w:tcPr>
          <w:p>
            <w:pPr>
              <w:ind w:left="460"/>
              <w:spacing w:after="0"/>
              <w:rPr>
                <w:sz w:val="20"/>
                <w:szCs w:val="20"/>
                <w:color w:val="auto"/>
              </w:rPr>
            </w:pPr>
            <w:r>
              <w:rPr>
                <w:rFonts w:ascii="Arial" w:cs="Arial" w:eastAsia="Arial" w:hAnsi="Arial"/>
                <w:sz w:val="18"/>
                <w:szCs w:val="18"/>
                <w:color w:val="auto"/>
              </w:rPr>
              <w:t>Form of Revolving Credit Note</w:t>
            </w:r>
          </w:p>
        </w:tc>
        <w:tc>
          <w:tcPr>
            <w:tcW w:w="2480" w:type="dxa"/>
            <w:vAlign w:val="bottom"/>
          </w:tcPr>
          <w:p>
            <w:pPr>
              <w:spacing w:after="0"/>
              <w:rPr>
                <w:sz w:val="18"/>
                <w:szCs w:val="18"/>
                <w:color w:val="auto"/>
              </w:rPr>
            </w:pPr>
          </w:p>
        </w:tc>
      </w:tr>
      <w:tr>
        <w:trPr>
          <w:trHeight w:val="212"/>
        </w:trPr>
        <w:tc>
          <w:tcPr>
            <w:tcW w:w="1540" w:type="dxa"/>
            <w:vAlign w:val="bottom"/>
            <w:gridSpan w:val="3"/>
          </w:tcPr>
          <w:p>
            <w:pPr>
              <w:spacing w:after="0"/>
              <w:rPr>
                <w:sz w:val="20"/>
                <w:szCs w:val="20"/>
                <w:color w:val="auto"/>
              </w:rPr>
            </w:pPr>
            <w:r>
              <w:rPr>
                <w:rFonts w:ascii="Arial" w:cs="Arial" w:eastAsia="Arial" w:hAnsi="Arial"/>
                <w:sz w:val="18"/>
                <w:szCs w:val="18"/>
                <w:color w:val="auto"/>
              </w:rPr>
              <w:t>EXHIBIT D-2</w:t>
            </w:r>
          </w:p>
        </w:tc>
        <w:tc>
          <w:tcPr>
            <w:tcW w:w="7440" w:type="dxa"/>
            <w:vAlign w:val="bottom"/>
          </w:tcPr>
          <w:p>
            <w:pPr>
              <w:ind w:left="460"/>
              <w:spacing w:after="0"/>
              <w:rPr>
                <w:sz w:val="20"/>
                <w:szCs w:val="20"/>
                <w:color w:val="auto"/>
              </w:rPr>
            </w:pPr>
            <w:r>
              <w:rPr>
                <w:rFonts w:ascii="Arial" w:cs="Arial" w:eastAsia="Arial" w:hAnsi="Arial"/>
                <w:sz w:val="18"/>
                <w:szCs w:val="18"/>
                <w:color w:val="auto"/>
              </w:rPr>
              <w:t>Form of Swingline Note</w:t>
            </w:r>
          </w:p>
        </w:tc>
        <w:tc>
          <w:tcPr>
            <w:tcW w:w="2480" w:type="dxa"/>
            <w:vAlign w:val="bottom"/>
          </w:tcPr>
          <w:p>
            <w:pPr>
              <w:spacing w:after="0"/>
              <w:rPr>
                <w:sz w:val="18"/>
                <w:szCs w:val="18"/>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7440" w:type="dxa"/>
            <w:vAlign w:val="bottom"/>
          </w:tcPr>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Reserved</w:t>
            </w:r>
            <w:r>
              <w:rPr>
                <w:rFonts w:ascii="Arial" w:cs="Arial" w:eastAsia="Arial" w:hAnsi="Arial"/>
                <w:sz w:val="18"/>
                <w:szCs w:val="18"/>
                <w:b w:val="1"/>
                <w:bCs w:val="1"/>
                <w:color w:val="auto"/>
              </w:rPr>
              <w:t>]</w:t>
            </w:r>
          </w:p>
        </w:tc>
        <w:tc>
          <w:tcPr>
            <w:tcW w:w="2480" w:type="dxa"/>
            <w:vAlign w:val="bottom"/>
          </w:tcPr>
          <w:p>
            <w:pPr>
              <w:spacing w:after="0"/>
              <w:rPr>
                <w:sz w:val="18"/>
                <w:szCs w:val="18"/>
                <w:color w:val="auto"/>
              </w:rPr>
            </w:pPr>
          </w:p>
        </w:tc>
      </w:tr>
      <w:tr>
        <w:trPr>
          <w:trHeight w:val="220"/>
        </w:trPr>
        <w:tc>
          <w:tcPr>
            <w:tcW w:w="154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7440" w:type="dxa"/>
            <w:vAlign w:val="bottom"/>
          </w:tcPr>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Reserved</w:t>
            </w:r>
            <w:r>
              <w:rPr>
                <w:rFonts w:ascii="Arial" w:cs="Arial" w:eastAsia="Arial" w:hAnsi="Arial"/>
                <w:sz w:val="18"/>
                <w:szCs w:val="18"/>
                <w:b w:val="1"/>
                <w:bCs w:val="1"/>
                <w:color w:val="auto"/>
              </w:rPr>
              <w:t>]</w:t>
            </w:r>
          </w:p>
        </w:tc>
        <w:tc>
          <w:tcPr>
            <w:tcW w:w="2480" w:type="dxa"/>
            <w:vAlign w:val="bottom"/>
          </w:tcPr>
          <w:p>
            <w:pPr>
              <w:spacing w:after="0"/>
              <w:rPr>
                <w:sz w:val="19"/>
                <w:szCs w:val="19"/>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7440" w:type="dxa"/>
            <w:vAlign w:val="bottom"/>
          </w:tcPr>
          <w:p>
            <w:pPr>
              <w:ind w:left="460"/>
              <w:spacing w:after="0"/>
              <w:rPr>
                <w:sz w:val="20"/>
                <w:szCs w:val="20"/>
                <w:color w:val="auto"/>
              </w:rPr>
            </w:pPr>
            <w:r>
              <w:rPr>
                <w:rFonts w:ascii="Arial" w:cs="Arial" w:eastAsia="Arial" w:hAnsi="Arial"/>
                <w:sz w:val="18"/>
                <w:szCs w:val="18"/>
                <w:color w:val="auto"/>
              </w:rPr>
              <w:t>Form of Compliance Certificate</w:t>
            </w:r>
          </w:p>
        </w:tc>
        <w:tc>
          <w:tcPr>
            <w:tcW w:w="2480" w:type="dxa"/>
            <w:vAlign w:val="bottom"/>
          </w:tcPr>
          <w:p>
            <w:pPr>
              <w:spacing w:after="0"/>
              <w:rPr>
                <w:sz w:val="18"/>
                <w:szCs w:val="18"/>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EXHIBIT H</w:t>
            </w:r>
          </w:p>
        </w:tc>
        <w:tc>
          <w:tcPr>
            <w:tcW w:w="7440" w:type="dxa"/>
            <w:vAlign w:val="bottom"/>
          </w:tcPr>
          <w:p>
            <w:pPr>
              <w:ind w:left="460"/>
              <w:spacing w:after="0"/>
              <w:rPr>
                <w:sz w:val="20"/>
                <w:szCs w:val="20"/>
                <w:color w:val="auto"/>
              </w:rPr>
            </w:pPr>
            <w:r>
              <w:rPr>
                <w:rFonts w:ascii="Arial" w:cs="Arial" w:eastAsia="Arial" w:hAnsi="Arial"/>
                <w:sz w:val="18"/>
                <w:szCs w:val="18"/>
                <w:color w:val="auto"/>
              </w:rPr>
              <w:t>Form of Joinder Agreement</w:t>
            </w:r>
          </w:p>
        </w:tc>
        <w:tc>
          <w:tcPr>
            <w:tcW w:w="2480" w:type="dxa"/>
            <w:vAlign w:val="bottom"/>
          </w:tcPr>
          <w:p>
            <w:pPr>
              <w:spacing w:after="0"/>
              <w:rPr>
                <w:sz w:val="18"/>
                <w:szCs w:val="18"/>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EXHIBIT I</w:t>
            </w:r>
          </w:p>
        </w:tc>
        <w:tc>
          <w:tcPr>
            <w:tcW w:w="7440" w:type="dxa"/>
            <w:vAlign w:val="bottom"/>
          </w:tcPr>
          <w:p>
            <w:pPr>
              <w:ind w:left="460"/>
              <w:spacing w:after="0"/>
              <w:rPr>
                <w:sz w:val="20"/>
                <w:szCs w:val="20"/>
                <w:color w:val="auto"/>
              </w:rPr>
            </w:pPr>
            <w:r>
              <w:rPr>
                <w:rFonts w:ascii="Arial" w:cs="Arial" w:eastAsia="Arial" w:hAnsi="Arial"/>
                <w:sz w:val="18"/>
                <w:szCs w:val="18"/>
                <w:color w:val="auto"/>
              </w:rPr>
              <w:t>Form of Assignee Certificate</w:t>
            </w:r>
          </w:p>
        </w:tc>
        <w:tc>
          <w:tcPr>
            <w:tcW w:w="2480" w:type="dxa"/>
            <w:vAlign w:val="bottom"/>
          </w:tcPr>
          <w:p>
            <w:pPr>
              <w:spacing w:after="0"/>
              <w:rPr>
                <w:sz w:val="18"/>
                <w:szCs w:val="18"/>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EXHIBIT J</w:t>
            </w:r>
          </w:p>
        </w:tc>
        <w:tc>
          <w:tcPr>
            <w:tcW w:w="7440" w:type="dxa"/>
            <w:vAlign w:val="bottom"/>
          </w:tcPr>
          <w:p>
            <w:pPr>
              <w:ind w:left="460"/>
              <w:spacing w:after="0"/>
              <w:rPr>
                <w:sz w:val="20"/>
                <w:szCs w:val="20"/>
                <w:color w:val="auto"/>
              </w:rPr>
            </w:pPr>
            <w:r>
              <w:rPr>
                <w:rFonts w:ascii="Arial" w:cs="Arial" w:eastAsia="Arial" w:hAnsi="Arial"/>
                <w:sz w:val="18"/>
                <w:szCs w:val="18"/>
                <w:color w:val="auto"/>
              </w:rPr>
              <w:t>Form of Participant Certificate</w:t>
            </w:r>
          </w:p>
        </w:tc>
        <w:tc>
          <w:tcPr>
            <w:tcW w:w="2480" w:type="dxa"/>
            <w:vAlign w:val="bottom"/>
          </w:tcPr>
          <w:p>
            <w:pPr>
              <w:spacing w:after="0"/>
              <w:rPr>
                <w:sz w:val="18"/>
                <w:szCs w:val="18"/>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EXHIBIT K</w:t>
            </w:r>
          </w:p>
        </w:tc>
        <w:tc>
          <w:tcPr>
            <w:tcW w:w="7440" w:type="dxa"/>
            <w:vAlign w:val="bottom"/>
          </w:tcPr>
          <w:p>
            <w:pPr>
              <w:ind w:left="460"/>
              <w:spacing w:after="0"/>
              <w:rPr>
                <w:sz w:val="20"/>
                <w:szCs w:val="20"/>
                <w:color w:val="auto"/>
              </w:rPr>
            </w:pPr>
            <w:r>
              <w:rPr>
                <w:rFonts w:ascii="Arial" w:cs="Arial" w:eastAsia="Arial" w:hAnsi="Arial"/>
                <w:sz w:val="18"/>
                <w:szCs w:val="18"/>
                <w:color w:val="auto"/>
              </w:rPr>
              <w:t>Form of Increasing Lender Supplement</w:t>
            </w:r>
          </w:p>
        </w:tc>
        <w:tc>
          <w:tcPr>
            <w:tcW w:w="2480" w:type="dxa"/>
            <w:vAlign w:val="bottom"/>
          </w:tcPr>
          <w:p>
            <w:pPr>
              <w:spacing w:after="0"/>
              <w:rPr>
                <w:sz w:val="18"/>
                <w:szCs w:val="18"/>
                <w:color w:val="auto"/>
              </w:rPr>
            </w:pPr>
          </w:p>
        </w:tc>
      </w:tr>
      <w:tr>
        <w:trPr>
          <w:trHeight w:val="230"/>
        </w:trPr>
        <w:tc>
          <w:tcPr>
            <w:tcW w:w="1540" w:type="dxa"/>
            <w:vAlign w:val="bottom"/>
            <w:gridSpan w:val="3"/>
          </w:tcPr>
          <w:p>
            <w:pPr>
              <w:spacing w:after="0"/>
              <w:rPr>
                <w:sz w:val="20"/>
                <w:szCs w:val="20"/>
                <w:color w:val="auto"/>
              </w:rPr>
            </w:pPr>
            <w:r>
              <w:rPr>
                <w:rFonts w:ascii="Arial" w:cs="Arial" w:eastAsia="Arial" w:hAnsi="Arial"/>
                <w:sz w:val="18"/>
                <w:szCs w:val="18"/>
                <w:color w:val="auto"/>
              </w:rPr>
              <w:t>EXHIBIT L</w:t>
            </w:r>
          </w:p>
        </w:tc>
        <w:tc>
          <w:tcPr>
            <w:tcW w:w="7440" w:type="dxa"/>
            <w:vAlign w:val="bottom"/>
          </w:tcPr>
          <w:p>
            <w:pPr>
              <w:ind w:left="460"/>
              <w:spacing w:after="0"/>
              <w:rPr>
                <w:sz w:val="20"/>
                <w:szCs w:val="20"/>
                <w:color w:val="auto"/>
              </w:rPr>
            </w:pPr>
            <w:r>
              <w:rPr>
                <w:rFonts w:ascii="Arial" w:cs="Arial" w:eastAsia="Arial" w:hAnsi="Arial"/>
                <w:sz w:val="18"/>
                <w:szCs w:val="18"/>
                <w:color w:val="auto"/>
              </w:rPr>
              <w:t>Form of Additional Lender Supplement</w:t>
            </w:r>
          </w:p>
        </w:tc>
        <w:tc>
          <w:tcPr>
            <w:tcW w:w="2480" w:type="dxa"/>
            <w:vAlign w:val="bottom"/>
          </w:tcPr>
          <w:p>
            <w:pPr>
              <w:spacing w:after="0"/>
              <w:rPr>
                <w:sz w:val="20"/>
                <w:szCs w:val="20"/>
                <w:color w:val="auto"/>
              </w:rPr>
            </w:pPr>
          </w:p>
        </w:tc>
      </w:tr>
      <w:tr>
        <w:trPr>
          <w:trHeight w:val="392"/>
        </w:trPr>
        <w:tc>
          <w:tcPr>
            <w:tcW w:w="154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74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
        </w:trPr>
        <w:tc>
          <w:tcPr>
            <w:tcW w:w="104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38"/>
        </w:trPr>
        <w:tc>
          <w:tcPr>
            <w:tcW w:w="1540" w:type="dxa"/>
            <w:vAlign w:val="bottom"/>
            <w:gridSpan w:val="3"/>
          </w:tcPr>
          <w:p>
            <w:pPr>
              <w:spacing w:after="0"/>
              <w:rPr>
                <w:sz w:val="20"/>
                <w:szCs w:val="20"/>
                <w:color w:val="auto"/>
              </w:rPr>
            </w:pPr>
            <w:r>
              <w:rPr>
                <w:rFonts w:ascii="Arial" w:cs="Arial" w:eastAsia="Arial" w:hAnsi="Arial"/>
                <w:sz w:val="18"/>
                <w:szCs w:val="18"/>
                <w:color w:val="auto"/>
              </w:rPr>
              <w:t>SCHEDULE 1.01A</w:t>
            </w:r>
          </w:p>
        </w:tc>
        <w:tc>
          <w:tcPr>
            <w:tcW w:w="7440" w:type="dxa"/>
            <w:vAlign w:val="bottom"/>
          </w:tcPr>
          <w:p>
            <w:pPr>
              <w:ind w:left="460"/>
              <w:spacing w:after="0"/>
              <w:rPr>
                <w:sz w:val="20"/>
                <w:szCs w:val="20"/>
                <w:color w:val="auto"/>
              </w:rPr>
            </w:pPr>
            <w:r>
              <w:rPr>
                <w:rFonts w:ascii="Arial" w:cs="Arial" w:eastAsia="Arial" w:hAnsi="Arial"/>
                <w:sz w:val="18"/>
                <w:szCs w:val="18"/>
                <w:color w:val="auto"/>
              </w:rPr>
              <w:t>Excluded Jurisdictions</w:t>
            </w:r>
          </w:p>
        </w:tc>
        <w:tc>
          <w:tcPr>
            <w:tcW w:w="2480" w:type="dxa"/>
            <w:vAlign w:val="bottom"/>
          </w:tcPr>
          <w:p>
            <w:pPr>
              <w:spacing w:after="0"/>
              <w:rPr>
                <w:sz w:val="24"/>
                <w:szCs w:val="24"/>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SCHEDULE 1.01B</w:t>
            </w:r>
          </w:p>
        </w:tc>
        <w:tc>
          <w:tcPr>
            <w:tcW w:w="7440" w:type="dxa"/>
            <w:vAlign w:val="bottom"/>
          </w:tcPr>
          <w:p>
            <w:pPr>
              <w:ind w:left="460"/>
              <w:spacing w:after="0"/>
              <w:rPr>
                <w:sz w:val="20"/>
                <w:szCs w:val="20"/>
                <w:color w:val="auto"/>
              </w:rPr>
            </w:pPr>
            <w:r>
              <w:rPr>
                <w:rFonts w:ascii="Arial" w:cs="Arial" w:eastAsia="Arial" w:hAnsi="Arial"/>
                <w:sz w:val="18"/>
                <w:szCs w:val="18"/>
                <w:color w:val="auto"/>
              </w:rPr>
              <w:t>Initial Guarantors</w:t>
            </w:r>
          </w:p>
        </w:tc>
        <w:tc>
          <w:tcPr>
            <w:tcW w:w="2480" w:type="dxa"/>
            <w:vAlign w:val="bottom"/>
          </w:tcPr>
          <w:p>
            <w:pPr>
              <w:spacing w:after="0"/>
              <w:rPr>
                <w:sz w:val="18"/>
                <w:szCs w:val="18"/>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SCHEDULE 2.01</w:t>
            </w:r>
          </w:p>
        </w:tc>
        <w:tc>
          <w:tcPr>
            <w:tcW w:w="7440" w:type="dxa"/>
            <w:vAlign w:val="bottom"/>
          </w:tcPr>
          <w:p>
            <w:pPr>
              <w:ind w:left="460"/>
              <w:spacing w:after="0"/>
              <w:rPr>
                <w:sz w:val="20"/>
                <w:szCs w:val="20"/>
                <w:color w:val="auto"/>
              </w:rPr>
            </w:pPr>
            <w:r>
              <w:rPr>
                <w:rFonts w:ascii="Arial" w:cs="Arial" w:eastAsia="Arial" w:hAnsi="Arial"/>
                <w:sz w:val="18"/>
                <w:szCs w:val="18"/>
                <w:color w:val="auto"/>
              </w:rPr>
              <w:t>Commitments</w:t>
            </w:r>
          </w:p>
        </w:tc>
        <w:tc>
          <w:tcPr>
            <w:tcW w:w="2480" w:type="dxa"/>
            <w:vAlign w:val="bottom"/>
          </w:tcPr>
          <w:p>
            <w:pPr>
              <w:spacing w:after="0"/>
              <w:rPr>
                <w:sz w:val="18"/>
                <w:szCs w:val="18"/>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SCHEDULE 6.05</w:t>
            </w:r>
          </w:p>
        </w:tc>
        <w:tc>
          <w:tcPr>
            <w:tcW w:w="7440" w:type="dxa"/>
            <w:vAlign w:val="bottom"/>
          </w:tcPr>
          <w:p>
            <w:pPr>
              <w:ind w:left="460"/>
              <w:spacing w:after="0"/>
              <w:rPr>
                <w:sz w:val="20"/>
                <w:szCs w:val="20"/>
                <w:color w:val="auto"/>
              </w:rPr>
            </w:pPr>
            <w:r>
              <w:rPr>
                <w:rFonts w:ascii="Arial" w:cs="Arial" w:eastAsia="Arial" w:hAnsi="Arial"/>
                <w:sz w:val="18"/>
                <w:szCs w:val="18"/>
                <w:color w:val="auto"/>
              </w:rPr>
              <w:t>Disclosed Litigation</w:t>
            </w:r>
          </w:p>
        </w:tc>
        <w:tc>
          <w:tcPr>
            <w:tcW w:w="2480" w:type="dxa"/>
            <w:vAlign w:val="bottom"/>
          </w:tcPr>
          <w:p>
            <w:pPr>
              <w:spacing w:after="0"/>
              <w:rPr>
                <w:sz w:val="18"/>
                <w:szCs w:val="18"/>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SCHEDULE 7.11</w:t>
            </w:r>
          </w:p>
        </w:tc>
        <w:tc>
          <w:tcPr>
            <w:tcW w:w="7440" w:type="dxa"/>
            <w:vAlign w:val="bottom"/>
          </w:tcPr>
          <w:p>
            <w:pPr>
              <w:ind w:left="460"/>
              <w:spacing w:after="0"/>
              <w:rPr>
                <w:sz w:val="20"/>
                <w:szCs w:val="20"/>
                <w:color w:val="auto"/>
              </w:rPr>
            </w:pPr>
            <w:r>
              <w:rPr>
                <w:rFonts w:ascii="Arial" w:cs="Arial" w:eastAsia="Arial" w:hAnsi="Arial"/>
                <w:sz w:val="18"/>
                <w:szCs w:val="18"/>
                <w:color w:val="auto"/>
              </w:rPr>
              <w:t>Post-Closing Matters</w:t>
            </w:r>
          </w:p>
        </w:tc>
        <w:tc>
          <w:tcPr>
            <w:tcW w:w="2480" w:type="dxa"/>
            <w:vAlign w:val="bottom"/>
          </w:tcPr>
          <w:p>
            <w:pPr>
              <w:spacing w:after="0"/>
              <w:rPr>
                <w:sz w:val="18"/>
                <w:szCs w:val="18"/>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SCHEDULE 8.01</w:t>
            </w:r>
          </w:p>
        </w:tc>
        <w:tc>
          <w:tcPr>
            <w:tcW w:w="7440" w:type="dxa"/>
            <w:vAlign w:val="bottom"/>
          </w:tcPr>
          <w:p>
            <w:pPr>
              <w:ind w:left="460"/>
              <w:spacing w:after="0"/>
              <w:rPr>
                <w:sz w:val="20"/>
                <w:szCs w:val="20"/>
                <w:color w:val="auto"/>
              </w:rPr>
            </w:pPr>
            <w:r>
              <w:rPr>
                <w:rFonts w:ascii="Arial" w:cs="Arial" w:eastAsia="Arial" w:hAnsi="Arial"/>
                <w:sz w:val="18"/>
                <w:szCs w:val="18"/>
                <w:color w:val="auto"/>
              </w:rPr>
              <w:t>Existing Indebtedness</w:t>
            </w:r>
          </w:p>
        </w:tc>
        <w:tc>
          <w:tcPr>
            <w:tcW w:w="2480" w:type="dxa"/>
            <w:vAlign w:val="bottom"/>
          </w:tcPr>
          <w:p>
            <w:pPr>
              <w:spacing w:after="0"/>
              <w:rPr>
                <w:sz w:val="18"/>
                <w:szCs w:val="18"/>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SCHEDULE 8.04</w:t>
            </w:r>
          </w:p>
        </w:tc>
        <w:tc>
          <w:tcPr>
            <w:tcW w:w="7440" w:type="dxa"/>
            <w:vAlign w:val="bottom"/>
          </w:tcPr>
          <w:p>
            <w:pPr>
              <w:ind w:left="460"/>
              <w:spacing w:after="0"/>
              <w:rPr>
                <w:sz w:val="20"/>
                <w:szCs w:val="20"/>
                <w:color w:val="auto"/>
              </w:rPr>
            </w:pPr>
            <w:r>
              <w:rPr>
                <w:rFonts w:ascii="Arial" w:cs="Arial" w:eastAsia="Arial" w:hAnsi="Arial"/>
                <w:sz w:val="18"/>
                <w:szCs w:val="18"/>
                <w:color w:val="auto"/>
              </w:rPr>
              <w:t>Existing Liens</w:t>
            </w:r>
          </w:p>
        </w:tc>
        <w:tc>
          <w:tcPr>
            <w:tcW w:w="2480" w:type="dxa"/>
            <w:vAlign w:val="bottom"/>
          </w:tcPr>
          <w:p>
            <w:pPr>
              <w:spacing w:after="0"/>
              <w:rPr>
                <w:sz w:val="18"/>
                <w:szCs w:val="18"/>
                <w:color w:val="auto"/>
              </w:rPr>
            </w:pP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SCHEDULE 8.06</w:t>
            </w:r>
          </w:p>
        </w:tc>
        <w:tc>
          <w:tcPr>
            <w:tcW w:w="7440" w:type="dxa"/>
            <w:vAlign w:val="bottom"/>
          </w:tcPr>
          <w:p>
            <w:pPr>
              <w:ind w:left="460"/>
              <w:spacing w:after="0"/>
              <w:rPr>
                <w:sz w:val="20"/>
                <w:szCs w:val="20"/>
                <w:color w:val="auto"/>
              </w:rPr>
            </w:pPr>
            <w:r>
              <w:rPr>
                <w:rFonts w:ascii="Arial" w:cs="Arial" w:eastAsia="Arial" w:hAnsi="Arial"/>
                <w:sz w:val="18"/>
                <w:szCs w:val="18"/>
                <w:color w:val="auto"/>
              </w:rPr>
              <w:t>Existing Investments</w:t>
            </w:r>
          </w:p>
        </w:tc>
        <w:tc>
          <w:tcPr>
            <w:tcW w:w="2480" w:type="dxa"/>
            <w:vAlign w:val="bottom"/>
          </w:tcPr>
          <w:p>
            <w:pPr>
              <w:spacing w:after="0"/>
              <w:rPr>
                <w:sz w:val="18"/>
                <w:szCs w:val="18"/>
                <w:color w:val="auto"/>
              </w:rPr>
            </w:pPr>
          </w:p>
        </w:tc>
      </w:tr>
      <w:tr>
        <w:trPr>
          <w:trHeight w:val="230"/>
        </w:trPr>
        <w:tc>
          <w:tcPr>
            <w:tcW w:w="1540" w:type="dxa"/>
            <w:vAlign w:val="bottom"/>
            <w:gridSpan w:val="3"/>
          </w:tcPr>
          <w:p>
            <w:pPr>
              <w:spacing w:after="0"/>
              <w:rPr>
                <w:sz w:val="20"/>
                <w:szCs w:val="20"/>
                <w:color w:val="auto"/>
              </w:rPr>
            </w:pPr>
            <w:r>
              <w:rPr>
                <w:rFonts w:ascii="Arial" w:cs="Arial" w:eastAsia="Arial" w:hAnsi="Arial"/>
                <w:sz w:val="18"/>
                <w:szCs w:val="18"/>
                <w:color w:val="auto"/>
              </w:rPr>
              <w:t>SCHEDULE 8.11</w:t>
            </w:r>
          </w:p>
        </w:tc>
        <w:tc>
          <w:tcPr>
            <w:tcW w:w="7440" w:type="dxa"/>
            <w:vAlign w:val="bottom"/>
          </w:tcPr>
          <w:p>
            <w:pPr>
              <w:ind w:left="460"/>
              <w:spacing w:after="0"/>
              <w:rPr>
                <w:sz w:val="20"/>
                <w:szCs w:val="20"/>
                <w:color w:val="auto"/>
              </w:rPr>
            </w:pPr>
            <w:r>
              <w:rPr>
                <w:rFonts w:ascii="Arial" w:cs="Arial" w:eastAsia="Arial" w:hAnsi="Arial"/>
                <w:sz w:val="18"/>
                <w:szCs w:val="18"/>
                <w:color w:val="auto"/>
              </w:rPr>
              <w:t>Existing Restrictive Agreements</w:t>
            </w:r>
          </w:p>
        </w:tc>
        <w:tc>
          <w:tcPr>
            <w:tcW w:w="2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-4229100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-4229100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364-DAY REVOLVING CREDIT AGREEMENT</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THIS 364-DAY REVOLVING CREDIT AGREEMENT, dated as of August 16, 2018, is among WEATHERFORD INTERNATIONAL LTD., a Bermuda exempted company (“</w:t>
      </w:r>
      <w:r>
        <w:rPr>
          <w:rFonts w:ascii="Arial" w:cs="Arial" w:eastAsia="Arial" w:hAnsi="Arial"/>
          <w:sz w:val="16"/>
          <w:szCs w:val="16"/>
          <w:u w:val="single" w:color="auto"/>
          <w:color w:val="auto"/>
        </w:rPr>
        <w:t>WIL-Bermuda</w:t>
      </w:r>
      <w:r>
        <w:rPr>
          <w:rFonts w:ascii="Arial" w:cs="Arial" w:eastAsia="Arial" w:hAnsi="Arial"/>
          <w:sz w:val="16"/>
          <w:szCs w:val="16"/>
          <w:color w:val="auto"/>
        </w:rPr>
        <w:t>”), WEATHERFORD INTERNATIONAL plc, an Irish public limited company (“</w:t>
      </w:r>
      <w:r>
        <w:rPr>
          <w:rFonts w:ascii="Arial" w:cs="Arial" w:eastAsia="Arial" w:hAnsi="Arial"/>
          <w:sz w:val="16"/>
          <w:szCs w:val="16"/>
          <w:u w:val="single" w:color="auto"/>
          <w:color w:val="auto"/>
        </w:rPr>
        <w:t>WIL-Ireland</w:t>
      </w:r>
      <w:r>
        <w:rPr>
          <w:rFonts w:ascii="Arial" w:cs="Arial" w:eastAsia="Arial" w:hAnsi="Arial"/>
          <w:sz w:val="16"/>
          <w:szCs w:val="16"/>
          <w:color w:val="auto"/>
        </w:rPr>
        <w:t>”), the other Subsidiaries of WIL-Ireland from time to time party hereto, the Lenders from time to time party hereto, JPMORGAN CHASE BANK, N.A., as administrative agent for the Lenders and as a Swingline Lender, and MORGAN STANLEY SENIOR FUNDING, INC., as collateral agent for the Secured Parties.</w:t>
      </w:r>
    </w:p>
    <w:p>
      <w:pPr>
        <w:spacing w:after="0" w:line="15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contained in this Agreement, and for other good and valuable consideration, the receipt and sufficiency of which are hereby acknowledged, the parties hereto agree as follows: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DEFINITIONS; ACCOUNTING TERMS; INTERPRETATION</w:t>
      </w:r>
    </w:p>
    <w:p>
      <w:pPr>
        <w:spacing w:after="0" w:line="211"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terms shall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Senior Notes</w:t>
      </w:r>
      <w:r>
        <w:rPr>
          <w:rFonts w:ascii="Arial" w:cs="Arial" w:eastAsia="Arial" w:hAnsi="Arial"/>
          <w:sz w:val="18"/>
          <w:szCs w:val="18"/>
          <w:color w:val="auto"/>
        </w:rPr>
        <w:t>” means the 5.125% Senior Notes due September 15, 2020 issued by WIL-Bermuda.</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364-Day Revolving Credit Facility</w:t>
      </w:r>
      <w:r>
        <w:rPr>
          <w:rFonts w:ascii="Arial" w:cs="Arial" w:eastAsia="Arial" w:hAnsi="Arial"/>
          <w:sz w:val="18"/>
          <w:szCs w:val="18"/>
          <w:color w:val="auto"/>
        </w:rPr>
        <w:t>” means the senior secured second lien 364-day revolving credit facility provided pursuant to this Agreement and the other Loan Documents.</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70"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Acceptable Deposit Account</w:t>
      </w:r>
      <w:r>
        <w:rPr>
          <w:rFonts w:ascii="Arial" w:cs="Arial" w:eastAsia="Arial" w:hAnsi="Arial"/>
          <w:sz w:val="16"/>
          <w:szCs w:val="16"/>
          <w:color w:val="auto"/>
        </w:rPr>
        <w:t>” means any deposit account that is (a) subject to a deposit account control agreement in form and substance reasonably acceptable to the Collateral Agent, which, subject to the terms of the Intercreditor Agreement, establishes “control” (within the meaning of Section 9-104 of the UCC) with respect to such deposit account by the Term Loan Agent on behalf of the Term Loan Secured Parties and the Collateral Agent</w:t>
      </w:r>
    </w:p>
    <w:p>
      <w:pPr>
        <w:sectPr>
          <w:pgSz w:w="11900" w:h="16838" w:orient="portrait"/>
          <w:cols w:equalWidth="0" w:num="1">
            <w:col w:w="11460"/>
          </w:cols>
          <w:pgMar w:left="240" w:top="125" w:right="199" w:bottom="0" w:gutter="0" w:footer="0" w:header="0"/>
        </w:sectPr>
      </w:pPr>
    </w:p>
    <w:bookmarkStart w:id="126" w:name="page127"/>
    <w:bookmarkEnd w:id="126"/>
    <w:p>
      <w:pPr>
        <w:ind w:right="700"/>
        <w:spacing w:after="0" w:line="277" w:lineRule="auto"/>
        <w:rPr>
          <w:sz w:val="20"/>
          <w:szCs w:val="20"/>
          <w:color w:val="auto"/>
        </w:rPr>
      </w:pPr>
      <w:r>
        <w:rPr>
          <w:rFonts w:ascii="Arial" w:cs="Arial" w:eastAsia="Arial" w:hAnsi="Arial"/>
          <w:sz w:val="18"/>
          <w:szCs w:val="18"/>
          <w:color w:val="auto"/>
        </w:rPr>
        <w:t>on behalf of the Secured Parties and (b) subject to other documentation reasonably satisfactory to the Administrative Agent that does not permit any withdrawals from such deposit account except to Redeem any of the 2020 Senior Notes.</w:t>
      </w:r>
    </w:p>
    <w:p>
      <w:pPr>
        <w:spacing w:after="0" w:line="170" w:lineRule="exact"/>
        <w:rPr>
          <w:sz w:val="20"/>
          <w:szCs w:val="20"/>
          <w:color w:val="auto"/>
        </w:rPr>
      </w:pPr>
    </w:p>
    <w:p>
      <w:pPr>
        <w:jc w:val="both"/>
        <w:ind w:right="5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acquisition (whether by purchase, merger, consolidation or otherwise) of property or series of related acquisitions of property that constitutes (i) assets comprising all or substantially all or any significant portion of a business or operating unit of a business, or (ii) all or substantially all of the Capital Stock of a Person.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Added Optional Guarantor</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7.08(f)</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Financial Covenant</w:t>
      </w:r>
      <w:r>
        <w:rPr>
          <w:rFonts w:ascii="Arial" w:cs="Arial" w:eastAsia="Arial" w:hAnsi="Arial"/>
          <w:sz w:val="16"/>
          <w:szCs w:val="16"/>
          <w:color w:val="auto"/>
        </w:rPr>
        <w:t>” means any affirmative or negative “maintenance” financial covenant contained in any Other Debt Agreement applicable to WIL-Ireland or any Restricted Subsidiary (regardless of whether such provision is labeled or otherwise characterized as a “financial covenant”), including any defined terms as used therein, the subject matter of which either (a) is similar to that of any of the Financial Covenants or the related definitions contained in this Agreement, but contains one or more percentages, amounts, formulas or other provisions that are more restrictive as to WIL-Ireland or any Restricted Subsidiary or more beneficial to the holder or holders of any Indebtedness to which such Other Debt Agreement relates than as set forth herein (and such covenant or similar restriction shall be deemed an Additional Financial Covenant only to the extent that it is more restrictive or more beneficial) or</w:t>
      </w:r>
    </w:p>
    <w:p>
      <w:pPr>
        <w:spacing w:after="0" w:line="5" w:lineRule="exact"/>
        <w:rPr>
          <w:sz w:val="20"/>
          <w:szCs w:val="20"/>
          <w:color w:val="auto"/>
        </w:rPr>
      </w:pPr>
    </w:p>
    <w:p>
      <w:pPr>
        <w:ind w:left="660" w:right="2200" w:hanging="652"/>
        <w:spacing w:after="0" w:line="492" w:lineRule="auto"/>
        <w:tabs>
          <w:tab w:leader="none" w:pos="267"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is different from the subject matter of any of the Financial Covenants or the related definitions contained in this Agreement. “</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2.18(a)</w:t>
      </w:r>
      <w:r>
        <w:rPr>
          <w:rFonts w:ascii="Arial" w:cs="Arial" w:eastAsia="Arial" w:hAnsi="Arial"/>
          <w:sz w:val="18"/>
          <w:szCs w:val="18"/>
          <w:color w:val="auto"/>
        </w:rPr>
        <w:t>.</w:t>
      </w:r>
    </w:p>
    <w:p>
      <w:pPr>
        <w:spacing w:after="0" w:line="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 Supplement</w:t>
      </w:r>
      <w:r>
        <w:rPr>
          <w:rFonts w:ascii="Arial" w:cs="Arial" w:eastAsia="Arial" w:hAnsi="Arial"/>
          <w:sz w:val="18"/>
          <w:szCs w:val="18"/>
          <w:color w:val="auto"/>
        </w:rPr>
        <w:t xml:space="preserve">” means an additional lender supplement entered into by the Borrowers and any Additional Lender in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or any other form reasonably acceptable to the Administrative Agent.</w:t>
      </w:r>
    </w:p>
    <w:p>
      <w:pPr>
        <w:spacing w:after="0" w:line="170"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LIBO Rate</w:t>
      </w:r>
      <w:r>
        <w:rPr>
          <w:rFonts w:ascii="Arial" w:cs="Arial" w:eastAsia="Arial" w:hAnsi="Arial"/>
          <w:sz w:val="17"/>
          <w:szCs w:val="17"/>
          <w:color w:val="auto"/>
        </w:rPr>
        <w:t>” means, with respect to any Eurodollar Borrowing for any Interest Period, an interest rate per annum (rounded upwards, if necessary, to the next 1/100 of 1%) equal to (a) the LIBO Rate for such Interest Period multiplied by (b) the Statutory Reserve Rate.</w:t>
      </w:r>
    </w:p>
    <w:p>
      <w:pPr>
        <w:spacing w:after="0" w:line="14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JPMorgan in its capacity as administrative agent for the Lenders and any successor in such capacity pursuant to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specified Person, any other Person that, directly or indirectly, controls, is controlled by or is under direct or indirect common control with, such specified Person. For the purposes of this definition, “control” (including, with correlative meanings, the terms “controlling” and “controlled”), when used with respect to any Person, means the power to direct the management and policies of such Person, directly or indirectly, whether through the ownership of voting securities, by contract or otherwise.</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Guaranty</w:t>
      </w:r>
      <w:r>
        <w:rPr>
          <w:rFonts w:ascii="Arial" w:cs="Arial" w:eastAsia="Arial" w:hAnsi="Arial"/>
          <w:sz w:val="18"/>
          <w:szCs w:val="18"/>
          <w:color w:val="auto"/>
        </w:rPr>
        <w:t>” means that certain Affiliate Guaranty, dated as of the Effective Date, by and among WIL-Ireland and the other Guarantors party thereto in favor of the Administrative Agent, for the benefit of itself and the other holders of the Guaranteed Obligations.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11.02(e)(ii)</w:t>
      </w:r>
      <w:r>
        <w:rPr>
          <w:rFonts w:ascii="Arial" w:cs="Arial" w:eastAsia="Arial" w:hAnsi="Arial"/>
          <w:sz w:val="18"/>
          <w:szCs w:val="18"/>
          <w:color w:val="auto"/>
        </w:rPr>
        <w:t>.</w:t>
      </w:r>
    </w:p>
    <w:p>
      <w:pPr>
        <w:spacing w:after="0" w:line="225"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at any time, the sum of the Commitments of all Lenders at such time. The amount of the Aggregate Commitments as of the Effective Date is $316,742,581.42.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Swingline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2.03(a)</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364-Day Revolving Credit Agreement.</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means, for any day, a rate per annum equal to the greatest of (a) the Prime Rate in effect on such day, (b) the NYFRB Rate in effect on such day plus ½ of 1% and (c) the Adjusted LIBO Rate for a one month Interest Period on such day (or if such day is not a Business Day, the immediately preceding Business Day) plus 1%, provided that, for the purpose of this definition, the Adjusted LIBO Rate for any day shall be based on the LIBO Screen Rate (or if the LIBO Screen Rate is not available for such one month Interest Period, the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For the avoidance of doubt, if the Alternate Base Rate shall be less than zero, such rate shall be deemed to be zero for purposes of this Agreement.</w:t>
      </w:r>
    </w:p>
    <w:p>
      <w:pPr>
        <w:spacing w:after="0" w:line="16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Angolan Bond Investment</w:t>
      </w:r>
      <w:r>
        <w:rPr>
          <w:rFonts w:ascii="Arial" w:cs="Arial" w:eastAsia="Arial" w:hAnsi="Arial"/>
          <w:sz w:val="18"/>
          <w:szCs w:val="18"/>
          <w:color w:val="auto"/>
        </w:rPr>
        <w:t>” means the purchase of Dollar-linked or inflation-protected Angolan government sovereign bonds by WIL-Ireland or a Restricted Subsidiary.</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WIL-Ireland or any of its Subsidiaries from time to time concerning or relating to bribery or corruption.</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for any day, with respect to any Eurodollar Loan or ABR Loan, as the case may be, the applicable rate per annum set forth below under the captions “LIBOR Margin” or “ABR Margin”, as the case may be, based upon the Specified Senior Leverage Ratio as of the most recently ended Fiscal Quarter for which financial statements are available: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Category</w:t>
            </w:r>
          </w:p>
        </w:tc>
        <w:tc>
          <w:tcPr>
            <w:tcW w:w="3220" w:type="dxa"/>
            <w:vAlign w:val="bottom"/>
          </w:tcPr>
          <w:p>
            <w:pPr>
              <w:jc w:val="center"/>
              <w:ind w:left="708"/>
              <w:spacing w:after="0"/>
              <w:rPr>
                <w:sz w:val="20"/>
                <w:szCs w:val="20"/>
                <w:color w:val="auto"/>
              </w:rPr>
            </w:pPr>
            <w:r>
              <w:rPr>
                <w:rFonts w:ascii="Arial" w:cs="Arial" w:eastAsia="Arial" w:hAnsi="Arial"/>
                <w:sz w:val="14"/>
                <w:szCs w:val="14"/>
                <w:b w:val="1"/>
                <w:bCs w:val="1"/>
                <w:color w:val="auto"/>
                <w:w w:val="91"/>
              </w:rPr>
              <w:t>Specified Senior</w:t>
            </w:r>
          </w:p>
        </w:tc>
        <w:tc>
          <w:tcPr>
            <w:tcW w:w="2020" w:type="dxa"/>
            <w:vAlign w:val="bottom"/>
          </w:tcPr>
          <w:p>
            <w:pPr>
              <w:jc w:val="center"/>
              <w:ind w:left="68"/>
              <w:spacing w:after="0"/>
              <w:rPr>
                <w:sz w:val="20"/>
                <w:szCs w:val="20"/>
                <w:color w:val="auto"/>
              </w:rPr>
            </w:pPr>
            <w:r>
              <w:rPr>
                <w:rFonts w:ascii="Arial" w:cs="Arial" w:eastAsia="Arial" w:hAnsi="Arial"/>
                <w:sz w:val="14"/>
                <w:szCs w:val="14"/>
                <w:b w:val="1"/>
                <w:bCs w:val="1"/>
                <w:color w:val="auto"/>
                <w:w w:val="94"/>
              </w:rPr>
              <w:t>Facility Fee</w:t>
            </w:r>
          </w:p>
        </w:tc>
        <w:tc>
          <w:tcPr>
            <w:tcW w:w="20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LIBOR Margin</w:t>
            </w:r>
          </w:p>
        </w:tc>
        <w:tc>
          <w:tcPr>
            <w:tcW w:w="1360" w:type="dxa"/>
            <w:vAlign w:val="bottom"/>
            <w:vMerge w:val="restart"/>
          </w:tcPr>
          <w:p>
            <w:pPr>
              <w:ind w:left="560"/>
              <w:spacing w:after="0"/>
              <w:rPr>
                <w:sz w:val="20"/>
                <w:szCs w:val="20"/>
                <w:color w:val="auto"/>
              </w:rPr>
            </w:pPr>
            <w:r>
              <w:rPr>
                <w:rFonts w:ascii="Arial" w:cs="Arial" w:eastAsia="Arial" w:hAnsi="Arial"/>
                <w:sz w:val="14"/>
                <w:szCs w:val="14"/>
                <w:b w:val="1"/>
                <w:bCs w:val="1"/>
                <w:color w:val="auto"/>
                <w:w w:val="97"/>
              </w:rPr>
              <w:t>ABR Margin</w:t>
            </w:r>
          </w:p>
        </w:tc>
        <w:tc>
          <w:tcPr>
            <w:tcW w:w="0" w:type="dxa"/>
            <w:vAlign w:val="bottom"/>
          </w:tcPr>
          <w:p>
            <w:pPr>
              <w:spacing w:after="0"/>
              <w:rPr>
                <w:sz w:val="1"/>
                <w:szCs w:val="1"/>
                <w:color w:val="auto"/>
              </w:rPr>
            </w:pPr>
          </w:p>
        </w:tc>
      </w:tr>
      <w:tr>
        <w:trPr>
          <w:trHeight w:val="186"/>
        </w:trPr>
        <w:tc>
          <w:tcPr>
            <w:tcW w:w="2080" w:type="dxa"/>
            <w:vAlign w:val="bottom"/>
            <w:vMerge w:val="continue"/>
          </w:tcPr>
          <w:p>
            <w:pPr>
              <w:spacing w:after="0"/>
              <w:rPr>
                <w:sz w:val="16"/>
                <w:szCs w:val="16"/>
                <w:color w:val="auto"/>
              </w:rPr>
            </w:pPr>
          </w:p>
        </w:tc>
        <w:tc>
          <w:tcPr>
            <w:tcW w:w="3220" w:type="dxa"/>
            <w:vAlign w:val="bottom"/>
          </w:tcPr>
          <w:p>
            <w:pPr>
              <w:jc w:val="center"/>
              <w:ind w:left="728"/>
              <w:spacing w:after="0"/>
              <w:rPr>
                <w:sz w:val="20"/>
                <w:szCs w:val="20"/>
                <w:color w:val="auto"/>
              </w:rPr>
            </w:pPr>
            <w:r>
              <w:rPr>
                <w:rFonts w:ascii="Arial" w:cs="Arial" w:eastAsia="Arial" w:hAnsi="Arial"/>
                <w:sz w:val="14"/>
                <w:szCs w:val="14"/>
                <w:b w:val="1"/>
                <w:bCs w:val="1"/>
                <w:color w:val="auto"/>
                <w:w w:val="93"/>
              </w:rPr>
              <w:t>Leverage Ratio</w:t>
            </w:r>
          </w:p>
        </w:tc>
        <w:tc>
          <w:tcPr>
            <w:tcW w:w="202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Rate</w:t>
            </w:r>
          </w:p>
        </w:tc>
        <w:tc>
          <w:tcPr>
            <w:tcW w:w="208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p>
      <w:pPr>
        <w:ind w:left="920"/>
        <w:spacing w:after="0"/>
        <w:tabs>
          <w:tab w:leader="none" w:pos="3560" w:val="left"/>
          <w:tab w:leader="none" w:pos="6800" w:val="left"/>
          <w:tab w:leader="none" w:pos="8800" w:val="left"/>
          <w:tab w:leader="none" w:pos="10780" w:val="left"/>
        </w:tabs>
        <w:rPr>
          <w:sz w:val="20"/>
          <w:szCs w:val="20"/>
          <w:color w:val="auto"/>
        </w:rPr>
      </w:pPr>
      <w:r>
        <w:rPr>
          <w:rFonts w:ascii="Arial" w:cs="Arial" w:eastAsia="Arial" w:hAnsi="Arial"/>
          <w:sz w:val="18"/>
          <w:szCs w:val="18"/>
          <w:color w:val="auto"/>
        </w:rPr>
        <w:t>Category 1</w:t>
      </w:r>
      <w:r>
        <w:rPr>
          <w:sz w:val="20"/>
          <w:szCs w:val="20"/>
          <w:color w:val="auto"/>
        </w:rPr>
        <w:tab/>
      </w:r>
      <w:r>
        <w:rPr>
          <w:rFonts w:ascii="Arial" w:cs="Arial" w:eastAsia="Arial" w:hAnsi="Arial"/>
          <w:sz w:val="18"/>
          <w:szCs w:val="18"/>
          <w:color w:val="auto"/>
        </w:rPr>
        <w:t>&lt; 1.00 to 1.00</w:t>
      </w:r>
      <w:r>
        <w:rPr>
          <w:sz w:val="20"/>
          <w:szCs w:val="20"/>
          <w:color w:val="auto"/>
        </w:rPr>
        <w:tab/>
      </w:r>
      <w:r>
        <w:rPr>
          <w:rFonts w:ascii="Arial" w:cs="Arial" w:eastAsia="Arial" w:hAnsi="Arial"/>
          <w:sz w:val="18"/>
          <w:szCs w:val="18"/>
          <w:color w:val="auto"/>
        </w:rPr>
        <w:t>0.325%</w:t>
      </w:r>
      <w:r>
        <w:rPr>
          <w:sz w:val="20"/>
          <w:szCs w:val="20"/>
          <w:color w:val="auto"/>
        </w:rPr>
        <w:tab/>
      </w:r>
      <w:r>
        <w:rPr>
          <w:rFonts w:ascii="Arial" w:cs="Arial" w:eastAsia="Arial" w:hAnsi="Arial"/>
          <w:sz w:val="18"/>
          <w:szCs w:val="18"/>
          <w:color w:val="auto"/>
        </w:rPr>
        <w:t>2.175%</w:t>
      </w:r>
      <w:r>
        <w:rPr>
          <w:sz w:val="20"/>
          <w:szCs w:val="20"/>
          <w:color w:val="auto"/>
        </w:rPr>
        <w:tab/>
      </w:r>
      <w:r>
        <w:rPr>
          <w:rFonts w:ascii="Arial" w:cs="Arial" w:eastAsia="Arial" w:hAnsi="Arial"/>
          <w:sz w:val="16"/>
          <w:szCs w:val="16"/>
          <w:color w:val="auto"/>
        </w:rPr>
        <w:t>1.175%</w:t>
      </w:r>
    </w:p>
    <w:p>
      <w:pPr>
        <w:sectPr>
          <w:pgSz w:w="11900" w:h="16838" w:orient="portrait"/>
          <w:cols w:equalWidth="0" w:num="1">
            <w:col w:w="11380"/>
          </w:cols>
          <w:pgMar w:left="240" w:top="125" w:right="279" w:bottom="0" w:gutter="0" w:footer="0" w:header="0"/>
          <w:type w:val="continuous"/>
        </w:sectPr>
      </w:pPr>
    </w:p>
    <w:bookmarkStart w:id="127" w:name="page128"/>
    <w:bookmarkEnd w:id="127"/>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ind w:left="920"/>
              <w:spacing w:after="0"/>
              <w:rPr>
                <w:sz w:val="20"/>
                <w:szCs w:val="20"/>
                <w:color w:val="auto"/>
              </w:rPr>
            </w:pPr>
            <w:r>
              <w:rPr>
                <w:rFonts w:ascii="Arial" w:cs="Arial" w:eastAsia="Arial" w:hAnsi="Arial"/>
                <w:sz w:val="18"/>
                <w:szCs w:val="18"/>
                <w:color w:val="auto"/>
              </w:rPr>
              <w:t>Category 2</w:t>
            </w:r>
          </w:p>
        </w:tc>
        <w:tc>
          <w:tcPr>
            <w:tcW w:w="286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&gt; 1.00 to 1.00 but &lt; 2.00 to</w:t>
            </w:r>
          </w:p>
        </w:tc>
        <w:tc>
          <w:tcPr>
            <w:tcW w:w="2140" w:type="dxa"/>
            <w:vAlign w:val="bottom"/>
          </w:tcPr>
          <w:p>
            <w:pPr>
              <w:jc w:val="right"/>
              <w:ind w:right="630"/>
              <w:spacing w:after="0"/>
              <w:rPr>
                <w:sz w:val="20"/>
                <w:szCs w:val="20"/>
                <w:color w:val="auto"/>
              </w:rPr>
            </w:pPr>
            <w:r>
              <w:rPr>
                <w:rFonts w:ascii="Arial" w:cs="Arial" w:eastAsia="Arial" w:hAnsi="Arial"/>
                <w:sz w:val="18"/>
                <w:szCs w:val="18"/>
                <w:color w:val="auto"/>
              </w:rPr>
              <w:t>0.400%</w:t>
            </w:r>
          </w:p>
        </w:tc>
        <w:tc>
          <w:tcPr>
            <w:tcW w:w="1980" w:type="dxa"/>
            <w:vAlign w:val="bottom"/>
          </w:tcPr>
          <w:p>
            <w:pPr>
              <w:jc w:val="right"/>
              <w:ind w:right="630"/>
              <w:spacing w:after="0"/>
              <w:rPr>
                <w:sz w:val="20"/>
                <w:szCs w:val="20"/>
                <w:color w:val="auto"/>
              </w:rPr>
            </w:pPr>
            <w:r>
              <w:rPr>
                <w:rFonts w:ascii="Arial" w:cs="Arial" w:eastAsia="Arial" w:hAnsi="Arial"/>
                <w:sz w:val="18"/>
                <w:szCs w:val="18"/>
                <w:color w:val="auto"/>
              </w:rPr>
              <w:t>3.050%</w:t>
            </w:r>
          </w:p>
        </w:tc>
        <w:tc>
          <w:tcPr>
            <w:tcW w:w="1340" w:type="dxa"/>
            <w:vAlign w:val="bottom"/>
          </w:tcPr>
          <w:p>
            <w:pPr>
              <w:jc w:val="right"/>
              <w:spacing w:after="0"/>
              <w:rPr>
                <w:sz w:val="20"/>
                <w:szCs w:val="20"/>
                <w:color w:val="auto"/>
              </w:rPr>
            </w:pPr>
            <w:r>
              <w:rPr>
                <w:rFonts w:ascii="Arial" w:cs="Arial" w:eastAsia="Arial" w:hAnsi="Arial"/>
                <w:sz w:val="18"/>
                <w:szCs w:val="18"/>
                <w:color w:val="auto"/>
              </w:rPr>
              <w:t>2.050%</w:t>
            </w:r>
          </w:p>
        </w:tc>
      </w:tr>
      <w:tr>
        <w:trPr>
          <w:trHeight w:val="237"/>
        </w:trPr>
        <w:tc>
          <w:tcPr>
            <w:tcW w:w="3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760" w:type="dxa"/>
            <w:vAlign w:val="bottom"/>
            <w:gridSpan w:val="3"/>
          </w:tcPr>
          <w:p>
            <w:pPr>
              <w:jc w:val="center"/>
              <w:ind w:right="1000"/>
              <w:spacing w:after="0"/>
              <w:rPr>
                <w:sz w:val="20"/>
                <w:szCs w:val="20"/>
                <w:color w:val="auto"/>
              </w:rPr>
            </w:pPr>
            <w:r>
              <w:rPr>
                <w:rFonts w:ascii="Arial" w:cs="Arial" w:eastAsia="Arial" w:hAnsi="Arial"/>
                <w:sz w:val="18"/>
                <w:szCs w:val="18"/>
                <w:color w:val="auto"/>
                <w:w w:val="91"/>
              </w:rPr>
              <w:t>1.00</w:t>
            </w:r>
          </w:p>
        </w:tc>
        <w:tc>
          <w:tcPr>
            <w:tcW w:w="21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76"/>
        </w:trPr>
        <w:tc>
          <w:tcPr>
            <w:tcW w:w="3100" w:type="dxa"/>
            <w:vAlign w:val="bottom"/>
            <w:shd w:val="clear" w:color="auto" w:fill="CCEEFF"/>
          </w:tcPr>
          <w:p>
            <w:pPr>
              <w:ind w:left="920"/>
              <w:spacing w:after="0" w:line="176" w:lineRule="exact"/>
              <w:rPr>
                <w:sz w:val="20"/>
                <w:szCs w:val="20"/>
                <w:color w:val="auto"/>
              </w:rPr>
            </w:pPr>
            <w:r>
              <w:rPr>
                <w:rFonts w:ascii="Arial" w:cs="Arial" w:eastAsia="Arial" w:hAnsi="Arial"/>
                <w:sz w:val="18"/>
                <w:szCs w:val="18"/>
                <w:color w:val="auto"/>
              </w:rPr>
              <w:t>Category 3</w:t>
            </w:r>
          </w:p>
        </w:tc>
        <w:tc>
          <w:tcPr>
            <w:tcW w:w="2860" w:type="dxa"/>
            <w:vAlign w:val="bottom"/>
            <w:gridSpan w:val="4"/>
            <w:shd w:val="clear" w:color="auto" w:fill="CCEEFF"/>
          </w:tcPr>
          <w:p>
            <w:pPr>
              <w:jc w:val="center"/>
              <w:ind w:right="880"/>
              <w:spacing w:after="0" w:line="176" w:lineRule="exact"/>
              <w:rPr>
                <w:sz w:val="20"/>
                <w:szCs w:val="20"/>
                <w:color w:val="auto"/>
              </w:rPr>
            </w:pPr>
            <w:r>
              <w:rPr>
                <w:rFonts w:ascii="Arial" w:cs="Arial" w:eastAsia="Arial" w:hAnsi="Arial"/>
                <w:sz w:val="18"/>
                <w:szCs w:val="18"/>
                <w:color w:val="auto"/>
                <w:w w:val="91"/>
              </w:rPr>
              <w:t>&gt; 2.00 to 1.00 but &lt; 2.50 to</w:t>
            </w:r>
          </w:p>
        </w:tc>
        <w:tc>
          <w:tcPr>
            <w:tcW w:w="21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37"/>
        </w:trPr>
        <w:tc>
          <w:tcPr>
            <w:tcW w:w="3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760" w:type="dxa"/>
            <w:vAlign w:val="bottom"/>
            <w:tcBorders>
              <w:top w:val="single" w:sz="8" w:color="CCEEFF"/>
            </w:tcBorders>
            <w:gridSpan w:val="3"/>
            <w:shd w:val="clear" w:color="auto" w:fill="CCEEFF"/>
          </w:tcPr>
          <w:p>
            <w:pPr>
              <w:jc w:val="center"/>
              <w:ind w:right="1000"/>
              <w:spacing w:after="0"/>
              <w:rPr>
                <w:sz w:val="20"/>
                <w:szCs w:val="20"/>
                <w:color w:val="auto"/>
              </w:rPr>
            </w:pPr>
            <w:r>
              <w:rPr>
                <w:rFonts w:ascii="Arial" w:cs="Arial" w:eastAsia="Arial" w:hAnsi="Arial"/>
                <w:sz w:val="18"/>
                <w:szCs w:val="18"/>
                <w:color w:val="auto"/>
                <w:w w:val="91"/>
              </w:rPr>
              <w:t>1.00</w:t>
            </w:r>
          </w:p>
        </w:tc>
        <w:tc>
          <w:tcPr>
            <w:tcW w:w="2140" w:type="dxa"/>
            <w:vAlign w:val="bottom"/>
            <w:tcBorders>
              <w:top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0.500%</w:t>
            </w:r>
          </w:p>
        </w:tc>
        <w:tc>
          <w:tcPr>
            <w:tcW w:w="1980" w:type="dxa"/>
            <w:vAlign w:val="bottom"/>
            <w:tcBorders>
              <w:top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3.450%</w:t>
            </w:r>
          </w:p>
        </w:tc>
        <w:tc>
          <w:tcPr>
            <w:tcW w:w="1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r>
      <w:tr>
        <w:trPr>
          <w:trHeight w:val="176"/>
        </w:trPr>
        <w:tc>
          <w:tcPr>
            <w:tcW w:w="3100" w:type="dxa"/>
            <w:vAlign w:val="bottom"/>
          </w:tcPr>
          <w:p>
            <w:pPr>
              <w:ind w:left="920"/>
              <w:spacing w:after="0" w:line="176" w:lineRule="exact"/>
              <w:rPr>
                <w:sz w:val="20"/>
                <w:szCs w:val="20"/>
                <w:color w:val="auto"/>
              </w:rPr>
            </w:pPr>
            <w:r>
              <w:rPr>
                <w:rFonts w:ascii="Arial" w:cs="Arial" w:eastAsia="Arial" w:hAnsi="Arial"/>
                <w:sz w:val="18"/>
                <w:szCs w:val="18"/>
                <w:color w:val="auto"/>
              </w:rPr>
              <w:t>Category 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80" w:type="dxa"/>
            <w:vAlign w:val="bottom"/>
            <w:gridSpan w:val="2"/>
          </w:tcPr>
          <w:p>
            <w:pPr>
              <w:jc w:val="center"/>
              <w:ind w:right="1380"/>
              <w:spacing w:after="0" w:line="176" w:lineRule="exact"/>
              <w:rPr>
                <w:sz w:val="20"/>
                <w:szCs w:val="20"/>
                <w:color w:val="auto"/>
              </w:rPr>
            </w:pPr>
            <w:r>
              <w:rPr>
                <w:rFonts w:ascii="Arial" w:cs="Arial" w:eastAsia="Arial" w:hAnsi="Arial"/>
                <w:sz w:val="18"/>
                <w:szCs w:val="18"/>
                <w:color w:val="auto"/>
                <w:w w:val="90"/>
              </w:rPr>
              <w:t>&gt; 2.50 to 1.00</w:t>
            </w:r>
          </w:p>
        </w:tc>
        <w:tc>
          <w:tcPr>
            <w:tcW w:w="2140" w:type="dxa"/>
            <w:vAlign w:val="bottom"/>
          </w:tcPr>
          <w:p>
            <w:pPr>
              <w:jc w:val="right"/>
              <w:ind w:right="630"/>
              <w:spacing w:after="0" w:line="176" w:lineRule="exact"/>
              <w:rPr>
                <w:sz w:val="20"/>
                <w:szCs w:val="20"/>
                <w:color w:val="auto"/>
              </w:rPr>
            </w:pPr>
            <w:r>
              <w:rPr>
                <w:rFonts w:ascii="Arial" w:cs="Arial" w:eastAsia="Arial" w:hAnsi="Arial"/>
                <w:sz w:val="18"/>
                <w:szCs w:val="18"/>
                <w:color w:val="auto"/>
              </w:rPr>
              <w:t>0.750%</w:t>
            </w:r>
          </w:p>
        </w:tc>
        <w:tc>
          <w:tcPr>
            <w:tcW w:w="1980" w:type="dxa"/>
            <w:vAlign w:val="bottom"/>
          </w:tcPr>
          <w:p>
            <w:pPr>
              <w:jc w:val="right"/>
              <w:ind w:right="630"/>
              <w:spacing w:after="0" w:line="176" w:lineRule="exact"/>
              <w:rPr>
                <w:sz w:val="20"/>
                <w:szCs w:val="20"/>
                <w:color w:val="auto"/>
              </w:rPr>
            </w:pPr>
            <w:r>
              <w:rPr>
                <w:rFonts w:ascii="Arial" w:cs="Arial" w:eastAsia="Arial" w:hAnsi="Arial"/>
                <w:sz w:val="18"/>
                <w:szCs w:val="18"/>
                <w:color w:val="auto"/>
              </w:rPr>
              <w:t>3.950%</w:t>
            </w:r>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2.950%</w:t>
            </w: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If at any time WIL-Ireland fails to deliver the quarterly or annual financial statements or related certificates required under this Agreement on or before the date such statements or certificates are due, Category 4 shall be deemed applicable for the period commencing three Business Days after such required date of delivery and ending on the date which is three Business Days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after such statements or certificates are actually delivered, after which the Category shall be determined in accordance with the table above as applicable.</w:t>
      </w:r>
    </w:p>
    <w:p>
      <w:pPr>
        <w:spacing w:after="0" w:line="24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Except as otherwise provided in the paragraph below, adjustments, if any, to the Category then in effect shall be effective three Business Days after the Administrative Agent has received the applicable financial statements and related certificates (it being understood and agreed that each change in Category shall apply during the period commencing on the effective date of such change and ending on the date immediately preceding the effective date of the next such change).</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Notwithstanding the foregoing, Category 1 shall be deemed to be applicable until the Administrative Agent’s receipt of the applicable financial statements for the Fiscal Quarter ended June 30, 2018 (it being understood and agreed that the Category shall be adjusted for such Fiscal Quarter based on the computation of the Specified Senior Leverage Ratio reflected in the compliance certificate delivered for such Fiscal Quarter under the RCF Credit Agreement), and adjustments to the Category then in effect shall thereafter be effected in accordance with the preceding paragraphs.</w:t>
      </w:r>
    </w:p>
    <w:p>
      <w:pPr>
        <w:spacing w:after="0" w:line="17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with respect to any Lender, the percentage (carried out to the twelfth decimal place) of the Aggregate Commitments represented by such Lender’s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any time that a Defaulting Lender shall exist, “Applicable Percentage” shall mean the percentage of the Aggregate Commitments (disregarding any Defaulting Lender’s Commitment at such time) represented by such Lender’s Commitment. If all of the Commitments have terminated or expired, the Applicable Percentages shall be determined based upon the Commitments most recently in effect, giving effect to any assignments permitted hereunder and to any Lender’s status as a Defaulting Lender at the time of determination. The Applicable Percentage of each Lender as of the Effective Date is set forth opposite such Lender’s name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or in the Assignment and Assumption pursuant to which such Lender becomes a party hereto, as applicable.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Assignee Certificate</w:t>
      </w:r>
      <w:r>
        <w:rPr>
          <w:rFonts w:ascii="Arial" w:cs="Arial" w:eastAsia="Arial" w:hAnsi="Arial"/>
          <w:sz w:val="17"/>
          <w:szCs w:val="17"/>
          <w:color w:val="auto"/>
        </w:rPr>
        <w:t xml:space="preserve">” means a certificate executed by an assignee under an Assignment and Assumption, substantially in the form of </w:t>
      </w:r>
      <w:r>
        <w:rPr>
          <w:rFonts w:ascii="Arial" w:cs="Arial" w:eastAsia="Arial" w:hAnsi="Arial"/>
          <w:sz w:val="17"/>
          <w:szCs w:val="17"/>
          <w:u w:val="single" w:color="auto"/>
          <w:color w:val="auto"/>
        </w:rPr>
        <w:t>Exhibit I</w:t>
      </w:r>
      <w:r>
        <w:rPr>
          <w:rFonts w:ascii="Arial" w:cs="Arial" w:eastAsia="Arial" w:hAnsi="Arial"/>
          <w:sz w:val="17"/>
          <w:szCs w:val="17"/>
          <w:color w:val="auto"/>
        </w:rPr>
        <w:t>.</w:t>
      </w:r>
    </w:p>
    <w:p>
      <w:pPr>
        <w:spacing w:after="0" w:line="23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agreement entered into by a Lender and an assignee (with the consent of any party whose consent is required by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 Receivables Amount</w:t>
      </w:r>
      <w:r>
        <w:rPr>
          <w:rFonts w:ascii="Arial" w:cs="Arial" w:eastAsia="Arial" w:hAnsi="Arial"/>
          <w:sz w:val="17"/>
          <w:szCs w:val="17"/>
          <w:color w:val="auto"/>
        </w:rPr>
        <w:t>” means the amount of obligations outstanding under receivables purchase facilities or factoring transactions on any date of determination that would be characterized as principal if such facilities or transactions were structured as secured lending transactions rather than as purchases, whether such obligations would constitute on-balance sheet Indebtedness or an off-balance sheet liability.</w:t>
      </w:r>
    </w:p>
    <w:p>
      <w:pPr>
        <w:spacing w:after="0" w:line="16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the Effective Date to the earlier of (a) the Maturity Date and (b) the date of termination of all of the Commitments.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w:t>
      </w:r>
      <w:r>
        <w:rPr>
          <w:rFonts w:ascii="Arial" w:cs="Arial" w:eastAsia="Arial" w:hAnsi="Arial"/>
          <w:sz w:val="18"/>
          <w:szCs w:val="18"/>
          <w:color w:val="auto"/>
        </w:rPr>
        <w:t>” means each and any of the following bank services provided to WIL-Ireland or any Restricted Subsidiary by any Lender or any of its Affiliates: (a) credit cards for commercial customers (including commercial credit cards and purchasing cards), (b) stored value cards, (c) merchant processing services and (d) treasury management services (including controlled disbursement, automated clearinghouse transactions, return items, any direct debit scheme or arrangement, overdrafts and interstate depository network services).</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Obligations</w:t>
      </w:r>
      <w:r>
        <w:rPr>
          <w:rFonts w:ascii="Arial" w:cs="Arial" w:eastAsia="Arial" w:hAnsi="Arial"/>
          <w:sz w:val="18"/>
          <w:szCs w:val="18"/>
          <w:color w:val="auto"/>
        </w:rPr>
        <w:t>” means any and all obligations of WIL-Ireland or any Restricted Subsidiary, whether absolute or contingent and howsoever and whensoever created, arising, evidenced or acquired (including all renewals, extensions and modifications thereof and substitutions therefor) in connection with Banking Services.</w:t>
      </w:r>
    </w:p>
    <w:p>
      <w:pPr>
        <w:spacing w:after="0" w:line="18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entitled “Bankruptcy”, as now or hereafter in effect, or any successor thereto, as hereafter amended.</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Event</w:t>
      </w:r>
      <w:r>
        <w:rPr>
          <w:rFonts w:ascii="Arial" w:cs="Arial" w:eastAsia="Arial" w:hAnsi="Arial"/>
          <w:sz w:val="16"/>
          <w:szCs w:val="16"/>
          <w:color w:val="auto"/>
        </w:rPr>
        <w:t xml:space="preserve">” means, with respect to any Person, such Person becomes the subject of a bankruptcy or insolvency proceeding, or has had a receiver, conservator, trustee, administrator, custodian, examiner,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Bankruptcy Event shall not result solely by virtue of any ownership interest, or the acquisition of any ownership interest, in such Person by a Governmental Authority or instrumentality thereof so long</w:t>
      </w:r>
    </w:p>
    <w:p>
      <w:pPr>
        <w:sectPr>
          <w:pgSz w:w="11900" w:h="16941" w:orient="portrait"/>
          <w:cols w:equalWidth="0" w:num="1">
            <w:col w:w="11420"/>
          </w:cols>
          <w:pgMar w:left="240" w:top="108" w:right="239" w:bottom="0" w:gutter="0" w:footer="0" w:header="0"/>
        </w:sectPr>
      </w:pPr>
    </w:p>
    <w:bookmarkStart w:id="128" w:name="page129"/>
    <w:bookmarkEnd w:id="128"/>
    <w:p>
      <w:pPr>
        <w:spacing w:after="0" w:line="13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 (or any successor).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with respect to any Person, the board of directors (or other governing body) of such Person (or of its (managing) general partner or managing member, as the case may be), or any committee thereof duly authorized to act on behalf of such board of directors (or other governing body).</w:t>
      </w:r>
    </w:p>
    <w:p>
      <w:pPr>
        <w:spacing w:after="0" w:line="181" w:lineRule="exact"/>
        <w:rPr>
          <w:sz w:val="20"/>
          <w:szCs w:val="20"/>
          <w:color w:val="auto"/>
        </w:rPr>
      </w:pPr>
    </w:p>
    <w:p>
      <w:pPr>
        <w:ind w:right="11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Borrowers</w:t>
      </w:r>
      <w:r>
        <w:rPr>
          <w:rFonts w:ascii="Arial" w:cs="Arial" w:eastAsia="Arial" w:hAnsi="Arial"/>
          <w:sz w:val="16"/>
          <w:szCs w:val="16"/>
          <w:color w:val="auto"/>
        </w:rPr>
        <w:t xml:space="preserve">” means, collectively, WIL-Bermuda and any other Persons from time to time becoming Borrowers hereunder pursuant to </w:t>
      </w:r>
      <w:r>
        <w:rPr>
          <w:rFonts w:ascii="Arial" w:cs="Arial" w:eastAsia="Arial" w:hAnsi="Arial"/>
          <w:sz w:val="16"/>
          <w:szCs w:val="16"/>
          <w:u w:val="single" w:color="auto"/>
          <w:color w:val="auto"/>
        </w:rPr>
        <w:t>Section 11.01(c)</w:t>
      </w:r>
      <w:r>
        <w:rPr>
          <w:rFonts w:ascii="Arial" w:cs="Arial" w:eastAsia="Arial" w:hAnsi="Arial"/>
          <w:sz w:val="16"/>
          <w:szCs w:val="16"/>
          <w:color w:val="auto"/>
        </w:rPr>
        <w:t xml:space="preserve">, but excluding any Persons who from time to time cease to be Borrowers hereunder pursuant to </w:t>
      </w:r>
      <w:r>
        <w:rPr>
          <w:rFonts w:ascii="Arial" w:cs="Arial" w:eastAsia="Arial" w:hAnsi="Arial"/>
          <w:sz w:val="16"/>
          <w:szCs w:val="16"/>
          <w:u w:val="single" w:color="auto"/>
          <w:color w:val="auto"/>
        </w:rPr>
        <w:t>Section 11.01(d)</w:t>
      </w:r>
      <w:r>
        <w:rPr>
          <w:rFonts w:ascii="Arial" w:cs="Arial" w:eastAsia="Arial" w:hAnsi="Arial"/>
          <w:sz w:val="16"/>
          <w:szCs w:val="16"/>
          <w:color w:val="auto"/>
        </w:rPr>
        <w:t>.</w:t>
      </w:r>
    </w:p>
    <w:p>
      <w:pPr>
        <w:spacing w:after="0" w:line="12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Credit Loans of the same Type made, converted or continued on the same date and, in the case of Eurodollar Loans, as to which a single Interest Period is in effect or (b) a Swingline Borrowing.</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a Borrower for a Borrowing of Revolving Credit Loans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Eurodollar Loan,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also exclude any day on which banks are not open for dealings in Dollar deposits in the London interbank market.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w:t>
      </w:r>
      <w:r>
        <w:rPr>
          <w:rFonts w:ascii="Arial" w:cs="Arial" w:eastAsia="Arial" w:hAnsi="Arial"/>
          <w:sz w:val="16"/>
          <w:szCs w:val="16"/>
          <w:color w:val="auto"/>
        </w:rPr>
        <w:t>” means, as to any Person, any lease in respect of which the rental obligation of such Person constitutes a Capital Lease Obligation.</w:t>
      </w:r>
    </w:p>
    <w:p>
      <w:pPr>
        <w:spacing w:after="0" w:line="24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w:t>
      </w:r>
      <w:r>
        <w:rPr>
          <w:rFonts w:ascii="Arial" w:cs="Arial" w:eastAsia="Arial" w:hAnsi="Arial"/>
          <w:sz w:val="18"/>
          <w:szCs w:val="18"/>
          <w:color w:val="auto"/>
        </w:rPr>
        <w:t>” means, with respect to any Person, the obligation of such Person to pay rent or other amounts under a lease of (or other agreement conveying the right to use) real or personal property that is required to be classified and accounted for as a capital lease obligation on a balance sheet of such Person under GAAP and, for purposes of this Agreement, the amount of such obligation at any date shall be the capitalized amount thereof at such date, determined in accordance with GAAP.</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with respect to any Person, any and all shares, interests, rights to purchase, warrants, options, participations or other equivalents (however designated) of such Person’s equity, including all common stock and preferred stock, common shares and preference shares, any limited or general partnership interests and any limited liability company membership interests.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Collateralized LC Exposure</w:t>
      </w:r>
      <w:r>
        <w:rPr>
          <w:rFonts w:ascii="Arial" w:cs="Arial" w:eastAsia="Arial" w:hAnsi="Arial"/>
          <w:sz w:val="18"/>
          <w:szCs w:val="18"/>
          <w:color w:val="auto"/>
        </w:rPr>
        <w:t>” means, with respect to any Specified Letter of Credit as of any date, the amount of cash collateral pledged to the applicable issuing bank or institution that issued such Specified Letter of Credit as security to cover reimbursement obligations of WIL-Ireland or any Restricted Subsidiary in respect of such Specified Letter of Credit, excluding any such cash collateral that is (a) in excess of the stated amount of such Specified Letter of Credit or (b) designated solely for the purpose of paying or reimbursing any amounts other than amounts drawn under such Specified Letter of Credit.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225" w:lineRule="exact"/>
        <w:rPr>
          <w:sz w:val="20"/>
          <w:szCs w:val="20"/>
          <w:color w:val="auto"/>
        </w:rPr>
      </w:pPr>
    </w:p>
    <w:p>
      <w:pPr>
        <w:jc w:val="both"/>
        <w:ind w:right="80" w:firstLine="656"/>
        <w:spacing w:after="0" w:line="264" w:lineRule="auto"/>
        <w:tabs>
          <w:tab w:leader="none" w:pos="1294" w:val="left"/>
        </w:tabs>
        <w:numPr>
          <w:ilvl w:val="1"/>
          <w:numId w:val="301"/>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81" w:lineRule="exact"/>
        <w:rPr>
          <w:rFonts w:ascii="Arial" w:cs="Arial" w:eastAsia="Arial" w:hAnsi="Arial"/>
          <w:sz w:val="18"/>
          <w:szCs w:val="18"/>
          <w:color w:val="auto"/>
        </w:rPr>
      </w:pPr>
    </w:p>
    <w:p>
      <w:pPr>
        <w:ind w:right="80" w:firstLine="656"/>
        <w:spacing w:after="0" w:line="277" w:lineRule="auto"/>
        <w:tabs>
          <w:tab w:leader="none" w:pos="1304" w:val="left"/>
        </w:tabs>
        <w:numPr>
          <w:ilvl w:val="1"/>
          <w:numId w:val="301"/>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obtainable from S&amp;P or from Moody’s;</w:t>
      </w:r>
    </w:p>
    <w:p>
      <w:pPr>
        <w:spacing w:after="0" w:line="170" w:lineRule="exact"/>
        <w:rPr>
          <w:rFonts w:ascii="Arial" w:cs="Arial" w:eastAsia="Arial" w:hAnsi="Arial"/>
          <w:sz w:val="18"/>
          <w:szCs w:val="18"/>
          <w:color w:val="auto"/>
        </w:rPr>
      </w:pPr>
    </w:p>
    <w:p>
      <w:pPr>
        <w:ind w:right="20" w:firstLine="656"/>
        <w:spacing w:after="0" w:line="259" w:lineRule="auto"/>
        <w:tabs>
          <w:tab w:leader="none" w:pos="1307" w:val="left"/>
        </w:tabs>
        <w:numPr>
          <w:ilvl w:val="1"/>
          <w:numId w:val="301"/>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$500,000,000;</w:t>
      </w:r>
    </w:p>
    <w:p>
      <w:pPr>
        <w:spacing w:after="0" w:line="186" w:lineRule="exact"/>
        <w:rPr>
          <w:rFonts w:ascii="Arial" w:cs="Arial" w:eastAsia="Arial" w:hAnsi="Arial"/>
          <w:sz w:val="18"/>
          <w:szCs w:val="18"/>
          <w:color w:val="auto"/>
        </w:rPr>
      </w:pPr>
    </w:p>
    <w:p>
      <w:pPr>
        <w:ind w:right="340" w:firstLine="656"/>
        <w:spacing w:after="0" w:line="277" w:lineRule="auto"/>
        <w:tabs>
          <w:tab w:leader="none" w:pos="1304" w:val="left"/>
        </w:tabs>
        <w:numPr>
          <w:ilvl w:val="1"/>
          <w:numId w:val="301"/>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thirty (30) days for securities described in clause (a) above and entered into with a financial institution satisfying the criteria described in clause (c) above;</w:t>
      </w:r>
    </w:p>
    <w:p>
      <w:pPr>
        <w:spacing w:after="0" w:line="170" w:lineRule="exact"/>
        <w:rPr>
          <w:rFonts w:ascii="Arial" w:cs="Arial" w:eastAsia="Arial" w:hAnsi="Arial"/>
          <w:sz w:val="18"/>
          <w:szCs w:val="18"/>
          <w:color w:val="auto"/>
        </w:rPr>
      </w:pPr>
    </w:p>
    <w:p>
      <w:pPr>
        <w:ind w:right="140" w:firstLine="656"/>
        <w:spacing w:after="0" w:line="277" w:lineRule="auto"/>
        <w:tabs>
          <w:tab w:leader="none" w:pos="1307" w:val="left"/>
        </w:tabs>
        <w:numPr>
          <w:ilvl w:val="1"/>
          <w:numId w:val="301"/>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of 1940, (ii) are rated AAA by S&amp;P and Aaa by Moody’s and (iii) have portfolio assets of at least $5,000,000,000; and</w:t>
      </w:r>
    </w:p>
    <w:p>
      <w:pPr>
        <w:spacing w:after="0" w:line="170" w:lineRule="exact"/>
        <w:rPr>
          <w:rFonts w:ascii="Arial" w:cs="Arial" w:eastAsia="Arial" w:hAnsi="Arial"/>
          <w:sz w:val="18"/>
          <w:szCs w:val="18"/>
          <w:color w:val="auto"/>
        </w:rPr>
      </w:pPr>
    </w:p>
    <w:p>
      <w:pPr>
        <w:jc w:val="both"/>
        <w:ind w:right="80" w:firstLine="656"/>
        <w:spacing w:after="0" w:line="342" w:lineRule="auto"/>
        <w:tabs>
          <w:tab w:leader="none" w:pos="873" w:val="left"/>
        </w:tabs>
        <w:numPr>
          <w:ilvl w:val="1"/>
          <w:numId w:val="301"/>
        </w:numPr>
        <w:rPr>
          <w:rFonts w:ascii="Arial" w:cs="Arial" w:eastAsia="Arial" w:hAnsi="Arial"/>
          <w:sz w:val="16"/>
          <w:szCs w:val="16"/>
          <w:color w:val="auto"/>
        </w:rPr>
      </w:pPr>
      <w:r>
        <w:rPr>
          <w:rFonts w:ascii="Arial" w:cs="Arial" w:eastAsia="Arial" w:hAnsi="Arial"/>
          <w:sz w:val="16"/>
          <w:szCs w:val="16"/>
          <w:color w:val="auto"/>
        </w:rPr>
        <w:t>in the case of any Restricted Subsidiary that is organized under the laws of a jurisdiction outside the United States of America, other investments that are analogous to the foregoing, are of comparable credit quality and are customarily used by companies in the jurisdiction of such Restricted Subsidiary</w:t>
      </w:r>
    </w:p>
    <w:p>
      <w:pPr>
        <w:sectPr>
          <w:pgSz w:w="11900" w:h="16975" w:orient="portrait"/>
          <w:cols w:equalWidth="0" w:num="1">
            <w:col w:w="11380"/>
          </w:cols>
          <w:pgMar w:left="240" w:top="125" w:right="279" w:bottom="0" w:gutter="0" w:footer="0" w:header="0"/>
        </w:sectPr>
      </w:pPr>
    </w:p>
    <w:bookmarkStart w:id="129" w:name="page130"/>
    <w:bookmarkEnd w:id="129"/>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for cash management purposes.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provided however,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 (a) in the case of the Weatherford Parent Company, (i) any “person” (as such term is used in Sections 13(d) and 14(d)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of the Exchange Act as in effect on the Effective Date) or related persons constituting a “group” (as such term is used in Rule 13d-5 under the Exchange Act in effect on the Effective Date) is or becomes the “beneficial owner” (as defined in Rules 13d-3 and 13d-5 under the Exchange Act, as in effect on the Effective Date), directly or indirectly, of 50% or more of the total voting power of the Voting Stock of the Weatherford Parent Company, except as a result of a Redomestication; (ii) the shareholders of the Weatherford Parent Company approve any plan of liquidation, winding up or dissolution of the Weatherford Parent Company, except in connection with a Redomestication; (iii) the Weatherford Parent Company Disposes of all or substantially all of its assets to any Person other than an Obligor or a Restricted Subsidiary organized in a Specified Jurisdiction that, concurrently with such Disposition, becomes a Guarantor in accordance with </w:t>
      </w:r>
      <w:r>
        <w:rPr>
          <w:rFonts w:ascii="Arial" w:cs="Arial" w:eastAsia="Arial" w:hAnsi="Arial"/>
          <w:sz w:val="16"/>
          <w:szCs w:val="16"/>
          <w:u w:val="single" w:color="auto"/>
          <w:color w:val="auto"/>
        </w:rPr>
        <w:t>Section 7.08(a)</w:t>
      </w:r>
      <w:r>
        <w:rPr>
          <w:rFonts w:ascii="Arial" w:cs="Arial" w:eastAsia="Arial" w:hAnsi="Arial"/>
          <w:sz w:val="16"/>
          <w:szCs w:val="16"/>
          <w:color w:val="auto"/>
        </w:rPr>
        <w:t xml:space="preserve">, except in connection with a Redomestication; or (iv) during any period of twelve consecutive months, individuals who, at the beginning of such period, constituted the Board of Directors of the Weatherford Parent Company (together with any new directors whose appointment or election by such Board of Directors or whose nomination for election by the shareholders of the Weatherford Parent Company, as applicable, was approved by a vote of not less than a majority of the directors then still in office who were either directors at the beginning of such period or whose appointment, election or nomination for election was previously so approved) cease for any reason to constitute a majority of the Board of Directors of the Weatherford Parent Company then in office, but excluding from the foregoing clause any change in the composition or membership of the Board of Directors of the Weatherford Parent Company resulting solely from the addition thereto or removal therefrom of directors to the extent necessary for the Weatherford Parent Company to comply with the United States Sarbanes Oxley Act of 2002 or the rules and regulations of any stock exchange on which the Weatherford Parent Company’s securities are listed, pursuant to the recommendation of the Weatherford Parent Company’s legal counsel; or (b) in the case of any other Obligor Party, except in a transaction permitted by </w:t>
      </w:r>
      <w:r>
        <w:rPr>
          <w:rFonts w:ascii="Arial" w:cs="Arial" w:eastAsia="Arial" w:hAnsi="Arial"/>
          <w:sz w:val="16"/>
          <w:szCs w:val="16"/>
          <w:u w:val="single" w:color="auto"/>
          <w:color w:val="auto"/>
        </w:rPr>
        <w:t>Section 8.02</w:t>
      </w:r>
      <w:r>
        <w:rPr>
          <w:rFonts w:ascii="Arial" w:cs="Arial" w:eastAsia="Arial" w:hAnsi="Arial"/>
          <w:sz w:val="16"/>
          <w:szCs w:val="16"/>
          <w:color w:val="auto"/>
        </w:rPr>
        <w:t>, the Weatherford Parent Company ceases to own, after giving effect to such event or series of events, directly or indirectly, 100% of the issued and outstanding Capital Stock of each class of such Obligor Party.</w:t>
      </w:r>
    </w:p>
    <w:p>
      <w:pPr>
        <w:spacing w:after="0" w:line="17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Event</w:t>
      </w:r>
      <w:r>
        <w:rPr>
          <w:rFonts w:ascii="Arial" w:cs="Arial" w:eastAsia="Arial" w:hAnsi="Arial"/>
          <w:sz w:val="18"/>
          <w:szCs w:val="18"/>
          <w:color w:val="auto"/>
        </w:rPr>
        <w:t>” means (a) the execution of any definitive agreement which when fully performed by the parties thereto, would result in a Change of Control; or (b) the commencement of a tender offer pursuant to Section 14(d) of the Exchange Act that would result in a Change of Control if completed.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 and the regulations promulgated thereunder.</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any and all property owned, leased or operated by a Secured Obligor covered by the Collateral Documents and any and all other property of any Secured Obligor, now existing or hereafter acquired, that may at any time be or become subject to a security interest or other Lien in favor of the Collateral Agent, on behalf of itself and the other Secured Parties, to secure the Secured Obligations. For the avoidance of doubt, Collateral shall not include Excluded Assets.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xml:space="preserve">” means Morgan Stanley Senior Funding, Inc., in its capacity as the collateral agent for the Secured Parties under the Collateral Documents, and any successor in such capacity pursuant to </w:t>
      </w:r>
      <w:r>
        <w:rPr>
          <w:rFonts w:ascii="Arial" w:cs="Arial" w:eastAsia="Arial" w:hAnsi="Arial"/>
          <w:sz w:val="18"/>
          <w:szCs w:val="18"/>
          <w:u w:val="single" w:color="auto"/>
          <w:color w:val="auto"/>
        </w:rPr>
        <w:t>Section 10.06</w:t>
      </w:r>
      <w:r>
        <w:rPr>
          <w:rFonts w:ascii="Arial" w:cs="Arial" w:eastAsia="Arial" w:hAnsi="Arial"/>
          <w:sz w:val="18"/>
          <w:szCs w:val="18"/>
          <w:color w:val="auto"/>
        </w:rPr>
        <w:t>.</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Documents</w:t>
      </w:r>
      <w:r>
        <w:rPr>
          <w:rFonts w:ascii="Arial" w:cs="Arial" w:eastAsia="Arial" w:hAnsi="Arial"/>
          <w:sz w:val="16"/>
          <w:szCs w:val="16"/>
          <w:color w:val="auto"/>
        </w:rPr>
        <w:t>” means, collectively, the Security Agreements and all other agreements, instruments and documents executed in connection with this Agreement that are intended to create, perfect (or any analogous concept to the extent perfection does not apply in the relevant jurisdiction) or evidence Liens to secure the Secured Obligations, including all other security agreements, pledge agreements, deeds, charges, deposit account control agreements, securities account control agreements, financing statements and all other written matter heretofore, now, or hereafter executed by any of the Secured Obligors and delivered to the Collateral Agent that are intended to create, perfect or evidence Liens to secure the Secured Obligations.</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Perfection Period</w:t>
      </w:r>
      <w:r>
        <w:rPr>
          <w:rFonts w:ascii="Arial" w:cs="Arial" w:eastAsia="Arial" w:hAnsi="Arial"/>
          <w:sz w:val="18"/>
          <w:szCs w:val="18"/>
          <w:color w:val="auto"/>
        </w:rPr>
        <w:t xml:space="preserve">” </w:t>
      </w:r>
      <w:r>
        <w:rPr>
          <w:rFonts w:ascii="Arial" w:cs="Arial" w:eastAsia="Arial" w:hAnsi="Arial"/>
          <w:sz w:val="17"/>
          <w:szCs w:val="17"/>
          <w:color w:val="auto"/>
        </w:rPr>
        <w:t>means the period from the Effective Date through the date that is 50 days after the Effective Date.</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Transfer</w:t>
      </w:r>
      <w:r>
        <w:rPr>
          <w:rFonts w:ascii="Arial" w:cs="Arial" w:eastAsia="Arial" w:hAnsi="Arial"/>
          <w:sz w:val="18"/>
          <w:szCs w:val="18"/>
          <w:color w:val="auto"/>
        </w:rPr>
        <w:t xml:space="preserve">” means any transaction described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8.08</w:t>
      </w:r>
      <w:r>
        <w:rPr>
          <w:rFonts w:ascii="Arial" w:cs="Arial" w:eastAsia="Arial" w:hAnsi="Arial"/>
          <w:sz w:val="18"/>
          <w:szCs w:val="18"/>
          <w:color w:val="auto"/>
        </w:rPr>
        <w:t xml:space="preserve"> that requires, as a condition to being permitted thereunder, pro forma compliance with the Current Asset Coverage Ratio Covenant.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2.18(a)</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with respect to each Lender, the commitment of such Lender to (a) make Loans and (b) acquire participations in Swingline Loans, which commitment will terminate on the Maturity Date (if not terminated earlier in accordance with the terms hereof), in an aggregate principal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heading “Commitment” or in the Additional Lender Supplement or Assignment and Assumption pursuant to which such Lender shall have provided or assumed its Commitment, as applicable, as such amount may be (i) reduced from time to time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(ii) increased from time to time pursuant to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and (iii) reduced or increased from time to time pursuant to assignments by or to such Lender pursuant to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11.05</w:t>
      </w:r>
      <w:r>
        <w:rPr>
          <w:rFonts w:ascii="Arial" w:cs="Arial" w:eastAsia="Arial" w:hAnsi="Arial"/>
          <w:sz w:val="18"/>
          <w:szCs w:val="18"/>
          <w:color w:val="auto"/>
        </w:rPr>
        <w:t>.</w:t>
      </w:r>
    </w:p>
    <w:p>
      <w:pPr>
        <w:sectPr>
          <w:pgSz w:w="11900" w:h="16906" w:orient="portrait"/>
          <w:cols w:equalWidth="0" w:num="1">
            <w:col w:w="11400"/>
          </w:cols>
          <w:pgMar w:left="240" w:top="125" w:right="259" w:bottom="0" w:gutter="0" w:footer="0" w:header="0"/>
        </w:sectPr>
      </w:pPr>
    </w:p>
    <w:bookmarkStart w:id="130" w:name="page131"/>
    <w:bookmarkEnd w:id="130"/>
    <w:p>
      <w:pPr>
        <w:spacing w:after="0" w:line="1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 statute.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11.02(e)(ii)</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xml:space="preserve">” means with respect to any fiscal period, a certificate of a Principal Financial Officer of WIL-Ireland substantially in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certifying as to (a) whether a Default has occurred and, if a Default has occurred, specifying the details thereof and any action taken or proposed to be taken with respect thereto, (b) setting forth reasonably detailed calculations demonstrating compliance with the Financial Covenants for such period, (c) attaching a summary report with respect to all Specified Letters of Credit, including all undrawn amounts thereunder, as of the last day of such period, (d) identifying all Material Specified Subsidiaries, (e) specifying whether any Material Specified Subsidiaries are organized in jurisdictions other than Specified Jurisdictions or Excluded Jurisdictions, (f) stating whether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 xml:space="preserve">any change in GAAP or in the application thereof has occurred since the date of WIL-Ireland’s consolidated financial statements most recently delivered pursuant to </w:t>
      </w:r>
      <w:r>
        <w:rPr>
          <w:rFonts w:ascii="Arial" w:cs="Arial" w:eastAsia="Arial" w:hAnsi="Arial"/>
          <w:sz w:val="16"/>
          <w:szCs w:val="16"/>
          <w:u w:val="single" w:color="auto"/>
          <w:color w:val="auto"/>
        </w:rPr>
        <w:t>Section 7.01(b)</w:t>
      </w:r>
      <w:r>
        <w:rPr>
          <w:rFonts w:ascii="Arial" w:cs="Arial" w:eastAsia="Arial" w:hAnsi="Arial"/>
          <w:sz w:val="16"/>
          <w:szCs w:val="16"/>
          <w:color w:val="auto"/>
        </w:rPr>
        <w:t xml:space="preserve"> and, if any such change has occurred, specifying the effect of such change on the financial statements </w:t>
      </w:r>
      <w:r>
        <w:rPr>
          <w:rFonts w:ascii="Arial" w:cs="Arial" w:eastAsia="Arial" w:hAnsi="Arial"/>
          <w:sz w:val="15"/>
          <w:szCs w:val="15"/>
          <w:color w:val="auto"/>
        </w:rPr>
        <w:t>accompanying such</w:t>
      </w:r>
    </w:p>
    <w:p>
      <w:pPr>
        <w:spacing w:after="0"/>
        <w:rPr>
          <w:sz w:val="20"/>
          <w:szCs w:val="20"/>
          <w:color w:val="auto"/>
        </w:rPr>
      </w:pPr>
      <w:r>
        <w:rPr>
          <w:rFonts w:ascii="Arial" w:cs="Arial" w:eastAsia="Arial" w:hAnsi="Arial"/>
          <w:sz w:val="18"/>
          <w:szCs w:val="18"/>
          <w:color w:val="auto"/>
        </w:rPr>
        <w:t>certificate and (g) any changes to exhibits or schedules to any Collateral Document as required by such Collateral Document.</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w:t>
      </w:r>
    </w:p>
    <w:p>
      <w:pPr>
        <w:spacing w:after="0" w:line="17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Adjusted EBITDA</w:t>
      </w:r>
      <w:r>
        <w:rPr>
          <w:rFonts w:ascii="Arial" w:cs="Arial" w:eastAsia="Arial" w:hAnsi="Arial"/>
          <w:sz w:val="16"/>
          <w:szCs w:val="16"/>
          <w:color w:val="auto"/>
        </w:rPr>
        <w:t xml:space="preserve">” means, for any period and with respect to any Reference Group, Consolidated Net Income of such Reference Group for such period </w:t>
      </w:r>
      <w:r>
        <w:rPr>
          <w:rFonts w:ascii="Arial" w:cs="Arial" w:eastAsia="Arial" w:hAnsi="Arial"/>
          <w:sz w:val="16"/>
          <w:szCs w:val="16"/>
          <w:i w:val="1"/>
          <w:iCs w:val="1"/>
          <w:color w:val="auto"/>
        </w:rPr>
        <w:t>plus</w:t>
      </w:r>
      <w:r>
        <w:rPr>
          <w:rFonts w:ascii="Arial" w:cs="Arial" w:eastAsia="Arial" w:hAnsi="Arial"/>
          <w:sz w:val="16"/>
          <w:szCs w:val="16"/>
          <w:color w:val="auto"/>
        </w:rPr>
        <w:t xml:space="preserve"> (a) the following expenses or charges (without duplication) and to the extent deducted from revenues in determining Consolidated Net Income of such Reference Group for such period: (i) Consolidated Interest Expense, (ii) expense for income taxes, (iii) depreciation, (iv) amortization,</w:t>
      </w:r>
    </w:p>
    <w:p>
      <w:pPr>
        <w:jc w:val="both"/>
        <w:ind w:right="380" w:firstLine="8"/>
        <w:spacing w:after="0" w:line="281" w:lineRule="auto"/>
        <w:tabs>
          <w:tab w:leader="none" w:pos="255" w:val="left"/>
        </w:tabs>
        <w:numPr>
          <w:ilvl w:val="0"/>
          <w:numId w:val="302"/>
        </w:numPr>
        <w:rPr>
          <w:rFonts w:ascii="Arial" w:cs="Arial" w:eastAsia="Arial" w:hAnsi="Arial"/>
          <w:sz w:val="16"/>
          <w:szCs w:val="16"/>
          <w:color w:val="auto"/>
        </w:rPr>
      </w:pPr>
      <w:r>
        <w:rPr>
          <w:rFonts w:ascii="Arial" w:cs="Arial" w:eastAsia="Arial" w:hAnsi="Arial"/>
          <w:sz w:val="16"/>
          <w:szCs w:val="16"/>
          <w:color w:val="auto"/>
        </w:rPr>
        <w:t>extraordinary or non-recurring cash costs, expenses and charges, including those related to (A) severance, cost savings, operating expense reductions, facilities closings, percentage of completion contracts, consolidations, and integration costs and other restructuring charges or reserves and (B) litigation, settlement and judgment costs and expenses (provided that the aggregate amount of all amounts added back pursuant to this clause (v) shall not exceed $100,000,000 for any Testing Period), (vi) any non-cash losses or charges under Swap Agreements resulting from the application of FASB ASC 815,</w:t>
      </w:r>
    </w:p>
    <w:p>
      <w:pPr>
        <w:spacing w:after="0" w:line="2" w:lineRule="exact"/>
        <w:rPr>
          <w:rFonts w:ascii="Arial" w:cs="Arial" w:eastAsia="Arial" w:hAnsi="Arial"/>
          <w:sz w:val="16"/>
          <w:szCs w:val="16"/>
          <w:color w:val="auto"/>
        </w:rPr>
      </w:pPr>
    </w:p>
    <w:p>
      <w:pPr>
        <w:ind w:right="40" w:firstLine="8"/>
        <w:spacing w:after="0" w:line="267" w:lineRule="auto"/>
        <w:tabs>
          <w:tab w:leader="none" w:pos="355" w:val="left"/>
        </w:tabs>
        <w:numPr>
          <w:ilvl w:val="0"/>
          <w:numId w:val="303"/>
        </w:numPr>
        <w:rPr>
          <w:rFonts w:ascii="Arial" w:cs="Arial" w:eastAsia="Arial" w:hAnsi="Arial"/>
          <w:sz w:val="17"/>
          <w:szCs w:val="17"/>
          <w:color w:val="auto"/>
        </w:rPr>
      </w:pPr>
      <w:r>
        <w:rPr>
          <w:rFonts w:ascii="Arial" w:cs="Arial" w:eastAsia="Arial" w:hAnsi="Arial"/>
          <w:sz w:val="17"/>
          <w:szCs w:val="17"/>
          <w:color w:val="auto"/>
        </w:rPr>
        <w:t xml:space="preserve">non-cash compensation expenses or costs related to any management equity plan or stock option plan or any other management or employee benefit plan or agreement, (viii) fees, expenses, premiums and similar charges incurred in connection with the Term Loan Agreement, the RCF Credit Agreement, this Agreement and the Transactions, and (ix) all other non-cash charges, expenses or losses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following items of income or gains (without duplication) to the extent included in Consolidated Net Income of such Reference Group for such period, (i) interest income, (ii) income tax benefits (to the extent not netted from tax expense), (iii) any cash payments made during such period in respect of non-cash items described in clause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above subsequent to the Fiscal Quarter in which such non-cash expenses or losses were incurred (iv) any non-cash gains under Swap Agreements resulting from the application of FASB ASC 815 and (v) all other non-cash income or gains, all calculated for such Reference Group in accordance with GAAP on a consolidated basis. For the purposes of calculating Consolidated Adjusted EBITDA of any Reference Group for any Testing Period if at any time during such Testing Period any member of the applicable Reference Group shall have made any Material Acquisition or Material Disposition, Consolidated Adjusted EBITDA of such Reference Group for such Testing Period shall be calculated after giving effect thereto on a pro forma basis as if such Material Acquisition or Material Disposition had occurred on the first day of such Testing Period.</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for any period and with respect to any Reference Group, the interest expense (including interest expense under Capital Lease Obligations that is treated as interest in accordance with GAAP) of such Reference Group calculated on a consolidated basis for such period with respect to (a) all outstanding Indebtedness of such Reference Group and all outstanding letters of credit, bank guaranties and bankers’ acceptances of such Reference Group, in each case allocable to such period in accordance with GAAP (including all commissions, discounts and other fees and charges owed with respect to letters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credit and bankers acceptance financing; amortization of original issue discount resulting from the issuance of indebtedness at less than par; financing fees (including arrangement, amendment and contract fees), debt issuance costs, commissions and expenses and, in each case, the amortization thereof; and net costs under interest rate Swap Agreements to the extent such net costs are allocable to such period in accordance with GAAP; but excluding any interest that is paid in kind by adding the amount thereof to the principal amount of the related Indebtedness) and (b) the interest, yield, discount or costs, as applicable, payable on all Attributable Receivables Amounts of such Reference Group and attributable to such period. In the event that any member of such Reference Group shall have completed a Material Acquisition or a Material Disposition at any time during any Testing Period, Consolidated Interest Expense shall be determined for such period on a pro forma basis as if such Material Acquisition or Material Disposition, and any related incurrence or repayment of Indebtedness, had occurred at the beginning of such Testing Period.</w:t>
      </w:r>
    </w:p>
    <w:p>
      <w:pPr>
        <w:spacing w:after="0" w:line="17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means, for any period and with respect to any Reference Group, the net income (or loss) of such Reference Group calculated in accordance with GAAP on a consolidated basis (without duplication) for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excluded, without duplication:</w:t>
      </w:r>
    </w:p>
    <w:p>
      <w:pPr>
        <w:ind w:left="260" w:hanging="252"/>
        <w:spacing w:after="0"/>
        <w:tabs>
          <w:tab w:leader="none" w:pos="26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income (or loss) of any Person accrued prior to the date such Person became a Restricted Subsidiary of a member of such Reference Group, or is</w:t>
      </w:r>
    </w:p>
    <w:p>
      <w:pPr>
        <w:spacing w:after="0" w:line="32" w:lineRule="exact"/>
        <w:rPr>
          <w:rFonts w:ascii="Arial" w:cs="Arial" w:eastAsia="Arial" w:hAnsi="Arial"/>
          <w:sz w:val="16"/>
          <w:szCs w:val="16"/>
          <w:color w:val="auto"/>
        </w:rPr>
      </w:pPr>
    </w:p>
    <w:p>
      <w:pPr>
        <w:ind w:right="20"/>
        <w:spacing w:after="0" w:line="268" w:lineRule="auto"/>
        <w:rPr>
          <w:rFonts w:ascii="Arial" w:cs="Arial" w:eastAsia="Arial" w:hAnsi="Arial"/>
          <w:sz w:val="16"/>
          <w:szCs w:val="16"/>
          <w:color w:val="auto"/>
        </w:rPr>
      </w:pPr>
      <w:r>
        <w:rPr>
          <w:rFonts w:ascii="Arial" w:cs="Arial" w:eastAsia="Arial" w:hAnsi="Arial"/>
          <w:sz w:val="17"/>
          <w:szCs w:val="17"/>
          <w:color w:val="auto"/>
        </w:rPr>
        <w:t>merged into or consolidated with a member of such Reference Group or such Person’s assets are acquired by any member of such Reference Group; (b) the income (or loss) of any Person that is not a Restricted Subsidiary of any member of such Reference Group, or that is accounted for by the equity method of accounting (provided that Consolidated Net Income of such Reference Group for such period shall be increased by the amount of dividends or distributions or other payments that are actually paid in cash or Cash Equivalents to any member of such Reference Group by such Person during such period); (c) the undistributed earnings of any Restricted Subsidiary of any member of such Reference Group to the extent that the declaration or payment of dividends or similar distributions by such Restricted Subsidiary is not at the time permitted by operation of the terms of its organizational documents or any contractual obligation (other than the Loan Documents) or Requirement of Law applicable to such Restricted Subsidiary; and (d) the cumulative effect of a change in accounting principles and changes as a result of the adoption or modification of accounting policies during such period to the extent included in Consolidated Net Income of such Reference Group for such period.</w:t>
      </w:r>
    </w:p>
    <w:p>
      <w:pPr>
        <w:spacing w:after="0" w:line="18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Convertible Indebtedness</w:t>
      </w:r>
      <w:r>
        <w:rPr>
          <w:rFonts w:ascii="Arial" w:cs="Arial" w:eastAsia="Arial" w:hAnsi="Arial"/>
          <w:sz w:val="16"/>
          <w:szCs w:val="16"/>
          <w:color w:val="auto"/>
        </w:rPr>
        <w:t>” means Indebtedness of WIL-Ireland or any of its Subsidiaries permitted to be incurred under the terms of this Agreement that is either (a) convertible or exchangeable into ordinary shares of WIL-Ireland (and cash in lieu of fractional shares) and/or cash (in an amount determined</w:t>
      </w:r>
    </w:p>
    <w:p>
      <w:pPr>
        <w:sectPr>
          <w:pgSz w:w="11900" w:h="16975" w:orient="portrait"/>
          <w:cols w:equalWidth="0" w:num="1">
            <w:col w:w="11420"/>
          </w:cols>
          <w:pgMar w:left="240" w:top="341" w:right="239" w:bottom="0" w:gutter="0" w:footer="0" w:header="0"/>
        </w:sectPr>
      </w:pPr>
    </w:p>
    <w:bookmarkStart w:id="131" w:name="page132"/>
    <w:bookmarkEnd w:id="131"/>
    <w:p>
      <w:pPr>
        <w:ind w:right="140"/>
        <w:spacing w:after="0" w:line="342" w:lineRule="auto"/>
        <w:rPr>
          <w:sz w:val="20"/>
          <w:szCs w:val="20"/>
          <w:color w:val="auto"/>
        </w:rPr>
      </w:pPr>
      <w:r>
        <w:rPr>
          <w:rFonts w:ascii="Arial" w:cs="Arial" w:eastAsia="Arial" w:hAnsi="Arial"/>
          <w:sz w:val="16"/>
          <w:szCs w:val="16"/>
          <w:color w:val="auto"/>
        </w:rPr>
        <w:t>by reference to the price of such ordinary shares) or (b) sold as units with call options, warrants or rights to purchase (or substantially equivalent derivative transactions) that are exercisable for ordinary shares of WIL-Ireland and/or cash (in an amount determined by reference to the price of such common stock).</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Administrative Agent, any Swingline Lender or any other Lender.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Asset Coverage Ratio</w:t>
      </w:r>
      <w:r>
        <w:rPr>
          <w:rFonts w:ascii="Arial" w:cs="Arial" w:eastAsia="Arial" w:hAnsi="Arial"/>
          <w:sz w:val="18"/>
          <w:szCs w:val="18"/>
          <w:color w:val="auto"/>
        </w:rPr>
        <w:t>” means, as of any date of determination, the ratio of (a) Total Current Asset Value as of such date to (b) Total Measured Secured Indebtedness as of such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Asset Coverage Ratio Covenant</w:t>
      </w:r>
      <w:r>
        <w:rPr>
          <w:rFonts w:ascii="Arial" w:cs="Arial" w:eastAsia="Arial" w:hAnsi="Arial"/>
          <w:sz w:val="18"/>
          <w:szCs w:val="18"/>
          <w:color w:val="auto"/>
        </w:rPr>
        <w:t xml:space="preserve">” means the covenant set forth in </w:t>
      </w:r>
      <w:r>
        <w:rPr>
          <w:rFonts w:ascii="Arial" w:cs="Arial" w:eastAsia="Arial" w:hAnsi="Arial"/>
          <w:sz w:val="18"/>
          <w:szCs w:val="18"/>
          <w:u w:val="single" w:color="auto"/>
          <w:color w:val="auto"/>
        </w:rPr>
        <w:t>Section 8.09(d)</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Current Asset Coverage Ratio Test Date</w:t>
      </w:r>
      <w:r>
        <w:rPr>
          <w:rFonts w:ascii="Arial" w:cs="Arial" w:eastAsia="Arial" w:hAnsi="Arial"/>
          <w:sz w:val="17"/>
          <w:szCs w:val="17"/>
          <w:color w:val="auto"/>
        </w:rPr>
        <w:t>” means (a) the last day of each fiscal quarter ending after the Effective Date and (b) if the Collateral Perfection Period ends after September 30, 2018, the last day of the Collateral Perfection Period. In the case of clause (b) of the foregoing sentence, the Current Asset Coverage Ratio will be tested as of the last day of the Collateral Perfection Period (with compliance demonstrated at the time financial statements for the Fiscal Quarter ending September 30, 2018 are required to be delivered) using (i) the book value of the Collateral as of September 30, 2018 and (ii) Total Measured Secured Indebtedness as of the last day of the Collateral Perfection Period.</w:t>
      </w:r>
    </w:p>
    <w:p>
      <w:pPr>
        <w:spacing w:after="0" w:line="173"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Assets</w:t>
      </w:r>
      <w:r>
        <w:rPr>
          <w:rFonts w:ascii="Arial" w:cs="Arial" w:eastAsia="Arial" w:hAnsi="Arial"/>
          <w:sz w:val="18"/>
          <w:szCs w:val="18"/>
          <w:color w:val="auto"/>
        </w:rPr>
        <w:t>” means, as of any date of determination, all assets that would be classified as current assets in accordance with GAAP as of such date. For purposes of this definition, “GAAP”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w:t>
      </w:r>
    </w:p>
    <w:p>
      <w:pPr>
        <w:spacing w:after="0" w:line="18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Liabilities</w:t>
      </w:r>
      <w:r>
        <w:rPr>
          <w:rFonts w:ascii="Arial" w:cs="Arial" w:eastAsia="Arial" w:hAnsi="Arial"/>
          <w:sz w:val="18"/>
          <w:szCs w:val="18"/>
          <w:color w:val="auto"/>
        </w:rPr>
        <w:t>” means, as of any date of determination, all liabilities that would be classified as current liabilities in accordance with GAAP as of such date. For purposes of this definition, “GAAP”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w:t>
      </w:r>
      <w:r>
        <w:rPr>
          <w:rFonts w:ascii="Arial" w:cs="Arial" w:eastAsia="Arial" w:hAnsi="Arial"/>
          <w:sz w:val="17"/>
          <w:szCs w:val="17"/>
          <w:color w:val="auto"/>
        </w:rPr>
        <w:t>” means the occurrence of any event that with the giving of notice or the passage of time or both would become an Event of Default.</w:t>
      </w:r>
    </w:p>
    <w:p>
      <w:pPr>
        <w:spacing w:after="0" w:line="23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any Lender that (a) has failed, within two Business Days of the date required to be funded or paid, to (i) fund any portion of its Loans, (ii) fund any portion of its participations in Swingline Loans or (iii) pay over to any Credit Party any other amount required to be paid by it hereunder, unless, in the case of clause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Obligor Party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condition precedent (specifically identified and including the particular default, if any) to funding a Loan under this Agreement cannot be satisfied) or generally under other agreements in which it commits to extend credit, (c) has failed, within three Business Days after request by any Obligor Party or any Credit Party, acting in good faith, to provide a certification in writing from an authorized officer of such Lender that it will comply with its obligations to fund prospective Loans and participations in then outstanding Swingline Loans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upon such Obligor Party’s or Credit Party’s receipt of such certification in form and substance satisfactory to such Obligor Party or such Credit Party, as applicable, and the Administrative Agent, or (d) has become, or whose Lender Parent has become, the subject of a Bankruptcy Event or a Bail-In Action.</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w:t>
      </w:r>
      <w:r>
        <w:rPr>
          <w:rFonts w:ascii="Arial" w:cs="Arial" w:eastAsia="Arial" w:hAnsi="Arial"/>
          <w:sz w:val="18"/>
          <w:szCs w:val="18"/>
          <w:color w:val="auto"/>
        </w:rPr>
        <w:t>” means to sell, lease, assign, exchange, convey or otherwise transfer (excluding the granting of a Lien on) any property. “Disposition” has a meaning correlative thereto.</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Capital Stock</w:t>
      </w:r>
      <w:r>
        <w:rPr>
          <w:rFonts w:ascii="Arial" w:cs="Arial" w:eastAsia="Arial" w:hAnsi="Arial"/>
          <w:sz w:val="17"/>
          <w:szCs w:val="17"/>
          <w:color w:val="auto"/>
        </w:rPr>
        <w:t xml:space="preserve">” means any Capital Stock that, by its terms (or by the terms of any security into which it is convertible or for which it is exchangeable), or upon the happening of any event, (a) matures or is mandatorily redeemable for any consideration other than other Capital Stock (which would not constitute Disqualified Capital Stock), pursuant to a sinking fund obligation or otherwise, or (b) is convertible or exchangeable for Indebtedness or redeemable for any consideration other than other Capital Stock (which would not constitute Disqualified Capital Stock) at the option of the holder thereof, in whole or in part, in each case (determined as of the date of issuance), on or prior to the date that is 91 days after the latest to occur of (i) the RCF Maturity Date, (ii) the Term Loan Maturity Date and (iii) the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Capital Stock that would not constitute Disqualified Capital Stock but for provisions thereof giving holders thereof (or the holders of any security into which such Capital Stock is convertible or for which such Capital Stock is exchangeable) the right to require the issuer thereof to redeem such Capital Stock upon the occurrence of any Change of Control or any Disposition occurring prior to the date that is 91 days after the latest to occur of (i) the RCF Maturity Date, (ii) the Term Loan Maturity Date and (iii) the Maturity Date at the time such Capital Stock is issued shall not constitute Disqualified Capital Stock if such Capital Stock provides that the issuer thereof will not redeem any such Capital Stock pursuant to such provisions prior to Payment in Full.</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a Subsidiary of WIL-Ireland organized under the laws of a jurisdiction located in the United States of America.</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Collateral Party</w:t>
      </w:r>
      <w:r>
        <w:rPr>
          <w:rFonts w:ascii="Arial" w:cs="Arial" w:eastAsia="Arial" w:hAnsi="Arial"/>
          <w:sz w:val="18"/>
          <w:szCs w:val="18"/>
          <w:color w:val="auto"/>
        </w:rPr>
        <w:t>” means each Obligor that agrees to provide security governed by Netherlands law.</w:t>
      </w:r>
    </w:p>
    <w:p>
      <w:pPr>
        <w:sectPr>
          <w:pgSz w:w="11900" w:h="16838" w:orient="portrait"/>
          <w:cols w:equalWidth="0" w:num="1">
            <w:col w:w="11400"/>
          </w:cols>
          <w:pgMar w:left="240" w:top="125" w:right="259" w:bottom="32" w:gutter="0" w:footer="0" w:header="0"/>
        </w:sectPr>
      </w:pPr>
    </w:p>
    <w:bookmarkStart w:id="132" w:name="page133"/>
    <w:bookmarkEnd w:id="132"/>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ECP</w:t>
      </w:r>
      <w:r>
        <w:rPr>
          <w:rFonts w:ascii="Arial" w:cs="Arial" w:eastAsia="Arial" w:hAnsi="Arial"/>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w:t>
      </w:r>
    </w:p>
    <w:p>
      <w:pPr>
        <w:ind w:firstLine="8"/>
        <w:spacing w:after="0" w:line="261" w:lineRule="auto"/>
        <w:tabs>
          <w:tab w:leader="none" w:pos="24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institution established in an EEA Member Country which is a subsidiary of an institution described in clauses (a) or (b) of this definition and is subject to consolidated supervision with its parent.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means the date on which each party hereto has executed and delivered this Agreement and the other conditions set forth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are first satisfied (or waived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System</w:t>
      </w:r>
      <w:r>
        <w:rPr>
          <w:rFonts w:ascii="Arial" w:cs="Arial" w:eastAsia="Arial" w:hAnsi="Arial"/>
          <w:sz w:val="18"/>
          <w:szCs w:val="18"/>
          <w:color w:val="auto"/>
        </w:rPr>
        <w:t>” means any electronic system, including e-mail, e-fax, Intralinks®, ClearPar®, Debt Domain, Syndtrak and any other Internet or extranet-based site, whether such electronic system is owned, operated or hosted by the Administrative Agent and any of its Related Parties or any other Person, providing for access to data protected by passcodes or other security system.</w:t>
      </w:r>
    </w:p>
    <w:p>
      <w:pPr>
        <w:spacing w:after="0" w:line="18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Current Assets Collateral Grantor</w:t>
      </w:r>
      <w:r>
        <w:rPr>
          <w:rFonts w:ascii="Arial" w:cs="Arial" w:eastAsia="Arial" w:hAnsi="Arial"/>
          <w:sz w:val="18"/>
          <w:szCs w:val="18"/>
          <w:color w:val="auto"/>
        </w:rPr>
        <w:t>” means any Obligor (or Person that will become an Obligor within the time period provided in</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u w:val="single" w:color="auto"/>
          <w:color w:val="auto"/>
        </w:rPr>
        <w:t>Section 7.08</w:t>
      </w:r>
      <w:r>
        <w:rPr>
          <w:rFonts w:ascii="Arial" w:cs="Arial" w:eastAsia="Arial" w:hAnsi="Arial"/>
          <w:sz w:val="18"/>
          <w:szCs w:val="18"/>
          <w:color w:val="auto"/>
        </w:rPr>
        <w:t>) that (a) is organized under the laws of the United States, Australia, Bermuda, the British Virgin Islands, England, Norway or Switzerland or, at the election of WIL-Bermuda, any other Specified Jurisdiction (including, without limitation, Canada) that is reasonably acceptable to the Administrative Agent and the Collateral Agent and (b) is, or concurrently with its execution of any Collateral Documents will become, a Term Loan Secured Obligor under the Term Loan Documents.</w:t>
      </w:r>
    </w:p>
    <w:p>
      <w:pPr>
        <w:spacing w:after="0" w:line="190"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Requirements of Law, relating in any way to the protection of the environment, preservation or reclamation of natural resources, the management, release or threatened release of any Hazardous Material or to health and safety with respect to exposure to Hazardous Materials.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(including any liability for damages, costs of environmental remediation, fines, penalties or indemnities), of WIL-Ireland or any of its Subsidiaries resulting from (a) violation of any Environmental Law, (b) the generation, use, handling, transportation, storage, treatment or disposal of any Hazardous Materials, (c) exposure to any Hazardous Materials, (d) the release or threatened release of any Hazardous Materials into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environment or (e) any contract, agreement or other consensual arrangement pursuant to which liability is assumed or imposed with respect to any of the foregoing.</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United States Employee Retirement Income Security Act of 1974, as amended from time to time, and all rules, regulations, rulings and interpretations adopted by the U.S. Department of Labor thereunder.</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 each member of a controlled group of corporations and each trade or business (whether or not incorporated) under common control which, together with WIL-Ireland or any Borrower, would be treated as a single employer at any time within the preceding six years under Section 414 of the Code and (b) any Subsidiary of any of the Obligors.</w:t>
      </w:r>
    </w:p>
    <w:p>
      <w:pPr>
        <w:spacing w:after="0" w:line="18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with respect to a Plan, whether or not waived; (c) the filing pursuant to Section 412(c) of the Code or Section 302(c) of ERISA of an application for a waiver of the minimum funding standard with respect to any Plan; (d) the incurrence by WIL-Ireland, any Borrower or any ERISA Affiliate of any liability under Title IV of ERISA with respect to the termination of any Plan; (e) the receipt by WIL-Ireland, any Borrower or any ERISA Affiliate from the PBGC or a plan administrator of any notice relating to an intention to terminate any Plan or to appoint a trustee to administer any Plan; (f) the incurrence by WIL-Ireland, any Borrower or any ERISA Affiliate of any liability with respect to the withdrawal or partial withdrawal from any Plan or Multiemployer Plan; (g) the receipt by any Multiemployer Plan from WIL-Ireland, any Borrower or any ERISA Affiliate of any notice, concerning the imposition upon WIL-Ireland, any Borrower or any ERISA Affiliate of Withdrawal Liability or a determination that a Multiemployer Plan is, or is expected to be, insolvent or is subject to the requirements for plans in endangered, critical or critical and declining status under Section 432 of the Code or Section 305 of ERISA; or (h) any Foreign Plan Event.</w:t>
      </w:r>
    </w:p>
    <w:p>
      <w:pPr>
        <w:spacing w:after="0" w:line="18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LIBO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133" w:name="page134"/>
    <w:bookmarkEnd w:id="133"/>
    <w:p>
      <w:pPr>
        <w:spacing w:after="0" w:line="1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w:t>
      </w:r>
      <w:r>
        <w:rPr>
          <w:rFonts w:ascii="Arial" w:cs="Arial" w:eastAsia="Arial" w:hAnsi="Arial"/>
          <w:sz w:val="18"/>
          <w:szCs w:val="18"/>
          <w:color w:val="auto"/>
        </w:rPr>
        <w:t>” means, for any Fiscal Quarter, the excess, if any, of (a) the sum, without duplication, of (i) Consolidated Net Income for the WIL-Ireland Group for such Fiscal Quarter, (ii) the amount of all non-cash charges (including depreciation and amortization) deducted in arriving at such Consolidated Net Income, (iii) decreases in Working Capital for such Fiscal Quarter, and (iv) the aggregate net amount of non-cash loss on the disposition of property by WIL-Ireland and its Restricted Subsidiaries during such Fiscal Quarter (other than sales of inventory in the ordinary course of business), to the extent deducted in arriving at such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Consolidated Net Income over (b) the sum, without duplication, of (i) the amount of all non-cash credits included in arriving at such Consolidated Net Income, (ii) the aggregate amount actually paid by WIL-Ireland and its Restricted Subsidiaries in cash during such Fiscal Quarter on account of capital expenditures, (iii) the aggregate amount of all regularly scheduled principal payments of Long-Term Debt (including the Term Loans) of WIL-Ireland and its Restricted Subsidiaries made during such Fiscal Quarter (other than in respect of any revolving credit facility to the extent there is not an equivalent permanent reduction in commitments thereunder), (iv) increases in Working Capital for such Fiscal Quarter, and (v) the aggregate net amount of non-cash gain on the disposition of property by WIL-Ireland and its Restricted Subsidiaries during such Fiscal Quarter (other than sales of inventory in the ordinary course of business), to the extent included in arriving at such Consolidated Net Income;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in the case of clause (b)(ii), such amount shall exclude the principal amount of Indebtedness incurred in connection with such expenditures and (B) in the case of clauses (b)(ii) and (b)(iii), such amounts shall exclude any such expenditures or payments financed with insurance proceeds, issuances of Capital Stock by WIL-Ireland (other than Disqualified Capital Stock), or the proceeds of Dispositions of assets.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w:t>
      </w:r>
      <w:r>
        <w:rPr>
          <w:rFonts w:ascii="Arial" w:cs="Arial" w:eastAsia="Arial" w:hAnsi="Arial"/>
          <w:sz w:val="18"/>
          <w:szCs w:val="18"/>
          <w:color w:val="auto"/>
        </w:rPr>
        <w:t xml:space="preserve">” means (a) any deposit account of a Secured Obligor, including the funds on deposit therein, that is used solely for payroll funding and other employee wage and benefit payments (including flexible spending accounts), tax payments, escrow or trust purposes, or any other fiduciary purpose and (b) any deposit account of a Secured Obligor, including the funds on deposit therein, that has been pledged to secure Indebtedness or other obligations to the extent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and is exclusively used for such purpose.</w:t>
      </w:r>
    </w:p>
    <w:p>
      <w:pPr>
        <w:spacing w:after="0" w:line="18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Assets</w:t>
      </w:r>
      <w:r>
        <w:rPr>
          <w:rFonts w:ascii="Arial" w:cs="Arial" w:eastAsia="Arial" w:hAnsi="Arial"/>
          <w:sz w:val="16"/>
          <w:szCs w:val="16"/>
          <w:color w:val="auto"/>
        </w:rPr>
        <w:t xml:space="preserve">” means, collectively, (a) any real property; (b) any contract, instrument, lease, licenses, agreement or other document to the extent that the grant of a security interest therein would (in each case until any required consent or waiver shall have been obtained) result in a violation, breach, termination (or a right of termination) or default under such contract, instrument, lease, license, agreement or other document (including pursuant to any “change of control” or similar provision);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asset will only constitute an Excluded Asset under this clause (b) to the extent such violation or breach, termination (or right of termination) or default would not be rendered ineffective pursuant to Sections 9-406, 9-407, 9-408 or 9-409 of the UCC (or any successor provision or provisions) of any relevant jurisdiction or any other applicable law;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asset shall cease to constitute an Excluded Asset at such time as the condition causing such violation, breach, termination (or right of termination) or default no longer exists (whether by ineffectiveness, lapse, termination or consent) and, to the extent severable, the security interest granted under the applicable Collateral Document shall attach immediately to any portion of such right that does not result in any of the consequences specified in this clause (b); (c) any property, to the extent the granting of a Lien therein is prohibited by any Requirement of Law or would require governmental or third-party (other than the Obligors or their Subsidiaries) consent, approval, license or authorization not obtained (other than to the extent that such prohibition would be rendered ineffective pursuant to Sections 9-406, 9-407, 9-408, 9-409 or other applicable provisions of the UCC of any relevant jurisdiction or any other applicable law);</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upon the ineffectiveness, lapse or termination of such prohibition or the granting of such governmental or third-party consent, approval, license or authorization, as applicable, such assets shall automatically constitute Collateral (but only to the extent such assets do not otherwise constitute Excluded Assets hereunder); (d) motor vehicles and other assets subject to certificates of title, except to the extent a Lien therein can be perfected by the filing of a UCC financing statement; (e) Commercial Tort Claims to the extent that the reasonably predicted value thereof is less than $10,000,000 individually or in the aggregate; (f)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any Requirement of Law; (g) other customary exclusions under applicable local law or in applicable local jurisdictions consented to by the Administrative Agent or the Collateral Agent and set forth in the Collateral Documents; (h) shares of WIL-Ireland that have been repurchased and are being held as treasury shares but not cancelled; (i) for the avoidance of doubt, any assets owned by, or the ownership interests in, any Unrestricted Subsidiary (which shall in no event constitute Collateral, nor shall any Unrestricted Subsidiary be an Obligor); (j) any leasehold interests in real property; (k) any asset or property, the granting of a security interest in which would result in material adverse tax consequences to any Obligor as reasonably determined by the Borrower and consented to by the Administrative Agent such consent not to be unreasonably withheld or delayed; (l) any interests in partnerships, joint ventures and non-wholly-owned Subsidiaries which cannot be pledged without the consent of one or more third parties other than any Obligor or any Subsidiary thereof (after giving effect to Sections 9-406, 9-407, 9-408 or 9-409 of the UCC (or any successor provision or provisions) of any relevant jurisdiction or any other applicable law) (until any required consent or waiver shall have been obtained);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upon the ineffectiveness, lapse or termination of such prohibition or the granting of such third-party consent or waiver, as applicable, such assets shall automatically constitute Collateral (but only to the extent such assets do not otherwise constitute Excluded Assets hereunder); (m) Excluded Accounts;</w:t>
      </w:r>
    </w:p>
    <w:p>
      <w:pPr>
        <w:spacing w:after="0" w:line="13" w:lineRule="exact"/>
        <w:rPr>
          <w:sz w:val="20"/>
          <w:szCs w:val="20"/>
          <w:color w:val="auto"/>
        </w:rPr>
      </w:pPr>
    </w:p>
    <w:p>
      <w:pPr>
        <w:ind w:right="20" w:firstLine="8"/>
        <w:spacing w:after="0" w:line="281" w:lineRule="auto"/>
        <w:tabs>
          <w:tab w:leader="none" w:pos="255"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those assets as to which the Administrative Agent agrees (in consultation with the Borrower) that the cost of obtaining such a security interest or perfection thereof are excessive in relation to the benefit to the Secured Parties of the security to be afforded thereby; (o) Capital Stock in any Subsidiary; and</w:t>
      </w:r>
    </w:p>
    <w:p>
      <w:pPr>
        <w:spacing w:after="0" w:line="1" w:lineRule="exact"/>
        <w:rPr>
          <w:rFonts w:ascii="Arial" w:cs="Arial" w:eastAsia="Arial" w:hAnsi="Arial"/>
          <w:sz w:val="16"/>
          <w:szCs w:val="16"/>
          <w:color w:val="auto"/>
        </w:rPr>
      </w:pPr>
    </w:p>
    <w:p>
      <w:pPr>
        <w:ind w:right="40" w:firstLine="8"/>
        <w:spacing w:after="0" w:line="261" w:lineRule="auto"/>
        <w:tabs>
          <w:tab w:leader="none" w:pos="25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prior to the repayment in full and termination of the Term Loan Agreement, assets which are not subject to a Lien in favor of the Term Loan Agent for the benefit of the Term Loan Secured Parties.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Jurisdictions</w:t>
      </w:r>
      <w:r>
        <w:rPr>
          <w:rFonts w:ascii="Arial" w:cs="Arial" w:eastAsia="Arial" w:hAnsi="Arial"/>
          <w:sz w:val="18"/>
          <w:szCs w:val="18"/>
          <w:color w:val="auto"/>
        </w:rPr>
        <w:t xml:space="preserve">” means the countries or other jurisdictions identified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right="20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Swap Obligation</w:t>
      </w:r>
      <w:r>
        <w:rPr>
          <w:rFonts w:ascii="Arial" w:cs="Arial" w:eastAsia="Arial" w:hAnsi="Arial"/>
          <w:sz w:val="16"/>
          <w:szCs w:val="16"/>
          <w:color w:val="auto"/>
        </w:rPr>
        <w:t>” means, with respect to any Obligor, any Specified Swap Obligation if, and to the extent that, all or a portion of the guarantee of such Obligor of, or the grant by such Obligor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Obligor’s failure for any reason to constitute an ECP at the time the guarantee of such Obligor or the grant of such security interest becomes effective with respect to such Specified Swap Obligation. If a Specified Swap Obligation arises</w:t>
      </w:r>
    </w:p>
    <w:p>
      <w:pPr>
        <w:sectPr>
          <w:pgSz w:w="11900" w:h="16851" w:orient="portrait"/>
          <w:cols w:equalWidth="0" w:num="1">
            <w:col w:w="11400"/>
          </w:cols>
          <w:pgMar w:left="240" w:top="125" w:right="259" w:bottom="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51" w:orient="portrait"/>
          <w:cols w:equalWidth="0" w:num="1">
            <w:col w:w="11400"/>
          </w:cols>
          <w:pgMar w:left="240" w:top="125" w:right="259" w:bottom="0" w:gutter="0" w:footer="0" w:header="0"/>
          <w:type w:val="continuous"/>
        </w:sectPr>
      </w:pPr>
    </w:p>
    <w:bookmarkStart w:id="134" w:name="page135"/>
    <w:bookmarkEnd w:id="13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a master agreement governing more than one swap, such exclusion shall apply only to the portion of such Specified Swap Obligation that is attributable to swaps for which such guarantee or security interest is or becomes illegal.</w:t>
      </w:r>
    </w:p>
    <w:p>
      <w:pPr>
        <w:spacing w:after="0" w:line="170"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any Lender or any other recipient of any payment to be made by or on account of any obligation of any Borrower or Guarantor under any Loan Document, (a) any taxes imposed on (or measured by reference to, in whole or in part) its income, profits, capital or net worth (but excluding withholding Taxes for purposes of this subsection (a) only) (i) by the United States of America, or by the jurisdiction under the laws of which such recipient is organized or resident or in which its principal office is located or, in the case of any Lender, in which its applicable lending office is located or (ii) that are Other Connection Taxes, (b) any branch profits taxes imposed by the United States of America or any similar tax imposed by any other jurisdiction in which a Borrower, the Administrative Agent, any Lender or any other such recipient is located or otherwise conducting business activity, (c) in the case of a Lender (other than an assignee pursuant to an assignment required by WIL-Bermuda under </w:t>
      </w:r>
      <w:r>
        <w:rPr>
          <w:rFonts w:ascii="Arial" w:cs="Arial" w:eastAsia="Arial" w:hAnsi="Arial"/>
          <w:sz w:val="16"/>
          <w:szCs w:val="16"/>
          <w:u w:val="single" w:color="auto"/>
          <w:color w:val="auto"/>
        </w:rPr>
        <w:t>Section 4.03(b)</w:t>
      </w:r>
      <w:r>
        <w:rPr>
          <w:rFonts w:ascii="Arial" w:cs="Arial" w:eastAsia="Arial" w:hAnsi="Arial"/>
          <w:sz w:val="16"/>
          <w:szCs w:val="16"/>
          <w:color w:val="auto"/>
        </w:rPr>
        <w:t xml:space="preserve">), any withholding tax that is imposed on amounts payable to such Lender at the time such Lender becomes a party to this Agreement (or designates a new lending office) or would have been so imposed if a Borrower were a United States corporation, except to the extent that such Lender (or its assignor, if any) was entitled, at the time of designation of a new lending office (or assignment), to receive additional amounts from such Borrower with respect to such withholding tax pursuant to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(d) in the case of any Lender that becomes a party to this Agreement after the date hereof (or designates a new lending office after the date hereof) without the prior written consent of WIL to the extent required by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(other than (i) a Lender that becomes a party to this Agreement or designates a new lending office when an Event of Default has occurred and is continuing, (ii) a Lender that designates a new lending office after the date hereof pursuant to </w:t>
      </w:r>
      <w:r>
        <w:rPr>
          <w:rFonts w:ascii="Arial" w:cs="Arial" w:eastAsia="Arial" w:hAnsi="Arial"/>
          <w:sz w:val="16"/>
          <w:szCs w:val="16"/>
          <w:u w:val="single" w:color="auto"/>
          <w:color w:val="auto"/>
        </w:rPr>
        <w:t>Section 4.03(a)</w:t>
      </w:r>
      <w:r>
        <w:rPr>
          <w:rFonts w:ascii="Arial" w:cs="Arial" w:eastAsia="Arial" w:hAnsi="Arial"/>
          <w:sz w:val="16"/>
          <w:szCs w:val="16"/>
          <w:color w:val="auto"/>
        </w:rPr>
        <w:t xml:space="preserve">, (iii) an assignee pursuant to an assignment by a Lender under </w:t>
      </w:r>
      <w:r>
        <w:rPr>
          <w:rFonts w:ascii="Arial" w:cs="Arial" w:eastAsia="Arial" w:hAnsi="Arial"/>
          <w:sz w:val="16"/>
          <w:szCs w:val="16"/>
          <w:u w:val="single" w:color="auto"/>
          <w:color w:val="auto"/>
        </w:rPr>
        <w:t>Section 4.03(a)</w:t>
      </w:r>
      <w:r>
        <w:rPr>
          <w:rFonts w:ascii="Arial" w:cs="Arial" w:eastAsia="Arial" w:hAnsi="Arial"/>
          <w:sz w:val="16"/>
          <w:szCs w:val="16"/>
          <w:color w:val="auto"/>
        </w:rPr>
        <w:t xml:space="preserve">, and (iv) an assignee pursuant to an assignment required by WIL-Bermuda under </w:t>
      </w:r>
      <w:r>
        <w:rPr>
          <w:rFonts w:ascii="Arial" w:cs="Arial" w:eastAsia="Arial" w:hAnsi="Arial"/>
          <w:sz w:val="16"/>
          <w:szCs w:val="16"/>
          <w:u w:val="single" w:color="auto"/>
          <w:color w:val="auto"/>
        </w:rPr>
        <w:t>Section 4.03(b))</w:t>
      </w:r>
      <w:r>
        <w:rPr>
          <w:rFonts w:ascii="Arial" w:cs="Arial" w:eastAsia="Arial" w:hAnsi="Arial"/>
          <w:sz w:val="16"/>
          <w:szCs w:val="16"/>
          <w:color w:val="auto"/>
        </w:rPr>
        <w:t xml:space="preserve">, any withholding tax that is imposed on amounts payable to such Lender pursuant to any Loan Document (and including any additional withholding tax that is imposed on amounts payable to such Lender as a result of a change in treaty, law or regulation), (e) in the case of a Lender, any withholding tax imposed on amounts payable to such Lender immediately after it changes its jurisdiction of organization and/or tax residency, except to the extent payments to, or for the benefit of, such Lender were subject to a withholding tax for which an Obligor was responsible immediately prior to the Lender’s change in jurisdiction and/or tax residency, (f) any withholding tax attributable to such Lender’s failure to comply with </w:t>
      </w:r>
      <w:r>
        <w:rPr>
          <w:rFonts w:ascii="Arial" w:cs="Arial" w:eastAsia="Arial" w:hAnsi="Arial"/>
          <w:sz w:val="16"/>
          <w:szCs w:val="16"/>
          <w:u w:val="single" w:color="auto"/>
          <w:color w:val="auto"/>
        </w:rPr>
        <w:t>Section 4.02(c)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4.02(e)</w:t>
      </w:r>
      <w:r>
        <w:rPr>
          <w:rFonts w:ascii="Arial" w:cs="Arial" w:eastAsia="Arial" w:hAnsi="Arial"/>
          <w:sz w:val="16"/>
          <w:szCs w:val="16"/>
          <w:color w:val="auto"/>
        </w:rPr>
        <w:t xml:space="preserve"> and (g) any United States federal withholding Taxes imposed by FATCA.</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RCF Credit Agreement</w:t>
      </w:r>
      <w:r>
        <w:rPr>
          <w:rFonts w:ascii="Arial" w:cs="Arial" w:eastAsia="Arial" w:hAnsi="Arial"/>
          <w:sz w:val="17"/>
          <w:szCs w:val="17"/>
          <w:color w:val="auto"/>
        </w:rPr>
        <w:t>” means the RCF Credit Agreement as in effect on the Effective Date, prior to giving effect to RCF Amendment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 3.</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Senior Notes</w:t>
      </w:r>
      <w:r>
        <w:rPr>
          <w:rFonts w:ascii="Arial" w:cs="Arial" w:eastAsia="Arial" w:hAnsi="Arial"/>
          <w:sz w:val="18"/>
          <w:szCs w:val="18"/>
          <w:color w:val="auto"/>
        </w:rPr>
        <w:t>” means, collectively, (a) the 6.800% Senior Notes due June 15, 2037 issued by WIL-Delaware, (b) the 6.500% Senior Notes due August 1, 2036 issued by WIL-Bermuda, (c) the 7.000% Senior Notes due March 15, 2038 issued by WIL-Bermuda, (d) the 9.875% Senior Notes due March 1, 2039 issued by WIL-Bermuda, (e) the 2020 Senior Notes, (f) the 6.750% Senior Notes due September 15, 2040 issued by WIL-Bermuda, (g) the 4.500%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Senior Notes due April 15, 2022 issued by WIL-Bermuda, (h) the 5.950% Senior Notes due April 15, 2042 issued by WIL-Bermuda, (i) the 5.875% Exchangeable Senior Notes due July 1, 2021 issued by WIL-Bermuda, (j) the 7.75% Senior Notes due June 15, 2021 issued by WIL-Bermuda, (k) the 8.25% Senior Notes due June 15, 2023 issued by WIL-Bermuda, (l) the 9.875% Senior Notes due February 15, 2024 issued by WIL-Bermuda and (m) the 9.875% Senior Notes due March 1, 2025 issued by WIL-Delaware.</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Senior Notes Indentures</w:t>
      </w:r>
      <w:r>
        <w:rPr>
          <w:rFonts w:ascii="Arial" w:cs="Arial" w:eastAsia="Arial" w:hAnsi="Arial"/>
          <w:sz w:val="16"/>
          <w:szCs w:val="16"/>
          <w:color w:val="auto"/>
        </w:rPr>
        <w:t>” means, collectively, (a) that certain Indenture, dated as of June 18, 2007, among WIL-Delaware, as issuer, WIL-Bermuda, as guarantor, and Deutsche Bank Trust Company Americas, as trustee, and (b) that certain Indenture, dated as of October 1, 2003, among WIL-Bermuda, as issuer, WIL-Delaware, as guarantor, and Deutsche Bank Trust Company Americas, as trustee, in each case, as supplemented or otherwise modified by all supplemental indentures thereto or any other document supplementing or modifying the terms of such Indentures prior to the Effective Date. In addition, to the extent the Borrower enters into any other indenture after the Effective Date that contains a negative pledge covenant similar to that found in Section 10.5 of each Indenture described in the immediately preceding sentence, the term “Existing Senior Notes Indentures” shall be deem to include each such other indenture (in addition to the Indentures described in the immediately preceding sentence).</w:t>
      </w:r>
    </w:p>
    <w:p>
      <w:pPr>
        <w:spacing w:after="0" w:line="16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 Rate</w:t>
      </w:r>
      <w:r>
        <w:rPr>
          <w:rFonts w:ascii="Arial" w:cs="Arial" w:eastAsia="Arial" w:hAnsi="Arial"/>
          <w:sz w:val="18"/>
          <w:szCs w:val="18"/>
          <w:color w:val="auto"/>
        </w:rPr>
        <w:t>” means, for any day, with respect to any Lender, the per annum rate set forth in the definition of the term “Applicable Margin” under the heading “Facility Fee Rate”, based upon the Specified Senior Leverage Ratio as of the most recently ended Fiscal Quarter for which financial statements are available.</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Intergovernmental Agreement as defined in Treasury Regulation Section 1.1471-1T(b)(67) or any successor provisions.</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For the avoidance of doubt, if the Federal Funds Effective Rate shall be less than zero, such rate shall be deemed to be zero for purposes of this Agreement.</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Covenants</w:t>
      </w:r>
      <w:r>
        <w:rPr>
          <w:rFonts w:ascii="Arial" w:cs="Arial" w:eastAsia="Arial" w:hAnsi="Arial"/>
          <w:sz w:val="18"/>
          <w:szCs w:val="18"/>
          <w:color w:val="auto"/>
        </w:rPr>
        <w:t xml:space="preserve">” means those covenants set forth in </w:t>
      </w:r>
      <w:r>
        <w:rPr>
          <w:rFonts w:ascii="Arial" w:cs="Arial" w:eastAsia="Arial" w:hAnsi="Arial"/>
          <w:sz w:val="18"/>
          <w:szCs w:val="18"/>
          <w:u w:val="single" w:color="auto"/>
          <w:color w:val="auto"/>
        </w:rPr>
        <w:t>Section 8.09</w:t>
      </w:r>
      <w:r>
        <w:rPr>
          <w:rFonts w:ascii="Arial" w:cs="Arial" w:eastAsia="Arial" w:hAnsi="Arial"/>
          <w:sz w:val="18"/>
          <w:szCs w:val="18"/>
          <w:color w:val="auto"/>
        </w:rPr>
        <w:t xml:space="preserve"> and any Additional Financial Covenants included in this Agreement from time to time pursuant to </w:t>
      </w:r>
      <w:r>
        <w:rPr>
          <w:rFonts w:ascii="Arial" w:cs="Arial" w:eastAsia="Arial" w:hAnsi="Arial"/>
          <w:sz w:val="18"/>
          <w:szCs w:val="18"/>
          <w:u w:val="single" w:color="auto"/>
          <w:color w:val="auto"/>
        </w:rPr>
        <w:t>Section 7.10</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a Fiscal Quarter of WIL-Ireland, ending on the last day of each March, June, September and December.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a Fiscal Year of WIL-Ireland, ending on December 31 of each year.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733" w:right="259" w:bottom="140" w:gutter="0" w:footer="0" w:header="0"/>
        </w:sectPr>
      </w:pPr>
    </w:p>
    <w:bookmarkStart w:id="135" w:name="page136"/>
    <w:bookmarkEnd w:id="135"/>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any Lender that is organized under the laws of a jurisdiction other than the United States of America or any State thereof.</w:t>
      </w:r>
    </w:p>
    <w:p>
      <w:pPr>
        <w:spacing w:after="0" w:line="248"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Plan</w:t>
      </w:r>
      <w:r>
        <w:rPr>
          <w:rFonts w:ascii="Arial" w:cs="Arial" w:eastAsia="Arial" w:hAnsi="Arial"/>
          <w:sz w:val="18"/>
          <w:szCs w:val="18"/>
          <w:color w:val="auto"/>
        </w:rPr>
        <w:t>” means any employee pension benefit plan (within the meaning of Section 3(2) of ERISA, whether or not subject to ERISA) that is not subject to United States law, that is maintained or contributed to by WIL-Ireland, any Borrower or any ERISA Affiliate or with respect to which WIL-Ireland, any Borrower or any ERISA Affiliate may have any liability.</w:t>
      </w:r>
    </w:p>
    <w:p>
      <w:pPr>
        <w:spacing w:after="0" w:line="18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Plan Event</w:t>
      </w:r>
      <w:r>
        <w:rPr>
          <w:rFonts w:ascii="Arial" w:cs="Arial" w:eastAsia="Arial" w:hAnsi="Arial"/>
          <w:sz w:val="17"/>
          <w:szCs w:val="17"/>
          <w:color w:val="auto"/>
        </w:rPr>
        <w:t>” means with respect to any Foreign Plan, (i) the failure to make or, if applicable, accrue in accordance with normal accounting practices, any employer or employee contributions required by applicable law or by the terms of such Foreign Plan, (ii) the failure to register or loss of good standing with applicable regulatory authorities of any such Foreign Plan required to be registered, (iii) the failure of any Foreign Plan to comply with any material provisions of applicable law and regulations or with the material terms of such Foreign Plan, or (iv) a final determination that WIL-Ireland, any Borrower or any ERISA Affiliate are responsible for a deficit or funding shortfall in a Foreign Plan.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of WIL-Ireland which is not a Domestic Subsidiary.</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Funded Indebtedness</w:t>
      </w:r>
      <w:r>
        <w:rPr>
          <w:rFonts w:ascii="Arial" w:cs="Arial" w:eastAsia="Arial" w:hAnsi="Arial"/>
          <w:sz w:val="17"/>
          <w:szCs w:val="17"/>
          <w:color w:val="auto"/>
        </w:rPr>
        <w:t>” means, with respect to any Reference Group as of any date, the sum, without duplication, of (a) all Indebtedness of the type described in clauses (a), (b), (d) and (g) of the definition thereof of any member of such Reference Group, other than any such Indebtedness that is Subordinated, and (b) all Guarantees by any member of such Reference Group with respect to any of the foregoing types of Indebtedness (whether or not the primary obligor is a member of such Reference Group), other than any such Guarantee that is Subordinated.</w:t>
      </w:r>
    </w:p>
    <w:p>
      <w:pPr>
        <w:spacing w:after="0" w:line="17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 as in effect from time to time as set forth in the opinions, statements and pronouncements of the Accounting Principles Board of the American Institute of Certified Public Accountants and the Financial Accounting Standards Board.</w:t>
      </w:r>
    </w:p>
    <w:p>
      <w:pPr>
        <w:spacing w:after="0" w:line="181"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the government of any Specified Jurisdiction or any other nation and any political subdivision of any of the foregoing, whether state or local, and any central bank, agency, authority, instrumentality, regulatory body, department, commission, board, bureau, court, tribunal or other entity exercising executive, legislative, judicial, taxing, regulatory or administrative powers or functions of or pertaining to government.</w:t>
      </w:r>
    </w:p>
    <w:p>
      <w:pPr>
        <w:spacing w:after="0" w:line="14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means any guaranty or other contingent liability of such Person (other than any endorsement for collection or deposit in the ordinary course of business), direct or indirect, with respect to any Indebtedness of another Person, through an agreement or otherwise, including (a) any other endorsement or discount with recourse or undertaking substantially equivalent to or having economic effect similar to a guarantee in respect of any such Indebtedness, (b) any agreement (i) to pay or purchase, or to advance or supply funds for the primary purpose of the payment or purchase of, any such Indebtedness, (ii) to purchase securities or to purchase, sell or lease property, products, materials or supplies, or transportation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or services, with the primary purpose of enabling such other Person to pay any such Indebtedness or (iii) to make any loan, advance or capital contribution to or other investment in, or to otherwise provide funds to or for, such other Person in respect of enabling such Person to satisfy any such Indebtedness (including any liability for a dividend, stock liquidation payment or expense) or to assure a minimum equity, working capital or other balance sheet condition in respect of any such Indebtedness, and (c) any obligations of such Person as an account party in respect of any letter of credit or bank guaranty issued to support any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the foregoing, support letters delivered for audit purposes (to the extent consistent with past practices of WIL-Ireland and its Restricted Subsidiaries) and performance guarantees shall not be considered Guarantees pursuant to this definition. The amount of any Guarantee shall be an amount equal to the lesser of the stated or determinable amount of the primary Indebtedness in respect of which such Guarantee is made or, if not stated or determinable, the maximum reasonably anticipated liability in respect thereof as determined by such Person in good faith.</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has the meaning assigned to such term in the Affiliate Guaranty.</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each Holdco Guarantor and each other Restricted Subsidiary that enters into a Guaranty Agreement with respect to the Guaranteed Obligations. The Guarantors as of the Effective Date, including a reference to whether such Guarantors will be Secured Obligors on the Effective Date or are required to become Secured Obligors pursuant to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are set forth on </w:t>
      </w:r>
      <w:r>
        <w:rPr>
          <w:rFonts w:ascii="Arial" w:cs="Arial" w:eastAsia="Arial" w:hAnsi="Arial"/>
          <w:sz w:val="18"/>
          <w:szCs w:val="18"/>
          <w:u w:val="single" w:color="auto"/>
          <w:color w:val="auto"/>
        </w:rPr>
        <w:t>Schedule 1.01B</w:t>
      </w:r>
      <w:r>
        <w:rPr>
          <w:rFonts w:ascii="Arial" w:cs="Arial" w:eastAsia="Arial" w:hAnsi="Arial"/>
          <w:sz w:val="18"/>
          <w:szCs w:val="18"/>
          <w:color w:val="auto"/>
        </w:rPr>
        <w:t>.</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 Agreements</w:t>
      </w:r>
      <w:r>
        <w:rPr>
          <w:rFonts w:ascii="Arial" w:cs="Arial" w:eastAsia="Arial" w:hAnsi="Arial"/>
          <w:sz w:val="18"/>
          <w:szCs w:val="18"/>
          <w:color w:val="auto"/>
        </w:rPr>
        <w:t>” means, collectively, (a) the Affiliate Guaranty and (b) any other guaranty agreement in form and substance reasonably satisfactory to the Administrative Agent in favor of the Administrative Agent, for the benefit of itself and the other holders of the Guaranteed Obligations, in any such case, pursuant to which any Person guarantees the Guaranteed Obligations.</w:t>
      </w:r>
    </w:p>
    <w:p>
      <w:pPr>
        <w:spacing w:after="0" w:line="181"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and all other substances or wastes of any nature regulated pursuant to any Environmental Law.</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Holdco Guarantor</w:t>
      </w:r>
      <w:r>
        <w:rPr>
          <w:rFonts w:ascii="Arial" w:cs="Arial" w:eastAsia="Arial" w:hAnsi="Arial"/>
          <w:sz w:val="18"/>
          <w:szCs w:val="18"/>
          <w:color w:val="auto"/>
        </w:rPr>
        <w:t>” means each of WIL-Ireland, WIL-Delaware, Weatherford Investment Inc., a Delaware corporation, Weatherford International Holding (Bermuda) Ltd., a Bermuda exempted company, Weatherford Bermuda Holdings Ltd., a Bermuda exempted company, and Weatherford Products GmbH, a Switzerland limited liability company.</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Hostile Acquisition</w:t>
      </w:r>
      <w:r>
        <w:rPr>
          <w:rFonts w:ascii="Arial" w:cs="Arial" w:eastAsia="Arial" w:hAnsi="Arial"/>
          <w:sz w:val="17"/>
          <w:szCs w:val="17"/>
          <w:color w:val="auto"/>
        </w:rPr>
        <w:t>” means (a) the acquisition of the Capital Stock of a Person through a tender offer or similar solicitation of the owners of such Capital Stock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Hungary Pledge Registries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316" w:gutter="0" w:footer="0" w:header="0"/>
        </w:sectPr>
      </w:pPr>
    </w:p>
    <w:bookmarkStart w:id="136" w:name="page137"/>
    <w:bookmarkEnd w:id="13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Hypothecary Representative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has the meaning assigned to such term in the definition of “LIBO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Incorporated Financial Covenant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7.10(b)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2.18(b)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2.18(a)</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 Supplement</w:t>
      </w:r>
      <w:r>
        <w:rPr>
          <w:rFonts w:ascii="Arial" w:cs="Arial" w:eastAsia="Arial" w:hAnsi="Arial"/>
          <w:sz w:val="18"/>
          <w:szCs w:val="18"/>
          <w:color w:val="auto"/>
        </w:rPr>
        <w:t xml:space="preserve">” means an increasing lender supplement entered into by the Borrowers and any Increasing Lender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or any other form reasonably acceptable to the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 Cap</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2.18(a)</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(whether or not the recourse of the lender is to the whole of the assets of such Person or only to a portion thereof), including obligations evidenced by a bond, note, debenture or similar instrument, (b) all non-contingent reimbursement obligations of such Person in respect of letters of credit, bank guaranties, bankers’ acceptances, bid bonds, surety bonds, performance bonds, customs bonds, advance payment bonds and similar instruments, (c) all obligations of such Person for the balance deferred and unpaid of the purchase price for any property or services (except for trade payables or other obligations arising in the ordinary course of business that are not more than 90 days past due or which are being contested in good faith by appropriate action and for which adequate reserves have been maintained in accordance with GAAP); (d) all Capital Lease Obligations of such Person; (e) all Indebtedness (as described in the other clauses of this definition) of others secured by a consensual Lien on property owned or acquired by such Person (whether or not the Indebtedness secured thereby has been assumed); (f) all Guarantees by such Person of the Indebtedness (as described in the other clauses of this definition) of any other Person (including, for the avoidance of doubt, any Subsidiary or other Affiliate of such Person or any third party that is not affiliated with such Person); and (g) all Disqualified Capital Stock of such Person.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7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any Taxes imposed on or with respect to any payment made by or on account of any obligation of any Borrower or Guarantor under any Loan Document, other than Excluded Taxes and Other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Collateral Perfection Period</w:t>
      </w:r>
      <w:r>
        <w:rPr>
          <w:rFonts w:ascii="Arial" w:cs="Arial" w:eastAsia="Arial" w:hAnsi="Arial"/>
          <w:sz w:val="18"/>
          <w:szCs w:val="18"/>
          <w:color w:val="auto"/>
        </w:rPr>
        <w:t>” means the period from the Effective Date through the date that is 20 days after the Effective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Secured Obligor</w:t>
      </w:r>
      <w:r>
        <w:rPr>
          <w:rFonts w:ascii="Arial" w:cs="Arial" w:eastAsia="Arial" w:hAnsi="Arial"/>
          <w:sz w:val="18"/>
          <w:szCs w:val="18"/>
          <w:color w:val="auto"/>
        </w:rPr>
        <w:t>” means each Guarantor that becomes a Secured Obligor on the Effective Date.</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Intercreditor Agreement</w:t>
      </w:r>
      <w:r>
        <w:rPr>
          <w:rFonts w:ascii="Arial" w:cs="Arial" w:eastAsia="Arial" w:hAnsi="Arial"/>
          <w:sz w:val="17"/>
          <w:szCs w:val="17"/>
          <w:color w:val="auto"/>
        </w:rPr>
        <w:t>” means, collectively (a) that certain Intercreditor Agreement dated as of the date hereof by and among the Term Loan Agent, the Collateral Agent, WIL-Ireland, WIL-Bermuda and the Secured Obligors from time to time party thereto and (b) any additional instrument, document, agreement (including any supplemental intercreditor agreement), filing or certification, each in form and substance reasonably satisfactory to the Collateral Agent and that the Term Loan Agent reasonably requires to be executed, delivered or obtained (whether by a Secured Obligor, the Term Loan Secured Parties or any other Person) under the laws of any Specified Jurisdiction in order for the Liens securing the Secured Obligations to be subordinated to the Liens securing the Term Loan Obligations to the reasonable satisfaction of the Term Loan Agent.</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means a request by a Borrower to convert or continue a Borrowing in accordance with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ABR Loan (other than a Swingline Loan), the last day of each March, June, September and December and the Maturity Date,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the Maturity Date and (c) with respect to any Swingline Loan, the day that such Loan is required to be repaid.</w:t>
      </w:r>
    </w:p>
    <w:p>
      <w:pPr>
        <w:spacing w:after="0" w:line="188"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with respect to a Eurodollar Borrowing, the period commencing on the date of such Borrowing and ending on the numerically corresponding day in the calendar month that is one week or one, two, three or six months (or, with the consent of each Lender, twelve months) thereafter, as a Borrower may elect;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pertaining to a Eurodollar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in the case of a Borrowing of Revolving Credit Loans, thereafter shall be the effective date of the most recent conversion or continuation of such Borrowing.</w:t>
      </w:r>
    </w:p>
    <w:p>
      <w:pPr>
        <w:spacing w:after="0" w:line="19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means, at any time, for any Impacted Interest Period, the rate per annum determined by the Administrative Agent (which determination shall be conclusive and</w:t>
      </w:r>
    </w:p>
    <w:p>
      <w:pPr>
        <w:sectPr>
          <w:pgSz w:w="11900" w:h="16838" w:orient="portrait"/>
          <w:cols w:equalWidth="0" w:num="1">
            <w:col w:w="11400"/>
          </w:cols>
          <w:pgMar w:left="240" w:top="125" w:right="259" w:bottom="123"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23" w:gutter="0" w:footer="0" w:header="0"/>
          <w:type w:val="continuous"/>
        </w:sectPr>
      </w:pPr>
    </w:p>
    <w:bookmarkStart w:id="137" w:name="page138"/>
    <w:bookmarkEnd w:id="137"/>
    <w:p>
      <w:pPr>
        <w:spacing w:after="0" w:line="302" w:lineRule="auto"/>
        <w:rPr>
          <w:sz w:val="20"/>
          <w:szCs w:val="20"/>
          <w:color w:val="auto"/>
        </w:rPr>
      </w:pPr>
      <w:r>
        <w:rPr>
          <w:rFonts w:ascii="Arial" w:cs="Arial" w:eastAsia="Arial" w:hAnsi="Arial"/>
          <w:sz w:val="16"/>
          <w:szCs w:val="16"/>
          <w:color w:val="auto"/>
        </w:rPr>
        <w:t>binding absent manifest error) to be equal to the rate that results from interpolating on a linear basis between: (a) the LIBO Screen Rate for the longest period (for which the LIBO Screen Rate is available for the applicable currency) that is shorter than the Impacted Interest Period and (b) the LIBO Screen Rate for the shortest period (for which the LIBO Screen Rate is available for the applicable currency) that exceeds the Impacted Interest Period, in each case, at such time; provided that if any Interpolated Rate shall be less than zero, such rate shall be deemed to be zero for the purposes of this Agreement.</w:t>
      </w:r>
    </w:p>
    <w:p>
      <w:pPr>
        <w:spacing w:after="0" w:line="154" w:lineRule="exact"/>
        <w:rPr>
          <w:sz w:val="20"/>
          <w:szCs w:val="20"/>
          <w:color w:val="auto"/>
        </w:rPr>
      </w:pPr>
    </w:p>
    <w:p>
      <w:pPr>
        <w:ind w:right="36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applied to any Person, any direct or indirect (a) purchase or other acquisition (including pursuant to any merger or consolidation with any Person) of any Capital Stock, evidences of Indebtedness or other securities of any other Person, (b) loan or advance made by such Person to any other Person, (c) Guarantee, assumption or other incurrence of liability by such Person of or for any Indebtedness of any other Person,</w:t>
      </w:r>
    </w:p>
    <w:p>
      <w:pPr>
        <w:ind w:right="780" w:firstLine="8"/>
        <w:spacing w:after="0" w:line="261" w:lineRule="auto"/>
        <w:tabs>
          <w:tab w:leader="none" w:pos="25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capital contribution or other investment by such Person in any other Person or (e) purchase or other acquisition (in one transaction or a series of transactions) of any assets of any other Person constituting a business unit.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w:t>
      </w:r>
      <w:r>
        <w:rPr>
          <w:rFonts w:ascii="Arial" w:cs="Arial" w:eastAsia="Arial" w:hAnsi="Arial"/>
          <w:sz w:val="18"/>
          <w:szCs w:val="18"/>
          <w:color w:val="auto"/>
        </w:rPr>
        <w:t>” means the International Swaps and Derivatives Association,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JPMorgan</w:t>
      </w:r>
      <w:r>
        <w:rPr>
          <w:rFonts w:ascii="Arial" w:cs="Arial" w:eastAsia="Arial" w:hAnsi="Arial"/>
          <w:sz w:val="18"/>
          <w:szCs w:val="18"/>
          <w:color w:val="auto"/>
        </w:rPr>
        <w:t>” means JPMorgan Chase Bank, N.A. and its 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Land Rig Sale</w:t>
      </w:r>
      <w:r>
        <w:rPr>
          <w:rFonts w:ascii="Arial" w:cs="Arial" w:eastAsia="Arial" w:hAnsi="Arial"/>
          <w:sz w:val="18"/>
          <w:szCs w:val="18"/>
          <w:color w:val="auto"/>
        </w:rPr>
        <w:t>” means the Disposition of all or a portion of the land drilling business of WIL-Ireland and its Subsidiaries.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Arrangers</w:t>
      </w:r>
      <w:r>
        <w:rPr>
          <w:rFonts w:ascii="Arial" w:cs="Arial" w:eastAsia="Arial" w:hAnsi="Arial"/>
          <w:sz w:val="18"/>
          <w:szCs w:val="18"/>
          <w:color w:val="auto"/>
        </w:rPr>
        <w:t>” means JPMorgan, Wells Fargo Securities, LLC, Citibank, N.A., Deutsche Bank Securities Inc. and Morgan Stanley Senior Funding, Inc.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Parent</w:t>
      </w:r>
      <w:r>
        <w:rPr>
          <w:rFonts w:ascii="Arial" w:cs="Arial" w:eastAsia="Arial" w:hAnsi="Arial"/>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each Person listed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any other Person that (a) shall have become a party hereto pursuant to an Assignment and Assumption or other documentation contemplated hereby, other than any such Person that ceases to be a party hereto pursuant to an Assignment and Assumption, or (b) provides all or a portion of any Incremental Commitments in accordance with </w:t>
      </w:r>
      <w:r>
        <w:rPr>
          <w:rFonts w:ascii="Arial" w:cs="Arial" w:eastAsia="Arial" w:hAnsi="Arial"/>
          <w:sz w:val="18"/>
          <w:szCs w:val="18"/>
          <w:u w:val="single" w:color="auto"/>
          <w:color w:val="auto"/>
        </w:rPr>
        <w:t>Section 2.18</w:t>
      </w:r>
      <w:r>
        <w:rPr>
          <w:rFonts w:ascii="Arial" w:cs="Arial" w:eastAsia="Arial" w:hAnsi="Arial"/>
          <w:sz w:val="18"/>
          <w:szCs w:val="18"/>
          <w:color w:val="auto"/>
        </w:rPr>
        <w:t>. Unless the context otherwise requires, the term “Lenders” includes the Swingline Lender.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 Rate</w:t>
      </w:r>
      <w:r>
        <w:rPr>
          <w:rFonts w:ascii="Arial" w:cs="Arial" w:eastAsia="Arial" w:hAnsi="Arial"/>
          <w:sz w:val="17"/>
          <w:szCs w:val="17"/>
          <w:color w:val="auto"/>
        </w:rPr>
        <w:t>” means, with respect to any Eurodollar Borrowing for any applicable Interest Period, the LIBO Screen Rate at approximately</w:t>
      </w:r>
    </w:p>
    <w:p>
      <w:pPr>
        <w:spacing w:after="0" w:line="35"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11:00 a.m., London time, two Business Days prior to the commencement of such Interest Period; provided that if a LIBO Screen Rate shall not be available at such time for such Interest Period (the “</w:t>
      </w:r>
      <w:r>
        <w:rPr>
          <w:rFonts w:ascii="Arial" w:cs="Arial" w:eastAsia="Arial" w:hAnsi="Arial"/>
          <w:sz w:val="17"/>
          <w:szCs w:val="17"/>
          <w:u w:val="single" w:color="auto"/>
          <w:color w:val="auto"/>
        </w:rPr>
        <w:t>Impacted Interest Period</w:t>
      </w:r>
      <w:r>
        <w:rPr>
          <w:rFonts w:ascii="Arial" w:cs="Arial" w:eastAsia="Arial" w:hAnsi="Arial"/>
          <w:sz w:val="17"/>
          <w:szCs w:val="17"/>
          <w:color w:val="auto"/>
        </w:rPr>
        <w:t xml:space="preserve">”), then the LIBO Rate for such Interest Period shall be the Interpolated Rate. It is understood and agreed that all of the terms and conditions of this definition of “LIBO Rate” shall be subject to </w:t>
      </w:r>
      <w:r>
        <w:rPr>
          <w:rFonts w:ascii="Arial" w:cs="Arial" w:eastAsia="Arial" w:hAnsi="Arial"/>
          <w:sz w:val="17"/>
          <w:szCs w:val="17"/>
          <w:u w:val="single" w:color="auto"/>
          <w:color w:val="auto"/>
        </w:rPr>
        <w:t>Section 2.11</w:t>
      </w:r>
      <w:r>
        <w:rPr>
          <w:rFonts w:ascii="Arial" w:cs="Arial" w:eastAsia="Arial" w:hAnsi="Arial"/>
          <w:sz w:val="17"/>
          <w:szCs w:val="17"/>
          <w:color w:val="auto"/>
        </w:rPr>
        <w:t>.</w:t>
      </w:r>
    </w:p>
    <w:p>
      <w:pPr>
        <w:spacing w:after="0" w:line="17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Screen Rate</w:t>
      </w:r>
      <w:r>
        <w:rPr>
          <w:rFonts w:ascii="Arial" w:cs="Arial" w:eastAsia="Arial" w:hAnsi="Arial"/>
          <w:sz w:val="18"/>
          <w:szCs w:val="18"/>
          <w:color w:val="auto"/>
        </w:rPr>
        <w:t>” means, for any day and time, with respect to any Eurodollar Borrowing for any Interest Period, the London interbank offered rate as administered by ICE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or any successor or substitute page on such screen that displays such rate, or on the appropriate page of such other information service that publishes such rate from time to time selected by the Administrative Agent in its reasonable discretion), provided that if the LIBO Screen Rate shall be less than zero, such rate shall be deemed to be zero for the purposes of this Agreement. When determining the rate for a period which is less than the shortest period for which the LIBO Screen Rate is available, the LIBO Screen Rate for purposes of this definition shall be deemed to be the overnight screen rate where “overnight screen rate” means the overnight rate determined by the Administrative Agent from such service as the Administrative Agent may select.</w:t>
      </w:r>
    </w:p>
    <w:p>
      <w:pPr>
        <w:spacing w:after="0" w:line="19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xml:space="preserve">” means any lien, mortgage, deed of trust, pledge, security interest, charge or encumbrance of any kind, including any conditional sale or other title retention agreement or any lease (excluding, however, any lease that is not a Capital Lease) in the nature thereof (whether voluntary or involuntary and whether imposed or created by operation of law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“Lien” shall not include or cover setoff rights and other standard arrangements for netting payment obligations in the settlement of obligations arising under (i) ISDA standard documents or agreements otherwise customary in swap or hedging transactions, (ii) deposit, securities and commodity accounts and (iii) Banking Services.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a Revolving Credit Loan or a Swingline Loan, as the context may require.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this Agreement, any Notes issued pursuant to this Agreement, the Guaranty Agreements, the Collateral Documents, the Intercreditor Agreement, each Increasing Lender Supplement, each Additional Lender Supplement, all instruments, certificates and agreements now or hereafter executed or delivered by any Obligor to the Administrative Agent, the Collateral Agent or any Lender pursuant to or in connection with any of the foregoing, and all amendments, modifications, renewals, extensions, increases and rearrangements of, and substitutions for, any of the foregoing.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Long-Term Debt</w:t>
      </w:r>
      <w:r>
        <w:rPr>
          <w:rFonts w:ascii="Arial" w:cs="Arial" w:eastAsia="Arial" w:hAnsi="Arial"/>
          <w:sz w:val="17"/>
          <w:szCs w:val="17"/>
          <w:color w:val="auto"/>
        </w:rPr>
        <w:t>” means any Indebtedness that, in accordance with GAAP, constitutes (or, when incurred, constituted) a long-term liability.</w:t>
      </w:r>
    </w:p>
    <w:p>
      <w:pPr>
        <w:spacing w:after="0" w:line="237"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Acquisition</w:t>
      </w:r>
      <w:r>
        <w:rPr>
          <w:rFonts w:ascii="Arial" w:cs="Arial" w:eastAsia="Arial" w:hAnsi="Arial"/>
          <w:sz w:val="16"/>
          <w:szCs w:val="16"/>
          <w:color w:val="auto"/>
        </w:rPr>
        <w:t>” means, with respect to any Reference Group, any acquisition of property permitted hereunder (other than an acquisition of property in the ordinary course of business) involving the payment of consideration by any member of such Reference Group in excess of $20,000,000.</w:t>
      </w:r>
    </w:p>
    <w:p>
      <w:pPr>
        <w:spacing w:after="0" w:line="12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relative to any occurrence of whatever nature (including any adverse determination in any litigation, arbitration or governmental investigation or proceeding) and after taking into account actual insurance coverage and effective indemnification with respect to such occurrence, (a) a material adverse effect on the financial condition, business, assets or operations of WIL-Ireland and its Restricted Subsidiaries, taken as a whole, or (b) a material adverse effect on (i) the ability of the Obligors to collectively perform their payment or other material obligations hereunder or under the Notes and other Loan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138" w:name="page139"/>
    <w:bookmarkEnd w:id="138"/>
    <w:p>
      <w:pPr>
        <w:ind w:right="340"/>
        <w:spacing w:after="0" w:line="277" w:lineRule="auto"/>
        <w:rPr>
          <w:sz w:val="20"/>
          <w:szCs w:val="20"/>
          <w:color w:val="auto"/>
        </w:rPr>
      </w:pPr>
      <w:r>
        <w:rPr>
          <w:rFonts w:ascii="Arial" w:cs="Arial" w:eastAsia="Arial" w:hAnsi="Arial"/>
          <w:sz w:val="18"/>
          <w:szCs w:val="18"/>
          <w:color w:val="auto"/>
        </w:rPr>
        <w:t>Documents or (ii) the ability of the Administrative Agent or the Lenders to realize the material benefits intended to be provided by the Obligors under the Loan Documents.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Disposition</w:t>
      </w:r>
      <w:r>
        <w:rPr>
          <w:rFonts w:ascii="Arial" w:cs="Arial" w:eastAsia="Arial" w:hAnsi="Arial"/>
          <w:sz w:val="18"/>
          <w:szCs w:val="18"/>
          <w:color w:val="auto"/>
        </w:rPr>
        <w:t>” means, with respect to any Reference Group, any Disposition of property that involves the receipt of consideration by any member of such Reference Group in excess of $20,000,000.</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 the Term Loan Facility, (b) the RCF, (c) Indebtedness (other than the Loans) of any one or more of WIL-Ireland and its Restricted Subsidiaries in an aggregate principal amount exceeding $100,000,000 and (d) obligations in respect of one or more Swap Agreements of any one or more of WIL-Ireland and its Restricted Subsidiaries in an aggregate principal amount exceeding $100,000,000. For purposes of determining Material Indebtedness, the “principal amount” of the obligations of WIL-Ireland or any Restricted Subsidiary in respect of any Swap Agreement at any time shall be the maximum aggregate amount (giving effect to any netting agreements) that WIL-Ireland or such Restricted Subsidiary would be required to pay if such Swap Agreement were terminated at such time.</w:t>
      </w:r>
    </w:p>
    <w:p>
      <w:pPr>
        <w:spacing w:after="0" w:line="19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Specified Subsidiary</w:t>
      </w:r>
      <w:r>
        <w:rPr>
          <w:rFonts w:ascii="Arial" w:cs="Arial" w:eastAsia="Arial" w:hAnsi="Arial"/>
          <w:sz w:val="16"/>
          <w:szCs w:val="16"/>
          <w:color w:val="auto"/>
        </w:rPr>
        <w:t xml:space="preserve">” means (a) any Restricted Subsidiary that, together with its own consolidated Restricted Subsidiaries, as of the last day of any Fiscal Quarter ended for which financial statements have been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7.01(b)</w:t>
      </w:r>
      <w:r>
        <w:rPr>
          <w:rFonts w:ascii="Arial" w:cs="Arial" w:eastAsia="Arial" w:hAnsi="Arial"/>
          <w:sz w:val="16"/>
          <w:szCs w:val="16"/>
          <w:color w:val="auto"/>
        </w:rPr>
        <w:t xml:space="preserve"> of this Agreement (i) had assets representing more than 2.5% of the Total Specified Asset Value as of such date or (ii) generated more than 2.5% of Consolidated Adjusted EBITDA of the Specified Group for the four consecutive Fiscal Quarter period ending on such date and (b) any Restricted Subsidiary organized in a Specified Jurisdiction that is a primary obligor or provides a Guarantee of any overdraft facility, working capital facility, letter of credit facility or other cash management facility that, if fully utilized, would provide for extensions of credit in an aggregate amount of $20,000,000 or more.</w:t>
      </w:r>
    </w:p>
    <w:p>
      <w:pPr>
        <w:spacing w:after="0" w:line="16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 each Material Specified Subsidiary and (b) each other Restricted Subsidiary that, together with its own consolidated Restricted Subsidiaries, either (i) has total assets in excess of 5% of the total assets of WIL-Ireland and its consolidated Restricted Subsidiaries or (ii) has gross revenues in excess of 5% of the consolidated gross revenues of WIL-Ireland and its consolidated Restricted Subsidiaries based, in each case, on the most recent audited consolidated financial statements of WIL-Ireland. Notwithstanding the foregoing, WIL-Delaware and WIL-Bermuda shall be deemed to be Material Subsidiaries.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August 15,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any successor to the rating agency business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any plan covered by Title IV of ERISA which is a “multiemployer plan” (as such term is defined in Section 4001(a)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 of ERISA).</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net of (b) the sum of (i) all reasonable fees and out-of-pocket expenses paid to third parties (other than Affiliates) in connection with such event, (ii) in the case of a sale, transfer or other disposition of an asset (including pursuant to a sale and leaseback transaction or a casualty or a condemnation or similar proceeding), the amount of all payments required to be made as a result of such event to repay Indebtedness (other than Loans and loans under the RCF Credit Agreement) secured by such asset or otherwise subject to mandatory prepayment as a result of such event, (iii) the amount of all taxes paid (or reasonably estimated to be payable) and the amount of any reserves established to fund contingent liabilities reasonably estimated to be payable, in each case during the year that such event occurred or the next succeeding year that are directly attributable to such event (as determined reasonably and in good faith by a Principal Financial Officer of WIL-Ireland) and (iv) the proceeds of business interruption insurance to the extent compensation for lost revenue.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Weatherford Parent</w:t>
      </w:r>
      <w:r>
        <w:rPr>
          <w:rFonts w:ascii="Arial" w:cs="Arial" w:eastAsia="Arial" w:hAnsi="Arial"/>
          <w:sz w:val="18"/>
          <w:szCs w:val="18"/>
          <w:color w:val="auto"/>
        </w:rPr>
        <w:t xml:space="preserve">” has the meaning specified in clause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the definition of the term “Redomestication”.</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(i) requires the approval of each Lender or each affected Lender in accordance with the terms of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and (ii) has been approved by the Required Lenders.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Revolving Credit Note or a Swingline Note, as the context may require.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shall be less than zero, such rate shall be deemed to be zero for purposes of this Agreement.</w:t>
      </w:r>
    </w:p>
    <w:p>
      <w:pPr>
        <w:spacing w:after="0" w:line="173"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collectively, all unpaid principal of and accrued and unpaid interest on the Loans, all accrued and unpaid fees and all expenses, reimbursements, indemnities and other obligations and indebtedness (including interest and fees accruing during the pendency of any bankruptcy, insolvency, administration, examinership, receivership or other similar proceeding, regardless of whether allowed or allowable in such proceeding), obligations and liabilities of any of WIL-Ireland and its Subsidiaries to any of the Lenders, the Administrative Agent, the Collateral Agent or any Indemnitee, individually or collectively (whether existing on the Effective Date or arising thereafter, direct or indirect, joint or several, absolute or contingent,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4" w:right="259" w:bottom="0" w:gutter="0" w:footer="0" w:header="0"/>
        </w:sectPr>
      </w:pPr>
    </w:p>
    <w:bookmarkStart w:id="139" w:name="page140"/>
    <w:bookmarkEnd w:id="139"/>
    <w:p>
      <w:pPr>
        <w:ind w:right="400"/>
        <w:spacing w:after="0" w:line="277" w:lineRule="auto"/>
        <w:rPr>
          <w:sz w:val="20"/>
          <w:szCs w:val="20"/>
          <w:color w:val="auto"/>
        </w:rPr>
      </w:pPr>
      <w:r>
        <w:rPr>
          <w:rFonts w:ascii="Arial" w:cs="Arial" w:eastAsia="Arial" w:hAnsi="Arial"/>
          <w:sz w:val="18"/>
          <w:szCs w:val="18"/>
          <w:color w:val="auto"/>
        </w:rPr>
        <w:t>matured or unmatured, liquidated or unliquidated, secured or unsecured, arising by contract, operation of law or otherwise) arising or incurred under this Agreement or any of the other Loan Documents or otherwise in respect of any of the Loans.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Obligors</w:t>
      </w:r>
      <w:r>
        <w:rPr>
          <w:rFonts w:ascii="Arial" w:cs="Arial" w:eastAsia="Arial" w:hAnsi="Arial"/>
          <w:sz w:val="18"/>
          <w:szCs w:val="18"/>
          <w:color w:val="auto"/>
        </w:rPr>
        <w:t>” means the Obligor Parties and the Guarantors, and “</w:t>
      </w:r>
      <w:r>
        <w:rPr>
          <w:rFonts w:ascii="Arial" w:cs="Arial" w:eastAsia="Arial" w:hAnsi="Arial"/>
          <w:sz w:val="18"/>
          <w:szCs w:val="18"/>
          <w:u w:val="single" w:color="auto"/>
          <w:color w:val="auto"/>
        </w:rPr>
        <w:t>Obligor</w:t>
      </w:r>
      <w:r>
        <w:rPr>
          <w:rFonts w:ascii="Arial" w:cs="Arial" w:eastAsia="Arial" w:hAnsi="Arial"/>
          <w:sz w:val="18"/>
          <w:szCs w:val="18"/>
          <w:color w:val="auto"/>
        </w:rPr>
        <w:t>” means any of them.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 Parties</w:t>
      </w:r>
      <w:r>
        <w:rPr>
          <w:rFonts w:ascii="Arial" w:cs="Arial" w:eastAsia="Arial" w:hAnsi="Arial"/>
          <w:sz w:val="18"/>
          <w:szCs w:val="18"/>
          <w:color w:val="auto"/>
        </w:rPr>
        <w:t>” means the Borrowers and WIL-Ireland, and “</w:t>
      </w:r>
      <w:r>
        <w:rPr>
          <w:rFonts w:ascii="Arial" w:cs="Arial" w:eastAsia="Arial" w:hAnsi="Arial"/>
          <w:sz w:val="18"/>
          <w:szCs w:val="18"/>
          <w:u w:val="single" w:color="auto"/>
          <w:color w:val="auto"/>
        </w:rPr>
        <w:t>Obligor Party</w:t>
      </w:r>
      <w:r>
        <w:rPr>
          <w:rFonts w:ascii="Arial" w:cs="Arial" w:eastAsia="Arial" w:hAnsi="Arial"/>
          <w:sz w:val="18"/>
          <w:szCs w:val="18"/>
          <w:color w:val="auto"/>
        </w:rPr>
        <w:t>” means any of them.</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Debt Agreement</w:t>
      </w:r>
      <w:r>
        <w:rPr>
          <w:rFonts w:ascii="Arial" w:cs="Arial" w:eastAsia="Arial" w:hAnsi="Arial"/>
          <w:sz w:val="18"/>
          <w:szCs w:val="18"/>
          <w:color w:val="auto"/>
        </w:rPr>
        <w:t>” means any agreement, instrument or other document governing any Indebtedness for borrowed money of any Obligor (other than intercompany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Subsidiaries Group</w:t>
      </w:r>
      <w:r>
        <w:rPr>
          <w:rFonts w:ascii="Arial" w:cs="Arial" w:eastAsia="Arial" w:hAnsi="Arial"/>
          <w:sz w:val="18"/>
          <w:szCs w:val="18"/>
          <w:color w:val="auto"/>
        </w:rPr>
        <w:t>” means, collectively, all of the Restricted Subsidiaries of WIL-Ireland that are not Specified Group Members.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Subsidiaries Group Member</w:t>
      </w:r>
      <w:r>
        <w:rPr>
          <w:rFonts w:ascii="Arial" w:cs="Arial" w:eastAsia="Arial" w:hAnsi="Arial"/>
          <w:sz w:val="18"/>
          <w:szCs w:val="18"/>
          <w:color w:val="auto"/>
        </w:rPr>
        <w:t>” means any member of the Other Subsidiaries Group.</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stamp or documentary taxes or any other excise or property taxes, charges or similar levies, other than Excluded Taxes, arising from any payment made hereunder or from the execution, delivery or enforcement of, or otherwise with respect to, this Agreement, but only to the extent that any of the foregoing is imposed by (i) Bermuda, Switzerland, the United States or any other jurisdiction in which any Borrower is organized or is resident for tax purposes or any other jurisdiction in which WIL-Bermuda is Redomesticated or is resident for tax purposes with respect to a Foreign Lender, or (ii) Bermuda, Switzerland, or any other jurisdiction in which any Borrower is organized or is resident for tax purposes or any other jurisdiction (other than the United States) in which WIL-Bermuda is Redomesticated or is resident for tax purposes with respect to a Lender which is not a Foreign Lender.</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means, for any day, the rate comprised of both overnight federal funds and overnight Eurodollar borrowings by U.S. —managed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Parallel Debt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10.14</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Certificate</w:t>
      </w:r>
      <w:r>
        <w:rPr>
          <w:rFonts w:ascii="Arial" w:cs="Arial" w:eastAsia="Arial" w:hAnsi="Arial"/>
          <w:sz w:val="18"/>
          <w:szCs w:val="18"/>
          <w:color w:val="auto"/>
        </w:rPr>
        <w:t xml:space="preserve">” means a certificate executed by a Participant,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11.05(c).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Borrower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in Full</w:t>
      </w:r>
      <w:r>
        <w:rPr>
          <w:rFonts w:ascii="Arial" w:cs="Arial" w:eastAsia="Arial" w:hAnsi="Arial"/>
          <w:sz w:val="18"/>
          <w:szCs w:val="18"/>
          <w:color w:val="auto"/>
        </w:rPr>
        <w:t>” means the Commitments have expired or been terminated and the principal of and interest on each Loan and all fees payable hereunder and all other amounts payable under the Loan Documents (other than contingent indemnification obligations as to which no claim has been received by any Obligor) shall have been paid in full in cash.</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entity succeeding to any or all of its functions under ERISA.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means any Acquisition (other than a Hostile Acquisition) by WIL-Ireland or a Restricted Subsidiary if (a) at the time of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immediately after giving effect thereto, (i) no Default has occurred and is continuing or would result therefrom, (ii) WIL-Ireland and its Restricted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Subsidiaries are in compliance with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and (iii) WIL-Ireland is in compliance, on a pro forma basis, with the Financial Covenants recomputed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last day of the most recently ended Fiscal Quarter of the Borrower for which financial statements are available, as if such Acquisition (and any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incurrence or repayment of Indebtedness, with any new Indebtedness being deemed to be amortized over the applicable Testing Period in accordance with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terms) had occurred on the first day of the applicable Testing Period and, if the aggregate consideration paid in respect of such Acquisition exceeds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$50,000,000, WIL-Ireland shall have delivered to the Administrative Agent a certificate of a Principal Financial Officer to such effect, together with 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relevant financial information, statements and projections reasonably requested by the Administrative Agent, (b) all actions required to be taken 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such acquired or newly formed Subsidiary under </w:t>
      </w:r>
      <w:r>
        <w:rPr>
          <w:rFonts w:ascii="Arial" w:cs="Arial" w:eastAsia="Arial" w:hAnsi="Arial"/>
          <w:sz w:val="16"/>
          <w:szCs w:val="16"/>
          <w:u w:val="single" w:color="auto"/>
          <w:color w:val="auto"/>
        </w:rPr>
        <w:t>Section 7.08</w:t>
      </w:r>
      <w:r>
        <w:rPr>
          <w:rFonts w:ascii="Arial" w:cs="Arial" w:eastAsia="Arial" w:hAnsi="Arial"/>
          <w:sz w:val="16"/>
          <w:szCs w:val="16"/>
          <w:color w:val="auto"/>
        </w:rPr>
        <w:t xml:space="preserve"> shall have been taken or will be taken within the time periods set forth therein, (c) if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involves a merger, consolidation or amalgamation of WIL-Ireland or a Restricted Subsidiary with any other Person, such Acquisition is permitted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under </w:t>
      </w:r>
      <w:r>
        <w:rPr>
          <w:rFonts w:ascii="Arial" w:cs="Arial" w:eastAsia="Arial" w:hAnsi="Arial"/>
          <w:sz w:val="16"/>
          <w:szCs w:val="16"/>
          <w:u w:val="single" w:color="auto"/>
          <w:color w:val="auto"/>
        </w:rPr>
        <w:t>Section 8.02</w:t>
      </w:r>
      <w:r>
        <w:rPr>
          <w:rFonts w:ascii="Arial" w:cs="Arial" w:eastAsia="Arial" w:hAnsi="Arial"/>
          <w:sz w:val="16"/>
          <w:szCs w:val="16"/>
          <w:color w:val="auto"/>
        </w:rPr>
        <w:t>, and (d) the aggregate consideration paid in respect of such Acquisition, when taken together with the aggregate consideration paid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of all other Acquisitions consummated since the RCF Effective Date, does not exceed (i) with respect to Acquisitions consummated by any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Subsidiaries Group Members, $100,000,000, and (ii) with respect to Acquisitions consummated by WIL-Ireland and any of the Specified Group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Members, the Permitted Acquisitions Basket at the time of such Acquisition.</w:t>
      </w:r>
    </w:p>
    <w:p>
      <w:pPr>
        <w:spacing w:after="0" w:line="21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Acquisitions Basket</w:t>
      </w:r>
      <w:r>
        <w:rPr>
          <w:rFonts w:ascii="Arial" w:cs="Arial" w:eastAsia="Arial" w:hAnsi="Arial"/>
          <w:sz w:val="18"/>
          <w:szCs w:val="18"/>
          <w:color w:val="auto"/>
        </w:rPr>
        <w:t xml:space="preserve">” means, at any date of determination, an amount equal to the sum of (a) $200,000,000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if such date is on or after the first anniversary of the RCF Effective Date, $200,000,000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if such date is on or after the second anniversary of the RCF Effective Date, $200,000,000,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the amount of net cash proceeds from issuances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0" w:gutter="0" w:footer="0" w:header="0"/>
        </w:sectPr>
      </w:pPr>
    </w:p>
    <w:bookmarkStart w:id="140" w:name="page141"/>
    <w:bookmarkEnd w:id="140"/>
    <w:p>
      <w:pPr>
        <w:ind w:right="7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Stock (other than Disqualified Capital Stock) by WIL-Ireland to the extent such net cash proceeds are used to pay consideration in respect of Acquisitions.</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Bond Hedge Transaction</w:t>
      </w:r>
      <w:r>
        <w:rPr>
          <w:rFonts w:ascii="Arial" w:cs="Arial" w:eastAsia="Arial" w:hAnsi="Arial"/>
          <w:sz w:val="18"/>
          <w:szCs w:val="18"/>
          <w:color w:val="auto"/>
        </w:rPr>
        <w:t xml:space="preserve">” means any call or capped call option (or substantively equivalent derivative transaction) on the </w:t>
      </w:r>
      <w:r>
        <w:rPr>
          <w:rFonts w:ascii="Arial" w:cs="Arial" w:eastAsia="Arial" w:hAnsi="Arial"/>
          <w:sz w:val="17"/>
          <w:szCs w:val="17"/>
          <w:color w:val="auto"/>
        </w:rPr>
        <w:t>ordinary</w:t>
      </w:r>
      <w:r>
        <w:rPr>
          <w:rFonts w:ascii="Arial" w:cs="Arial" w:eastAsia="Arial" w:hAnsi="Arial"/>
          <w:sz w:val="18"/>
          <w:szCs w:val="18"/>
          <w:color w:val="auto"/>
        </w:rPr>
        <w:t xml:space="preserve"> shares of WIL-Ireland purchased by WIL-Ireland or any of its Subsidiaries in connection with any Convertible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purchase price for such Permitted Bond Hedge Transaction, less the proceeds received by WIL-Ireland or any of its Subsidiaries from the sale of any related Permitted Warrant Transaction, does not exceed the net proceeds received by WIL-Ireland or any of its Subsidiaries from the sale of the Convertible Indebtedness issued in connection with such Permitted Bond Hedge Transaction.</w:t>
      </w:r>
    </w:p>
    <w:p>
      <w:pPr>
        <w:spacing w:after="0" w:line="188"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Customer Notes Disposition</w:t>
      </w:r>
      <w:r>
        <w:rPr>
          <w:rFonts w:ascii="Arial" w:cs="Arial" w:eastAsia="Arial" w:hAnsi="Arial"/>
          <w:sz w:val="16"/>
          <w:szCs w:val="16"/>
          <w:color w:val="auto"/>
        </w:rPr>
        <w:t>” means the Disposition (including the sale of a participation) by any Restricted Subsidiary that is organized in a jurisdiction other than a Specified Jurisdiction to a third party of (or in) any Receivables that were originated by such Restricted Subsidiary in the ordinary course of business and have been converted, exchanged or novated into one or more promissory notes or similar instruments.</w:t>
      </w:r>
    </w:p>
    <w:p>
      <w:pPr>
        <w:spacing w:after="0" w:line="147"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Existing Indebtedness</w:t>
      </w:r>
      <w:r>
        <w:rPr>
          <w:rFonts w:ascii="Arial" w:cs="Arial" w:eastAsia="Arial" w:hAnsi="Arial"/>
          <w:sz w:val="17"/>
          <w:szCs w:val="17"/>
          <w:color w:val="auto"/>
        </w:rPr>
        <w:t xml:space="preserve">” means (i) the Indebtedness of WIL-Ireland and its Restricted Subsidiaries (other than Indebtedness of the type described in </w:t>
      </w:r>
      <w:r>
        <w:rPr>
          <w:rFonts w:ascii="Arial" w:cs="Arial" w:eastAsia="Arial" w:hAnsi="Arial"/>
          <w:sz w:val="17"/>
          <w:szCs w:val="17"/>
          <w:u w:val="single" w:color="auto"/>
          <w:color w:val="auto"/>
        </w:rPr>
        <w:t>Section 8.01(m)</w:t>
      </w:r>
      <w:r>
        <w:rPr>
          <w:rFonts w:ascii="Arial" w:cs="Arial" w:eastAsia="Arial" w:hAnsi="Arial"/>
          <w:sz w:val="17"/>
          <w:szCs w:val="17"/>
          <w:color w:val="auto"/>
        </w:rPr>
        <w:t xml:space="preserve">) existing as of the Effective Date and identified on </w:t>
      </w:r>
      <w:r>
        <w:rPr>
          <w:rFonts w:ascii="Arial" w:cs="Arial" w:eastAsia="Arial" w:hAnsi="Arial"/>
          <w:sz w:val="17"/>
          <w:szCs w:val="17"/>
          <w:u w:val="single" w:color="auto"/>
          <w:color w:val="auto"/>
        </w:rPr>
        <w:t>Schedule 8.01</w:t>
      </w:r>
      <w:r>
        <w:rPr>
          <w:rFonts w:ascii="Arial" w:cs="Arial" w:eastAsia="Arial" w:hAnsi="Arial"/>
          <w:sz w:val="17"/>
          <w:szCs w:val="17"/>
          <w:color w:val="auto"/>
        </w:rPr>
        <w:t xml:space="preserve"> and (ii) the Existing Senior Notes.</w:t>
      </w:r>
    </w:p>
    <w:p>
      <w:pPr>
        <w:spacing w:after="0" w:line="14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Factoring Customers</w:t>
      </w:r>
      <w:r>
        <w:rPr>
          <w:rFonts w:ascii="Arial" w:cs="Arial" w:eastAsia="Arial" w:hAnsi="Arial"/>
          <w:sz w:val="18"/>
          <w:szCs w:val="18"/>
          <w:color w:val="auto"/>
        </w:rPr>
        <w:t>” means the Persons identified to the Administrative Agent in writing on or prior to the Effective Date, as such Persons may be updated from time to time by WIL-Ireland with the approval of the Administrative Agent.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Factoring Transaction Documents</w:t>
      </w:r>
      <w:r>
        <w:rPr>
          <w:rFonts w:ascii="Arial" w:cs="Arial" w:eastAsia="Arial" w:hAnsi="Arial"/>
          <w:sz w:val="18"/>
          <w:szCs w:val="18"/>
          <w:color w:val="auto"/>
        </w:rPr>
        <w:t>” means each of the documents and agreements entered into in connection with any Permitted Factoring Transaction.</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Factoring Transactions</w:t>
      </w:r>
      <w:r>
        <w:rPr>
          <w:rFonts w:ascii="Arial" w:cs="Arial" w:eastAsia="Arial" w:hAnsi="Arial"/>
          <w:sz w:val="17"/>
          <w:szCs w:val="17"/>
          <w:color w:val="auto"/>
        </w:rPr>
        <w:t>” means receivables purchase facilities and factoring transactions entered into by WIL-Ireland or any Restricted Subsidiary with respect to Receivables originated by WIL-Ireland or such Restricted Subsidiary in the ordinary course of business and owing by one or more Permitted Factoring Customers, which receivables purchase facilities and factoring transaction give rise to Attributable Receivables Amounts that are non-recourse to WIL-Ireland and its Restricted Subsidiaries other than limited recourse customary for receivables purchase facilities and factoring transactions of the same kind, provided that (i) the aggregate face amount of all receivables sold or transferred pursuant to Permitted Factoring Transactions shall not exceed $400,000,000 in any Fiscal Year and (ii) the aggregate face amount of all receivables sold or transferred pursuant to Permitted Factoring Transactions shall not exceed $100,000,000 during any Fiscal Quarter.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without duplication:</w:t>
      </w:r>
    </w:p>
    <w:p>
      <w:pPr>
        <w:spacing w:after="0" w:line="225" w:lineRule="exact"/>
        <w:rPr>
          <w:sz w:val="20"/>
          <w:szCs w:val="20"/>
          <w:color w:val="auto"/>
        </w:rPr>
      </w:pPr>
    </w:p>
    <w:p>
      <w:pPr>
        <w:ind w:right="280" w:firstLine="656"/>
        <w:spacing w:after="0" w:line="342" w:lineRule="auto"/>
        <w:tabs>
          <w:tab w:leader="none" w:pos="1294" w:val="left"/>
        </w:tabs>
        <w:numPr>
          <w:ilvl w:val="0"/>
          <w:numId w:val="309"/>
        </w:numPr>
        <w:rPr>
          <w:rFonts w:ascii="Arial" w:cs="Arial" w:eastAsia="Arial" w:hAnsi="Arial"/>
          <w:sz w:val="16"/>
          <w:szCs w:val="16"/>
          <w:color w:val="auto"/>
        </w:rPr>
      </w:pPr>
      <w:r>
        <w:rPr>
          <w:rFonts w:ascii="Arial" w:cs="Arial" w:eastAsia="Arial" w:hAnsi="Arial"/>
          <w:sz w:val="16"/>
          <w:szCs w:val="16"/>
          <w:color w:val="auto"/>
        </w:rPr>
        <w:t>Liens for Taxes or unpaid utilities (i) not yet delinquent or which can thereafter be paid without penalty, (ii) which are being contested in good faith by appropriate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Taxes referenced in this clause (ii), adequate reserves with respect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thereto are maintained on the books of WIL-Ireland or its Subsidiaries, to the extent required by GAAP) or (iii) imposed by any foreign Governmental Authority and attaching solely to assets with a fair market value not in excess of $50,000,000 in the aggregate at any one time;</w:t>
      </w:r>
    </w:p>
    <w:p>
      <w:pPr>
        <w:spacing w:after="0" w:line="147" w:lineRule="exact"/>
        <w:rPr>
          <w:sz w:val="20"/>
          <w:szCs w:val="20"/>
          <w:color w:val="auto"/>
        </w:rPr>
      </w:pPr>
    </w:p>
    <w:p>
      <w:pPr>
        <w:ind w:right="160" w:firstLine="656"/>
        <w:spacing w:after="0" w:line="264" w:lineRule="auto"/>
        <w:tabs>
          <w:tab w:leader="none" w:pos="130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arising in the ordinary course of business and not overdue for a period of more than 60 days or which are being contested in good faith by appropriate proceedings and for which adequate reserves have been made to the extent required by GAAP;</w:t>
      </w:r>
    </w:p>
    <w:p>
      <w:pPr>
        <w:spacing w:after="0" w:line="181" w:lineRule="exact"/>
        <w:rPr>
          <w:rFonts w:ascii="Arial" w:cs="Arial" w:eastAsia="Arial" w:hAnsi="Arial"/>
          <w:sz w:val="18"/>
          <w:szCs w:val="18"/>
          <w:color w:val="auto"/>
        </w:rPr>
      </w:pPr>
    </w:p>
    <w:p>
      <w:pPr>
        <w:ind w:right="720" w:firstLine="656"/>
        <w:spacing w:after="0" w:line="277" w:lineRule="auto"/>
        <w:tabs>
          <w:tab w:leader="none" w:pos="130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pledges or deposits made in compliance with, or deemed trusts arising in connection with, workers’ compensation, unemployment insurance, old age benefits, pension, employment or other social security laws or regulations;</w:t>
      </w:r>
    </w:p>
    <w:p>
      <w:pPr>
        <w:spacing w:after="0" w:line="170" w:lineRule="exact"/>
        <w:rPr>
          <w:rFonts w:ascii="Arial" w:cs="Arial" w:eastAsia="Arial" w:hAnsi="Arial"/>
          <w:sz w:val="18"/>
          <w:szCs w:val="18"/>
          <w:color w:val="auto"/>
        </w:rPr>
      </w:pPr>
    </w:p>
    <w:p>
      <w:pPr>
        <w:ind w:right="160" w:firstLine="656"/>
        <w:spacing w:after="0" w:line="279" w:lineRule="auto"/>
        <w:tabs>
          <w:tab w:leader="none" w:pos="1304" w:val="left"/>
        </w:tabs>
        <w:numPr>
          <w:ilvl w:val="0"/>
          <w:numId w:val="310"/>
        </w:numPr>
        <w:rPr>
          <w:rFonts w:ascii="Arial" w:cs="Arial" w:eastAsia="Arial" w:hAnsi="Arial"/>
          <w:sz w:val="17"/>
          <w:szCs w:val="17"/>
          <w:color w:val="auto"/>
        </w:rPr>
      </w:pPr>
      <w:r>
        <w:rPr>
          <w:rFonts w:ascii="Arial" w:cs="Arial" w:eastAsia="Arial" w:hAnsi="Arial"/>
          <w:sz w:val="17"/>
          <w:szCs w:val="17"/>
          <w:color w:val="auto"/>
        </w:rPr>
        <w:t>easements, rights-of-way, use restrictions, minor defects or irregularities in title, reservations (including reservations in any original grant from any government of any land or interests therein and statutory exceptions to title)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WIL-Ireland or any of its Restricted Subsidiaries;</w:t>
      </w:r>
    </w:p>
    <w:p>
      <w:pPr>
        <w:spacing w:after="0" w:line="171" w:lineRule="exact"/>
        <w:rPr>
          <w:rFonts w:ascii="Arial" w:cs="Arial" w:eastAsia="Arial" w:hAnsi="Arial"/>
          <w:sz w:val="17"/>
          <w:szCs w:val="17"/>
          <w:color w:val="auto"/>
        </w:rPr>
      </w:pPr>
    </w:p>
    <w:p>
      <w:pPr>
        <w:ind w:right="40" w:firstLine="656"/>
        <w:spacing w:after="0" w:line="264" w:lineRule="auto"/>
        <w:tabs>
          <w:tab w:leader="none" w:pos="130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judgment and attachment Liens not giving rise to an Event of Default or Liens created by or existing from any litigation or legal proceeding that are currently being contested in good faith by appropriate proceedings, promptly instituted and diligently conducted, and for which adequate reserves have been made to the extent required by GAAP;</w:t>
      </w:r>
    </w:p>
    <w:p>
      <w:pPr>
        <w:spacing w:after="0" w:line="181" w:lineRule="exact"/>
        <w:rPr>
          <w:rFonts w:ascii="Arial" w:cs="Arial" w:eastAsia="Arial" w:hAnsi="Arial"/>
          <w:sz w:val="18"/>
          <w:szCs w:val="18"/>
          <w:color w:val="auto"/>
        </w:rPr>
      </w:pPr>
    </w:p>
    <w:p>
      <w:pPr>
        <w:ind w:firstLine="656"/>
        <w:spacing w:after="0" w:line="257" w:lineRule="auto"/>
        <w:tabs>
          <w:tab w:leader="none" w:pos="1301"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Liens on the assets (and related insurance proceeds) of any entity or asset (and related insurance proceeds) existing at the time such asset or entity is acquired by WIL-Ireland or any of its Restricted Subsidiaries, whether by merger, amalgamation, consolidation, purchase of assets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are not created, incurred or assumed by such entity in contemplation of such entity’s being acquired by WIL-Ireland or any of its Restricted Subsidiaries, (ii) such Liens do not extend to any other assets of WIL-Ireland or any of its Restricted Subsidiaries and (iii) the Indebtedness secured by such Liens is permitted pursuant to this Agreement;</w:t>
      </w:r>
    </w:p>
    <w:p>
      <w:pPr>
        <w:spacing w:after="0" w:line="188" w:lineRule="exact"/>
        <w:rPr>
          <w:rFonts w:ascii="Arial" w:cs="Arial" w:eastAsia="Arial" w:hAnsi="Arial"/>
          <w:sz w:val="18"/>
          <w:szCs w:val="18"/>
          <w:color w:val="auto"/>
        </w:rPr>
      </w:pPr>
    </w:p>
    <w:p>
      <w:pPr>
        <w:ind w:firstLine="656"/>
        <w:spacing w:after="0" w:line="273" w:lineRule="auto"/>
        <w:tabs>
          <w:tab w:leader="none" w:pos="1317" w:val="left"/>
        </w:tabs>
        <w:numPr>
          <w:ilvl w:val="0"/>
          <w:numId w:val="310"/>
        </w:numPr>
        <w:rPr>
          <w:rFonts w:ascii="Arial" w:cs="Arial" w:eastAsia="Arial" w:hAnsi="Arial"/>
          <w:sz w:val="17"/>
          <w:szCs w:val="17"/>
          <w:color w:val="auto"/>
        </w:rPr>
      </w:pPr>
      <w:r>
        <w:rPr>
          <w:rFonts w:ascii="Arial" w:cs="Arial" w:eastAsia="Arial" w:hAnsi="Arial"/>
          <w:sz w:val="17"/>
          <w:szCs w:val="17"/>
          <w:color w:val="auto"/>
        </w:rPr>
        <w:t xml:space="preserve">Liens on fixed or capital assets acquired, constructed or improved by WIL-Ireland or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Liens secure Indebtedness permitted by </w:t>
      </w:r>
      <w:r>
        <w:rPr>
          <w:rFonts w:ascii="Arial" w:cs="Arial" w:eastAsia="Arial" w:hAnsi="Arial"/>
          <w:sz w:val="17"/>
          <w:szCs w:val="17"/>
          <w:u w:val="single" w:color="auto"/>
          <w:color w:val="auto"/>
        </w:rPr>
        <w:t>Section 8.01(m)</w:t>
      </w:r>
      <w:r>
        <w:rPr>
          <w:rFonts w:ascii="Arial" w:cs="Arial" w:eastAsia="Arial" w:hAnsi="Arial"/>
          <w:sz w:val="17"/>
          <w:szCs w:val="17"/>
          <w:color w:val="auto"/>
        </w:rPr>
        <w:t>, (ii) such Liens and the Indebtedness secured thereby are incurred prior to or within ninety (90) days after such acquisition or the completion of such construction or improvement, (iii) the Indebtedness secured thereby does not exceed the cost of acquiring, constructing or improving such fixed or capital assets and (iv) such Liens shall not at any time encumber any property (other than proceeds from associated insurances and proceeds of, improvements, accessions and upgrades to, and related contracts, intangibles and other assets incidental to or arising from, the property so acquired, constructed or improved) other than the property financed by such Indebtedness;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33" w:right="239" w:bottom="0" w:gutter="0" w:footer="0" w:header="0"/>
        </w:sectPr>
      </w:pPr>
    </w:p>
    <w:bookmarkStart w:id="141" w:name="page142"/>
    <w:bookmarkEnd w:id="141"/>
    <w:p>
      <w:pPr>
        <w:spacing w:after="0" w:line="50" w:lineRule="exact"/>
        <w:rPr>
          <w:sz w:val="20"/>
          <w:szCs w:val="20"/>
          <w:color w:val="auto"/>
        </w:rPr>
      </w:pPr>
    </w:p>
    <w:p>
      <w:pPr>
        <w:ind w:right="200" w:firstLine="656"/>
        <w:spacing w:after="0" w:line="257" w:lineRule="auto"/>
        <w:tabs>
          <w:tab w:leader="none" w:pos="1304" w:val="left"/>
        </w:tabs>
        <w:numPr>
          <w:ilvl w:val="1"/>
          <w:numId w:val="311"/>
        </w:numPr>
        <w:rPr>
          <w:rFonts w:ascii="Arial" w:cs="Arial" w:eastAsia="Arial" w:hAnsi="Arial"/>
          <w:sz w:val="18"/>
          <w:szCs w:val="18"/>
          <w:color w:val="auto"/>
        </w:rPr>
      </w:pPr>
      <w:r>
        <w:rPr>
          <w:rFonts w:ascii="Arial" w:cs="Arial" w:eastAsia="Arial" w:hAnsi="Arial"/>
          <w:sz w:val="18"/>
          <w:szCs w:val="18"/>
          <w:color w:val="auto"/>
        </w:rPr>
        <w:t xml:space="preserve">(i) Liens incurred to secure the performance of tenders, bids, leases, statutory obligations, surety and appeal bonds, government contracts, performance and return-of-money bonds and other obligations of a like nature incurred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Liens incurred under this sub-clause (i) shall secure obligations for the payment of borrowed money, and (ii) Liens solely on cash and Cash Equivalents not to exceed $50,000,000 at any one time securing letters of credit, letter of credit facilities, bank guaranties, bank guarantee facilities or similar instruments or facilities supporting the obligations described in the preceding sub-clause (i);</w:t>
      </w:r>
    </w:p>
    <w:p>
      <w:pPr>
        <w:spacing w:after="0" w:line="188" w:lineRule="exact"/>
        <w:rPr>
          <w:rFonts w:ascii="Arial" w:cs="Arial" w:eastAsia="Arial" w:hAnsi="Arial"/>
          <w:sz w:val="18"/>
          <w:szCs w:val="18"/>
          <w:color w:val="auto"/>
        </w:rPr>
      </w:pPr>
    </w:p>
    <w:p>
      <w:pPr>
        <w:ind w:left="1320" w:hanging="664"/>
        <w:spacing w:after="0"/>
        <w:tabs>
          <w:tab w:leader="none" w:pos="1320" w:val="left"/>
        </w:tabs>
        <w:numPr>
          <w:ilvl w:val="1"/>
          <w:numId w:val="311"/>
        </w:numPr>
        <w:rPr>
          <w:rFonts w:ascii="Arial" w:cs="Arial" w:eastAsia="Arial" w:hAnsi="Arial"/>
          <w:sz w:val="17"/>
          <w:szCs w:val="17"/>
          <w:color w:val="auto"/>
        </w:rPr>
      </w:pPr>
      <w:r>
        <w:rPr>
          <w:rFonts w:ascii="Arial" w:cs="Arial" w:eastAsia="Arial" w:hAnsi="Arial"/>
          <w:sz w:val="17"/>
          <w:szCs w:val="17"/>
          <w:color w:val="auto"/>
        </w:rPr>
        <w:t>leases or subleases granted to others not interfering in any material respect with the business of WIL-Ireland or any of its Restricted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left="1320" w:hanging="664"/>
        <w:spacing w:after="0"/>
        <w:tabs>
          <w:tab w:leader="none" w:pos="13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Liens to secure obligations arising from statutory or regulatory requirements;</w:t>
      </w:r>
    </w:p>
    <w:p>
      <w:pPr>
        <w:spacing w:after="0" w:line="225" w:lineRule="exact"/>
        <w:rPr>
          <w:rFonts w:ascii="Arial" w:cs="Arial" w:eastAsia="Arial" w:hAnsi="Arial"/>
          <w:sz w:val="18"/>
          <w:szCs w:val="18"/>
          <w:color w:val="auto"/>
        </w:rPr>
      </w:pPr>
    </w:p>
    <w:p>
      <w:pPr>
        <w:jc w:val="both"/>
        <w:ind w:right="640" w:firstLine="656"/>
        <w:spacing w:after="0" w:line="264" w:lineRule="auto"/>
        <w:tabs>
          <w:tab w:leader="none" w:pos="1304"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any interest or title of a lessor in property (and proceeds (including proceeds from insurance) of, and improvements, accessions and upgrades to, such property) subject to any Capital Lease Obligation or operating lease which obligation or lease, in each case, is permitted under this Agreement;</w:t>
      </w:r>
    </w:p>
    <w:p>
      <w:pPr>
        <w:spacing w:after="0" w:line="181" w:lineRule="exact"/>
        <w:rPr>
          <w:rFonts w:ascii="Arial" w:cs="Arial" w:eastAsia="Arial" w:hAnsi="Arial"/>
          <w:sz w:val="18"/>
          <w:szCs w:val="18"/>
          <w:color w:val="auto"/>
        </w:rPr>
      </w:pPr>
    </w:p>
    <w:p>
      <w:pPr>
        <w:ind w:right="140" w:firstLine="656"/>
        <w:spacing w:after="0" w:line="277" w:lineRule="auto"/>
        <w:tabs>
          <w:tab w:leader="none" w:pos="1318" w:val="left"/>
        </w:tabs>
        <w:numPr>
          <w:ilvl w:val="1"/>
          <w:numId w:val="311"/>
        </w:numPr>
        <w:rPr>
          <w:rFonts w:ascii="Arial" w:cs="Arial" w:eastAsia="Arial" w:hAnsi="Arial"/>
          <w:sz w:val="18"/>
          <w:szCs w:val="18"/>
          <w:color w:val="auto"/>
        </w:rPr>
      </w:pPr>
      <w:r>
        <w:rPr>
          <w:rFonts w:ascii="Arial" w:cs="Arial" w:eastAsia="Arial" w:hAnsi="Arial"/>
          <w:sz w:val="18"/>
          <w:szCs w:val="18"/>
          <w:color w:val="auto"/>
        </w:rPr>
        <w:t>Liens in favor of collecting or payor banks having a right of setoff, revocation, refund or chargeback with respect to money or instruments of WIL-Ireland or any of its Restricted Subsidiaries on deposit with or in possession of such bank;</w:t>
      </w:r>
    </w:p>
    <w:p>
      <w:pPr>
        <w:spacing w:after="0" w:line="170" w:lineRule="exact"/>
        <w:rPr>
          <w:rFonts w:ascii="Arial" w:cs="Arial" w:eastAsia="Arial" w:hAnsi="Arial"/>
          <w:sz w:val="18"/>
          <w:szCs w:val="18"/>
          <w:color w:val="auto"/>
        </w:rPr>
      </w:pPr>
    </w:p>
    <w:p>
      <w:pPr>
        <w:ind w:right="320" w:firstLine="656"/>
        <w:spacing w:after="0" w:line="277" w:lineRule="auto"/>
        <w:tabs>
          <w:tab w:leader="none" w:pos="130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Liens on the cash deposited in an Acceptable Deposit Account pursuant to the definition of “Extended Maturity Date” (as defined in the RCF Credit Agreement);</w:t>
      </w:r>
    </w:p>
    <w:p>
      <w:pPr>
        <w:spacing w:after="0" w:line="170" w:lineRule="exact"/>
        <w:rPr>
          <w:rFonts w:ascii="Arial" w:cs="Arial" w:eastAsia="Arial" w:hAnsi="Arial"/>
          <w:sz w:val="18"/>
          <w:szCs w:val="18"/>
          <w:color w:val="auto"/>
        </w:rPr>
      </w:pPr>
    </w:p>
    <w:p>
      <w:pPr>
        <w:ind w:right="440" w:firstLine="656"/>
        <w:spacing w:after="0" w:line="277" w:lineRule="auto"/>
        <w:tabs>
          <w:tab w:leader="none" w:pos="1304" w:val="left"/>
        </w:tabs>
        <w:numPr>
          <w:ilvl w:val="1"/>
          <w:numId w:val="311"/>
        </w:numPr>
        <w:rPr>
          <w:rFonts w:ascii="Arial" w:cs="Arial" w:eastAsia="Arial" w:hAnsi="Arial"/>
          <w:sz w:val="18"/>
          <w:szCs w:val="18"/>
          <w:color w:val="auto"/>
        </w:rPr>
      </w:pPr>
      <w:r>
        <w:rPr>
          <w:rFonts w:ascii="Arial" w:cs="Arial" w:eastAsia="Arial" w:hAnsi="Arial"/>
          <w:sz w:val="18"/>
          <w:szCs w:val="18"/>
          <w:color w:val="auto"/>
        </w:rPr>
        <w:t>Liens solely on any cash earnest money deposits or escrow arrangements made by WIL-Ireland or any of its Restricted Subsidiaries in connection with any letter of intent or purchase agreement relating to any acquisition of property permitted hereunder; and</w:t>
      </w:r>
    </w:p>
    <w:p>
      <w:pPr>
        <w:spacing w:after="0" w:line="170" w:lineRule="exact"/>
        <w:rPr>
          <w:rFonts w:ascii="Arial" w:cs="Arial" w:eastAsia="Arial" w:hAnsi="Arial"/>
          <w:sz w:val="18"/>
          <w:szCs w:val="18"/>
          <w:color w:val="auto"/>
        </w:rPr>
      </w:pPr>
    </w:p>
    <w:p>
      <w:pPr>
        <w:ind w:right="340" w:firstLine="656"/>
        <w:spacing w:after="0" w:line="291" w:lineRule="auto"/>
        <w:tabs>
          <w:tab w:leader="none" w:pos="1304" w:val="left"/>
        </w:tabs>
        <w:numPr>
          <w:ilvl w:val="1"/>
          <w:numId w:val="311"/>
        </w:numPr>
        <w:rPr>
          <w:rFonts w:ascii="Arial" w:cs="Arial" w:eastAsia="Arial" w:hAnsi="Arial"/>
          <w:sz w:val="16"/>
          <w:szCs w:val="16"/>
          <w:color w:val="auto"/>
        </w:rPr>
      </w:pPr>
      <w:r>
        <w:rPr>
          <w:rFonts w:ascii="Arial" w:cs="Arial" w:eastAsia="Arial" w:hAnsi="Arial"/>
          <w:sz w:val="16"/>
          <w:szCs w:val="16"/>
          <w:color w:val="auto"/>
        </w:rPr>
        <w:t>extensions, renewals and replacements of any Lien permitted by any of the preceding clauses, so long as (i) the principal amount of any debt secured thereby is not increased (other than to the extent of any amounts incurred to pay costs of any such extension, renewal or replacement) and</w:t>
      </w:r>
    </w:p>
    <w:p>
      <w:pPr>
        <w:ind w:right="180" w:firstLine="8"/>
        <w:spacing w:after="0" w:line="261" w:lineRule="auto"/>
        <w:tabs>
          <w:tab w:leader="none" w:pos="26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such Lien does not extend to any additional assets (other than improvements and accessions to, and replacements of, the assets originally subject to such Lien).</w:t>
      </w:r>
    </w:p>
    <w:p>
      <w:pPr>
        <w:spacing w:after="0" w:line="18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Refinancing Indebtedness</w:t>
      </w:r>
      <w:r>
        <w:rPr>
          <w:rFonts w:ascii="Arial" w:cs="Arial" w:eastAsia="Arial" w:hAnsi="Arial"/>
          <w:sz w:val="17"/>
          <w:szCs w:val="17"/>
          <w:color w:val="auto"/>
        </w:rPr>
        <w:t>” means Indebtedness (for purposes of this definition, “</w:t>
      </w:r>
      <w:r>
        <w:rPr>
          <w:rFonts w:ascii="Arial" w:cs="Arial" w:eastAsia="Arial" w:hAnsi="Arial"/>
          <w:sz w:val="17"/>
          <w:szCs w:val="17"/>
          <w:u w:val="single" w:color="auto"/>
          <w:color w:val="auto"/>
        </w:rPr>
        <w:t>New Indebtedness</w:t>
      </w:r>
      <w:r>
        <w:rPr>
          <w:rFonts w:ascii="Arial" w:cs="Arial" w:eastAsia="Arial" w:hAnsi="Arial"/>
          <w:sz w:val="17"/>
          <w:szCs w:val="17"/>
          <w:color w:val="auto"/>
        </w:rPr>
        <w:t>”) incurred in exchange for, or the proceeds of which are used to extend, refinance, replace, defease, discharge, refund or otherwise retire for value any other Indebtedness (for purposes of this definition, the “</w:t>
      </w:r>
      <w:r>
        <w:rPr>
          <w:rFonts w:ascii="Arial" w:cs="Arial" w:eastAsia="Arial" w:hAnsi="Arial"/>
          <w:sz w:val="17"/>
          <w:szCs w:val="17"/>
          <w:u w:val="single" w:color="auto"/>
          <w:color w:val="auto"/>
        </w:rPr>
        <w:t>Refinanced Indebtedness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aggregate principal amount (or accreted value, in the case of Indebtedness issued with original issue discount) of the New Indebtedness (including undrawn or available committed amounts) does not exceed the sum of (i) the aggregate principal amount (or accreted value, in the case of Indebtedness issued with original issue discount) then outstanding of the Refinanced Indebtedness (including undrawn or available committed amounts, which for purposes of Refinancing Indebtedness of the type described in </w:t>
      </w:r>
      <w:r>
        <w:rPr>
          <w:rFonts w:ascii="Arial" w:cs="Arial" w:eastAsia="Arial" w:hAnsi="Arial"/>
          <w:sz w:val="17"/>
          <w:szCs w:val="17"/>
          <w:u w:val="single" w:color="auto"/>
          <w:color w:val="auto"/>
        </w:rPr>
        <w:t>Section 8.01(b)(ii)</w:t>
      </w:r>
      <w:r>
        <w:rPr>
          <w:rFonts w:ascii="Arial" w:cs="Arial" w:eastAsia="Arial" w:hAnsi="Arial"/>
          <w:sz w:val="17"/>
          <w:szCs w:val="17"/>
          <w:color w:val="auto"/>
        </w:rPr>
        <w:t xml:space="preserve">, shall be deemed to be $1,500,000,000)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an amount necessary to pay all accrued (including, for purposes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defeasance, future accrued) and unpaid interest on the Refinanced Indebtedness and any fees, premiums and expenses related to such exchange or refinancing;</w:t>
      </w:r>
    </w:p>
    <w:p>
      <w:pPr>
        <w:spacing w:after="0" w:line="58" w:lineRule="exact"/>
        <w:rPr>
          <w:sz w:val="20"/>
          <w:szCs w:val="20"/>
          <w:color w:val="auto"/>
        </w:rPr>
      </w:pPr>
    </w:p>
    <w:p>
      <w:pPr>
        <w:ind w:right="20" w:firstLine="8"/>
        <w:spacing w:after="0" w:line="252" w:lineRule="auto"/>
        <w:tabs>
          <w:tab w:leader="none" w:pos="25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the New Indebtedness has a stated maturity that is no earlier than the stated maturity date of the Refinanced Indebtedness; (c) the New Indebtedness has a Weighted Average Life to Maturity that is no shorter than the Weighted Average Life to Maturity of the Refinanced Indebtedness; (d) the New Indebtedness is not incurred or Guaranteed by any Person that was not an obligor on the Refinanced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 the event that the Refinanced Indebtedness is of the type described in </w:t>
      </w:r>
      <w:r>
        <w:rPr>
          <w:rFonts w:ascii="Arial" w:cs="Arial" w:eastAsia="Arial" w:hAnsi="Arial"/>
          <w:sz w:val="18"/>
          <w:szCs w:val="18"/>
          <w:u w:val="single" w:color="auto"/>
          <w:color w:val="auto"/>
        </w:rPr>
        <w:t>Section 8.01(b)</w:t>
      </w:r>
      <w:r>
        <w:rPr>
          <w:rFonts w:ascii="Arial" w:cs="Arial" w:eastAsia="Arial" w:hAnsi="Arial"/>
          <w:sz w:val="18"/>
          <w:szCs w:val="18"/>
          <w:color w:val="auto"/>
        </w:rPr>
        <w:t xml:space="preserve">, the New Indebtedness may be Guaranteed by any Obligor and (ii) in the event that the Refinanced Indebtedness is of the type described in clause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the definition of “Permitted Existing Indebtedness”, the New Indebtedness may be incurred or Guaranteed by WIL-Ireland, WIL-Bermuda, WIL-Delaware or any Other Subsidiaries Group Member; and (e) if the Refinanced Indebtedness is subordinated in right of payment to the Obligations, the New Indebtedness is subordinated in right of payment to the Obligations to at least the same extent as the Refinanced Indebtedness.</w:t>
      </w:r>
    </w:p>
    <w:p>
      <w:pPr>
        <w:spacing w:after="0" w:line="192" w:lineRule="exact"/>
        <w:rPr>
          <w:sz w:val="20"/>
          <w:szCs w:val="20"/>
          <w:color w:val="auto"/>
        </w:rPr>
      </w:pPr>
    </w:p>
    <w:p>
      <w:pPr>
        <w:jc w:val="both"/>
        <w:ind w:right="24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Warrant Transaction</w:t>
      </w:r>
      <w:r>
        <w:rPr>
          <w:rFonts w:ascii="Arial" w:cs="Arial" w:eastAsia="Arial" w:hAnsi="Arial"/>
          <w:sz w:val="18"/>
          <w:szCs w:val="18"/>
          <w:color w:val="auto"/>
        </w:rPr>
        <w:t>” means any call option, warrant or right to purchase (or substantively equivalent derivative transaction) on WIL-Ireland’s ordinary shares sold by WIL-Ireland substantially concurrently with any purchase by WIL-Ireland or any of its Subsidiaries of a related Permitted Bond Hedge Transaction.</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company, limited or general partnership, limited liability company, joint venture, association, joint stock company, trust, unincorporated organization or other entity, or any Governmental Authority.</w:t>
      </w:r>
    </w:p>
    <w:p>
      <w:pPr>
        <w:spacing w:after="0" w:line="170"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 employee pension benefit plan, as defined in Section 3(2) of ERISA, which is covered by Title IV of ERISA or subject to the minimum funding standards under Section 412 of the Code or Section 302 of ERISA and at any time within the preceding six years has been (a) sponsored, maintained or contributed to by WIL-Ireland, any Borrower or any ERISA Affiliate for employees of WIL-Ireland, any Borrower or any ERISA Affiliate or</w:t>
      </w:r>
    </w:p>
    <w:p>
      <w:pPr>
        <w:ind w:right="440" w:firstLine="8"/>
        <w:spacing w:after="0" w:line="290" w:lineRule="auto"/>
        <w:tabs>
          <w:tab w:leader="none" w:pos="255" w:val="left"/>
        </w:tabs>
        <w:numPr>
          <w:ilvl w:val="0"/>
          <w:numId w:val="314"/>
        </w:numPr>
        <w:rPr>
          <w:rFonts w:ascii="Arial" w:cs="Arial" w:eastAsia="Arial" w:hAnsi="Arial"/>
          <w:sz w:val="17"/>
          <w:szCs w:val="17"/>
          <w:color w:val="auto"/>
        </w:rPr>
      </w:pPr>
      <w:r>
        <w:rPr>
          <w:rFonts w:ascii="Arial" w:cs="Arial" w:eastAsia="Arial" w:hAnsi="Arial"/>
          <w:sz w:val="17"/>
          <w:szCs w:val="17"/>
          <w:color w:val="auto"/>
        </w:rPr>
        <w:t>maintained pursuant to a collective bargaining agreement or any other arrangement under which more than one employer makes contributions and to which WIL-Ireland, any Borrower or any ERISA Affiliate is or was then making or accruing an obligation to make contributions.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Asset Regulations</w:t>
      </w:r>
      <w:r>
        <w:rPr>
          <w:rFonts w:ascii="Arial" w:cs="Arial" w:eastAsia="Arial" w:hAnsi="Arial"/>
          <w:sz w:val="18"/>
          <w:szCs w:val="18"/>
          <w:color w:val="auto"/>
        </w:rPr>
        <w:t xml:space="preserve">” means 29 CFR § 2510.3-101 </w:t>
      </w:r>
      <w:r>
        <w:rPr>
          <w:rFonts w:ascii="Arial" w:cs="Arial" w:eastAsia="Arial" w:hAnsi="Arial"/>
          <w:sz w:val="18"/>
          <w:szCs w:val="18"/>
          <w:i w:val="1"/>
          <w:iCs w:val="1"/>
          <w:color w:val="auto"/>
        </w:rPr>
        <w:t>et seq.</w:t>
      </w:r>
      <w:r>
        <w:rPr>
          <w:rFonts w:ascii="Arial" w:cs="Arial" w:eastAsia="Arial" w:hAnsi="Arial"/>
          <w:sz w:val="18"/>
          <w:szCs w:val="18"/>
          <w:color w:val="auto"/>
        </w:rPr>
        <w:t>, as modified by Section 3(42) of ERISA,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PPSA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Personal Property Securities Act 2009</w:t>
      </w:r>
      <w:r>
        <w:rPr>
          <w:rFonts w:ascii="Arial" w:cs="Arial" w:eastAsia="Arial" w:hAnsi="Arial"/>
          <w:sz w:val="18"/>
          <w:szCs w:val="18"/>
          <w:color w:val="auto"/>
        </w:rPr>
        <w:t xml:space="preserve"> (Cth) of Australia.</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xml:space="preserve">” means the rate of interest per annum publicly announced from time to time by JPMorgan (for so long as it is the Administrative Agent) or any successor administrative agent pursuant to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as its prime rate in effect at its principal office in New York City; each change in the Prime Rate shall be effective from and including the date such change is publicly announced by the such Person as being effective.</w:t>
      </w:r>
    </w:p>
    <w:p>
      <w:pPr>
        <w:spacing w:after="0" w:line="166"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Financial Officer</w:t>
      </w:r>
      <w:r>
        <w:rPr>
          <w:rFonts w:ascii="Arial" w:cs="Arial" w:eastAsia="Arial" w:hAnsi="Arial"/>
          <w:sz w:val="18"/>
          <w:szCs w:val="18"/>
          <w:color w:val="auto"/>
        </w:rPr>
        <w:t>” means, with respect to any Obligor Party, any director, any manager, the chief financial officer, the treasurer or the principal accounting officer of such Obligor Party.</w:t>
      </w:r>
    </w:p>
    <w:p>
      <w:pPr>
        <w:sectPr>
          <w:pgSz w:w="11900" w:h="16888" w:orient="portrait"/>
          <w:cols w:equalWidth="0" w:num="1">
            <w:col w:w="11420"/>
          </w:cols>
          <w:pgMar w:left="240" w:top="584" w:right="239" w:bottom="0" w:gutter="0" w:footer="0" w:header="0"/>
        </w:sectPr>
      </w:pPr>
    </w:p>
    <w:bookmarkStart w:id="142" w:name="page143"/>
    <w:bookmarkEnd w:id="142"/>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Perfected Collateral</w:t>
      </w:r>
      <w:r>
        <w:rPr>
          <w:rFonts w:ascii="Arial" w:cs="Arial" w:eastAsia="Arial" w:hAnsi="Arial"/>
          <w:sz w:val="18"/>
          <w:szCs w:val="18"/>
          <w:color w:val="auto"/>
        </w:rPr>
        <w:t xml:space="preserve">” means any Collateral that is subject to a valid and perfected (or any analogous concept to the extent perfection does not apply in the relevant jurisdiction) Lien having first priority except as contemplated by the Intercreditor Agreement, subject to the Liens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(other than Liens specified in clause (g) and, to the extent securing Capital Lease Obligations, clause (k) of the definition of “Permitted Liens”), in favor of the Collateral Agent to secure the Secured Obligations but only to the extent that the Secured Parties do not share, and are not required to share, such Lien equally and ratably with any of the Existing Senior Notes.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RCF</w:t>
      </w:r>
      <w:r>
        <w:rPr>
          <w:rFonts w:ascii="Arial" w:cs="Arial" w:eastAsia="Arial" w:hAnsi="Arial"/>
          <w:sz w:val="16"/>
          <w:szCs w:val="16"/>
          <w:color w:val="auto"/>
        </w:rPr>
        <w:t>” means the senior unsecured revolving credit facility provided pursuant to the RCF Credit Agreement and the other RCF Loan Documents.</w:t>
      </w:r>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RCF Agent</w:t>
      </w:r>
      <w:r>
        <w:rPr>
          <w:rFonts w:ascii="Arial" w:cs="Arial" w:eastAsia="Arial" w:hAnsi="Arial"/>
          <w:sz w:val="18"/>
          <w:szCs w:val="18"/>
          <w:color w:val="auto"/>
        </w:rPr>
        <w:t>” means JPMorgan, in its capacity as administrative agent under the RCF Credit Agreement or any successor or substitute administrative agent thereunder.</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RCF Amendment No. 3</w:t>
      </w:r>
      <w:r>
        <w:rPr>
          <w:rFonts w:ascii="Arial" w:cs="Arial" w:eastAsia="Arial" w:hAnsi="Arial"/>
          <w:sz w:val="18"/>
          <w:szCs w:val="18"/>
          <w:color w:val="auto"/>
        </w:rPr>
        <w:t>” means that certain Amendment No. 3 to Amended and Restated Credit Agreement entered into as of the Effective Date by and among WIL-Ireland, WIL-Bermuda, WOFS Assurance Limited, WIL-Delaware, the lenders signatory thereto, the RCF Agent and the other parties thereto, pursuant to which, among other things, WIL-Bermuda and the other parties to the Existing RCF Credit Agreement shall effect a reduction of commitments under the Existing RCF Credit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RCF Commitments</w:t>
      </w:r>
      <w:r>
        <w:rPr>
          <w:rFonts w:ascii="Arial" w:cs="Arial" w:eastAsia="Arial" w:hAnsi="Arial"/>
          <w:sz w:val="18"/>
          <w:szCs w:val="18"/>
          <w:color w:val="auto"/>
        </w:rPr>
        <w:t>” means the Extended Commitments (as defined in the RCF Credit Agreement).</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RCF Credit Agreement</w:t>
      </w:r>
      <w:r>
        <w:rPr>
          <w:rFonts w:ascii="Arial" w:cs="Arial" w:eastAsia="Arial" w:hAnsi="Arial"/>
          <w:sz w:val="16"/>
          <w:szCs w:val="16"/>
          <w:color w:val="auto"/>
        </w:rPr>
        <w:t xml:space="preserve">” means the Amended and Restated Credit Agreement dated as of May 9, 2016 among WIL-Bermuda, WOFS Assurance Limited, WIL-Ireland, the lenders party thereto, the issuing banks party thereto, JPMorgan, as swingline lender, and JPMorgan, as administrative agent (as amended by that certain Amendment No. 1 to Amended and Restated Credit Agreement, dated as of July 19, 2016, that certain Amendment No. 2 to Amended and Restated Credit Agreement, dated as of April 17, 2017, that certain Joinder Agreement, dated as of September 7, 2017, and RCF Amendment No. 3, and as may be further amended, restated, amended and restated, supplemented or otherwise modified from time to time subject to </w:t>
      </w:r>
      <w:r>
        <w:rPr>
          <w:rFonts w:ascii="Arial" w:cs="Arial" w:eastAsia="Arial" w:hAnsi="Arial"/>
          <w:sz w:val="16"/>
          <w:szCs w:val="16"/>
          <w:u w:val="single" w:color="auto"/>
          <w:color w:val="auto"/>
        </w:rPr>
        <w:t>Section 1.05(a)(v)</w:t>
      </w:r>
      <w:r>
        <w:rPr>
          <w:rFonts w:ascii="Arial" w:cs="Arial" w:eastAsia="Arial" w:hAnsi="Arial"/>
          <w:sz w:val="16"/>
          <w:szCs w:val="16"/>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RCF Effective Date</w:t>
      </w:r>
      <w:r>
        <w:rPr>
          <w:rFonts w:ascii="Arial" w:cs="Arial" w:eastAsia="Arial" w:hAnsi="Arial"/>
          <w:sz w:val="18"/>
          <w:szCs w:val="18"/>
          <w:color w:val="auto"/>
        </w:rPr>
        <w:t>” means May 9, 2016.</w:t>
      </w:r>
    </w:p>
    <w:p>
      <w:pPr>
        <w:spacing w:after="0" w:line="225"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RCF Incremental Commitment</w:t>
      </w:r>
      <w:r>
        <w:rPr>
          <w:rFonts w:ascii="Arial" w:cs="Arial" w:eastAsia="Arial" w:hAnsi="Arial"/>
          <w:sz w:val="18"/>
          <w:szCs w:val="18"/>
          <w:color w:val="auto"/>
        </w:rPr>
        <w:t>” means an Incremental Commitment (as defined in the RCF Credit Agreement) or similar increase of commitments under the RCF Credit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RCF Loan Documents</w:t>
      </w:r>
      <w:r>
        <w:rPr>
          <w:rFonts w:ascii="Arial" w:cs="Arial" w:eastAsia="Arial" w:hAnsi="Arial"/>
          <w:sz w:val="18"/>
          <w:szCs w:val="18"/>
          <w:color w:val="auto"/>
        </w:rPr>
        <w:t>” means the Loan Documents (as defined in the RCF Credit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RCF Maturity Date</w:t>
      </w:r>
      <w:r>
        <w:rPr>
          <w:rFonts w:ascii="Arial" w:cs="Arial" w:eastAsia="Arial" w:hAnsi="Arial"/>
          <w:sz w:val="18"/>
          <w:szCs w:val="18"/>
          <w:color w:val="auto"/>
        </w:rPr>
        <w:t>” means the Extended Maturity Date (as defined in the RCF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RCF Obligations</w:t>
      </w:r>
      <w:r>
        <w:rPr>
          <w:rFonts w:ascii="Arial" w:cs="Arial" w:eastAsia="Arial" w:hAnsi="Arial"/>
          <w:sz w:val="18"/>
          <w:szCs w:val="18"/>
          <w:color w:val="auto"/>
        </w:rPr>
        <w:t>” means the Guaranteed Obligations (as defined in the RCF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RCF Swingline Loans</w:t>
      </w:r>
      <w:r>
        <w:rPr>
          <w:rFonts w:ascii="Arial" w:cs="Arial" w:eastAsia="Arial" w:hAnsi="Arial"/>
          <w:sz w:val="18"/>
          <w:szCs w:val="18"/>
          <w:color w:val="auto"/>
        </w:rPr>
        <w:t>” means the Swingline Loans (as defined in the RCF Credit Agreement).</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any right to payment of WIL-Ireland or any Restricted Subsidiary created by or arising from sales of goods, leases of goods or the rendition of services rendered no matter how evidenced whether or not earned by performance (whether constituting accounts, general intangibles, chattel paper or otherwise).</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Related Security</w:t>
      </w:r>
      <w:r>
        <w:rPr>
          <w:rFonts w:ascii="Arial" w:cs="Arial" w:eastAsia="Arial" w:hAnsi="Arial"/>
          <w:sz w:val="18"/>
          <w:szCs w:val="18"/>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and (b) any Lender, as applicable.</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w:t>
      </w:r>
      <w:r>
        <w:rPr>
          <w:rFonts w:ascii="Arial" w:cs="Arial" w:eastAsia="Arial" w:hAnsi="Arial"/>
          <w:sz w:val="18"/>
          <w:szCs w:val="18"/>
          <w:color w:val="auto"/>
        </w:rPr>
        <w:t>” means, with respect to any Indebtedness, the redemption, purchase, defeasance, prepayment or other acquisition or retirement for value of such Indebtedness. The term “</w:t>
      </w:r>
      <w:r>
        <w:rPr>
          <w:rFonts w:ascii="Arial" w:cs="Arial" w:eastAsia="Arial" w:hAnsi="Arial"/>
          <w:sz w:val="18"/>
          <w:szCs w:val="18"/>
          <w:u w:val="single" w:color="auto"/>
          <w:color w:val="auto"/>
        </w:rPr>
        <w:t>Redeem</w:t>
      </w:r>
      <w:r>
        <w:rPr>
          <w:rFonts w:ascii="Arial" w:cs="Arial" w:eastAsia="Arial" w:hAnsi="Arial"/>
          <w:sz w:val="18"/>
          <w:szCs w:val="18"/>
          <w:color w:val="auto"/>
        </w:rPr>
        <w:t>” has a meaning correlative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Redomestication</w:t>
      </w:r>
      <w:r>
        <w:rPr>
          <w:rFonts w:ascii="Arial" w:cs="Arial" w:eastAsia="Arial" w:hAnsi="Arial"/>
          <w:sz w:val="18"/>
          <w:szCs w:val="18"/>
          <w:color w:val="auto"/>
        </w:rPr>
        <w:t>” means:</w:t>
      </w:r>
    </w:p>
    <w:p>
      <w:pPr>
        <w:spacing w:after="0" w:line="225" w:lineRule="exact"/>
        <w:rPr>
          <w:sz w:val="20"/>
          <w:szCs w:val="20"/>
          <w:color w:val="auto"/>
        </w:rPr>
      </w:pPr>
    </w:p>
    <w:p>
      <w:pPr>
        <w:ind w:right="40" w:firstLine="656"/>
        <w:spacing w:after="0" w:line="276" w:lineRule="auto"/>
        <w:tabs>
          <w:tab w:leader="none" w:pos="1294" w:val="left"/>
        </w:tabs>
        <w:numPr>
          <w:ilvl w:val="0"/>
          <w:numId w:val="315"/>
        </w:numPr>
        <w:rPr>
          <w:rFonts w:ascii="Arial" w:cs="Arial" w:eastAsia="Arial" w:hAnsi="Arial"/>
          <w:sz w:val="17"/>
          <w:szCs w:val="17"/>
          <w:color w:val="auto"/>
        </w:rPr>
      </w:pPr>
      <w:r>
        <w:rPr>
          <w:rFonts w:ascii="Arial" w:cs="Arial" w:eastAsia="Arial" w:hAnsi="Arial"/>
          <w:sz w:val="17"/>
          <w:szCs w:val="17"/>
          <w:color w:val="auto"/>
        </w:rPr>
        <w:t>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172" w:lineRule="exact"/>
        <w:rPr>
          <w:rFonts w:ascii="Arial" w:cs="Arial" w:eastAsia="Arial" w:hAnsi="Arial"/>
          <w:sz w:val="17"/>
          <w:szCs w:val="17"/>
          <w:color w:val="auto"/>
        </w:rPr>
      </w:pPr>
    </w:p>
    <w:p>
      <w:pPr>
        <w:ind w:right="120" w:firstLine="656"/>
        <w:spacing w:after="0" w:line="264" w:lineRule="auto"/>
        <w:tabs>
          <w:tab w:leader="none" w:pos="130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any continuation, discontinuation, domestication, redomestication, amalgamation, merger, plan or scheme of arrangement, exchange offer, business combination, reincorporation, reorganization consolidation or similar action of the Weatherford Parent Company, pursuant to the law of the jurisdiction of its organization and of any other jurisdiction; or</w:t>
      </w:r>
    </w:p>
    <w:p>
      <w:pPr>
        <w:spacing w:after="0" w:line="181" w:lineRule="exact"/>
        <w:rPr>
          <w:rFonts w:ascii="Arial" w:cs="Arial" w:eastAsia="Arial" w:hAnsi="Arial"/>
          <w:sz w:val="18"/>
          <w:szCs w:val="18"/>
          <w:color w:val="auto"/>
        </w:rPr>
      </w:pPr>
    </w:p>
    <w:p>
      <w:pPr>
        <w:ind w:right="220" w:firstLine="656"/>
        <w:spacing w:after="0" w:line="277" w:lineRule="auto"/>
        <w:tabs>
          <w:tab w:leader="none" w:pos="130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formation of a Person that becomes, as part of the transaction or series of related transactions, the direct or indirect owner of 100% of the voting shares of the Weatherford Parent Company (the “</w:t>
      </w:r>
      <w:r>
        <w:rPr>
          <w:rFonts w:ascii="Arial" w:cs="Arial" w:eastAsia="Arial" w:hAnsi="Arial"/>
          <w:sz w:val="18"/>
          <w:szCs w:val="18"/>
          <w:u w:val="single" w:color="auto"/>
          <w:color w:val="auto"/>
        </w:rPr>
        <w:t>New Weatherford Parent</w:t>
      </w:r>
      <w:r>
        <w:rPr>
          <w:rFonts w:ascii="Arial" w:cs="Arial" w:eastAsia="Arial" w:hAnsi="Arial"/>
          <w:sz w:val="18"/>
          <w:szCs w:val="18"/>
          <w:color w:val="auto"/>
        </w:rPr>
        <w:t>”);</w:t>
      </w:r>
    </w:p>
    <w:p>
      <w:pPr>
        <w:sectPr>
          <w:pgSz w:w="11900" w:h="16929" w:orient="portrait"/>
          <w:cols w:equalWidth="0" w:num="1">
            <w:col w:w="11400"/>
          </w:cols>
          <w:pgMar w:left="240" w:top="341" w:right="259" w:bottom="0" w:gutter="0" w:footer="0" w:header="0"/>
        </w:sectPr>
      </w:pPr>
    </w:p>
    <w:bookmarkStart w:id="143" w:name="page144"/>
    <w:bookmarkEnd w:id="143"/>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if, as a result thereof:</w:t>
      </w:r>
    </w:p>
    <w:p>
      <w:pPr>
        <w:spacing w:after="0" w:line="225" w:lineRule="exact"/>
        <w:rPr>
          <w:sz w:val="20"/>
          <w:szCs w:val="20"/>
          <w:color w:val="auto"/>
        </w:rPr>
      </w:pPr>
    </w:p>
    <w:p>
      <w:pPr>
        <w:ind w:right="580" w:firstLine="656"/>
        <w:spacing w:after="0" w:line="264" w:lineRule="auto"/>
        <w:tabs>
          <w:tab w:leader="none" w:pos="1304"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in the case of any action specified in clause </w:t>
      </w:r>
      <w:r>
        <w:rPr>
          <w:rFonts w:ascii="Arial" w:cs="Arial" w:eastAsia="Arial" w:hAnsi="Arial"/>
          <w:sz w:val="18"/>
          <w:szCs w:val="18"/>
          <w:u w:val="single" w:color="auto"/>
          <w:color w:val="auto"/>
        </w:rPr>
        <w:t>(a)</w:t>
      </w:r>
      <w:r>
        <w:rPr>
          <w:rFonts w:ascii="Arial" w:cs="Arial" w:eastAsia="Arial" w:hAnsi="Arial"/>
          <w:sz w:val="18"/>
          <w:szCs w:val="18"/>
          <w:color w:val="auto"/>
        </w:rPr>
        <w:t>,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181" w:lineRule="exact"/>
        <w:rPr>
          <w:rFonts w:ascii="Arial" w:cs="Arial" w:eastAsia="Arial" w:hAnsi="Arial"/>
          <w:sz w:val="18"/>
          <w:szCs w:val="18"/>
          <w:color w:val="auto"/>
        </w:rPr>
      </w:pPr>
    </w:p>
    <w:p>
      <w:pPr>
        <w:ind w:right="140" w:firstLine="656"/>
        <w:spacing w:after="0" w:line="277" w:lineRule="auto"/>
        <w:tabs>
          <w:tab w:leader="none" w:pos="1304"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in the case of any action specified in clause </w:t>
      </w:r>
      <w:r>
        <w:rPr>
          <w:rFonts w:ascii="Arial" w:cs="Arial" w:eastAsia="Arial" w:hAnsi="Arial"/>
          <w:sz w:val="18"/>
          <w:szCs w:val="18"/>
          <w:u w:val="single" w:color="auto"/>
          <w:color w:val="auto"/>
        </w:rPr>
        <w:t>(b)</w:t>
      </w:r>
      <w:r>
        <w:rPr>
          <w:rFonts w:ascii="Arial" w:cs="Arial" w:eastAsia="Arial" w:hAnsi="Arial"/>
          <w:sz w:val="18"/>
          <w:szCs w:val="18"/>
          <w:color w:val="auto"/>
        </w:rPr>
        <w:t>, the entity that constituted the Weatherford Parent Company immediately prior thereto (but disregarding for this purpose any change in its jurisdiction of organization); 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in the case of any action specified in clause </w:t>
      </w:r>
      <w:r>
        <w:rPr>
          <w:rFonts w:ascii="Arial" w:cs="Arial" w:eastAsia="Arial" w:hAnsi="Arial"/>
          <w:sz w:val="18"/>
          <w:szCs w:val="18"/>
          <w:u w:val="single" w:color="auto"/>
          <w:color w:val="auto"/>
        </w:rPr>
        <w:t>(c)</w:t>
      </w:r>
      <w:r>
        <w:rPr>
          <w:rFonts w:ascii="Arial" w:cs="Arial" w:eastAsia="Arial" w:hAnsi="Arial"/>
          <w:sz w:val="18"/>
          <w:szCs w:val="18"/>
          <w:color w:val="auto"/>
        </w:rPr>
        <w:t>, the New Weatherford Parent,</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any such case the “</w:t>
      </w:r>
      <w:r>
        <w:rPr>
          <w:rFonts w:ascii="Arial" w:cs="Arial" w:eastAsia="Arial" w:hAnsi="Arial"/>
          <w:sz w:val="17"/>
          <w:szCs w:val="17"/>
          <w:u w:val="single" w:color="auto"/>
          <w:color w:val="auto"/>
        </w:rPr>
        <w:t>Surviving Person</w:t>
      </w:r>
      <w:r>
        <w:rPr>
          <w:rFonts w:ascii="Arial" w:cs="Arial" w:eastAsia="Arial" w:hAnsi="Arial"/>
          <w:sz w:val="17"/>
          <w:szCs w:val="17"/>
          <w:color w:val="auto"/>
        </w:rPr>
        <w:t xml:space="preserve">”) is a corporation or other entity, validly incorporated or formed and existing in good standing (to the extent the concept of good standing is applicable) (1) under the laws of the State of Delaware or another State of the United States, the United Kingdom, Switzerland or The Kingdom of the Netherlands, (2) under the laws of any other member country of the European Union (but only to the extent that (x) each Lender can legally do business with, and receive Guarantees (and payments in respect thereof) from, an entity organized in such member country and (y) doing business with and receiving Guarantees (and payments in respect thereof) from such entity would not result in any material adverse tax, regulatory or legal consequences to any Lender) or (3) with the consent of all of the Lenders (such consent not to be unreasonably withheld), under the laws of any other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each class of Capital Stock of the Surviving Person issued and outstanding immediately following such action, and giving effect thereto, shall be beneficially owned by substantially the same Persons, in substantially the same percentages, as was the Capital Stock of the entity constituting the Weatherford Parent Company immediately prior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 Change of Control (disregarding the phrase “except as a result of a Redomestication” contained in clause </w:t>
      </w:r>
      <w:r>
        <w:rPr>
          <w:rFonts w:ascii="Arial" w:cs="Arial" w:eastAsia="Arial" w:hAnsi="Arial"/>
          <w:sz w:val="17"/>
          <w:szCs w:val="17"/>
          <w:u w:val="single" w:color="auto"/>
          <w:color w:val="auto"/>
        </w:rPr>
        <w:t>(a)(i)</w:t>
      </w:r>
      <w:r>
        <w:rPr>
          <w:rFonts w:ascii="Arial" w:cs="Arial" w:eastAsia="Arial" w:hAnsi="Arial"/>
          <w:sz w:val="17"/>
          <w:szCs w:val="17"/>
          <w:color w:val="auto"/>
        </w:rPr>
        <w:t xml:space="preserve"> of the definition of “Change of Control” for these purposes) result from any of the actions specified in clauses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above) and (II) the Surviving Person shall have delivered to the Administrative Agent:</w:t>
      </w:r>
    </w:p>
    <w:p>
      <w:pPr>
        <w:spacing w:after="0" w:line="183" w:lineRule="exact"/>
        <w:rPr>
          <w:sz w:val="20"/>
          <w:szCs w:val="20"/>
          <w:color w:val="auto"/>
        </w:rPr>
      </w:pPr>
    </w:p>
    <w:p>
      <w:pPr>
        <w:ind w:left="1320" w:hanging="664"/>
        <w:spacing w:after="0"/>
        <w:tabs>
          <w:tab w:leader="none" w:pos="132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 certificate to the effect that, both before and after giving effect to such transaction, no Default or Event of Default exists;</w:t>
      </w:r>
    </w:p>
    <w:p>
      <w:pPr>
        <w:spacing w:after="0" w:line="225" w:lineRule="exact"/>
        <w:rPr>
          <w:rFonts w:ascii="Arial" w:cs="Arial" w:eastAsia="Arial" w:hAnsi="Arial"/>
          <w:sz w:val="18"/>
          <w:szCs w:val="18"/>
          <w:color w:val="auto"/>
        </w:rPr>
      </w:pPr>
    </w:p>
    <w:p>
      <w:pPr>
        <w:ind w:right="220" w:firstLine="656"/>
        <w:spacing w:after="0" w:line="342" w:lineRule="auto"/>
        <w:tabs>
          <w:tab w:leader="none" w:pos="1327" w:val="left"/>
        </w:tabs>
        <w:numPr>
          <w:ilvl w:val="0"/>
          <w:numId w:val="317"/>
        </w:numPr>
        <w:rPr>
          <w:rFonts w:ascii="Arial" w:cs="Arial" w:eastAsia="Arial" w:hAnsi="Arial"/>
          <w:sz w:val="16"/>
          <w:szCs w:val="16"/>
          <w:color w:val="auto"/>
        </w:rPr>
      </w:pPr>
      <w:r>
        <w:rPr>
          <w:rFonts w:ascii="Arial" w:cs="Arial" w:eastAsia="Arial" w:hAnsi="Arial"/>
          <w:sz w:val="16"/>
          <w:szCs w:val="16"/>
          <w:color w:val="auto"/>
        </w:rPr>
        <w:t>an opinion, reasonably satisfactory in form, scope and substance to the Administrative Agent, of counsel reasonably satisfactory to the Administrative Agent, addressing such matters in connection with the Redomestication as the Administrative Agent or any Lender may reasonably request;</w:t>
      </w:r>
    </w:p>
    <w:p>
      <w:pPr>
        <w:spacing w:after="0" w:line="123" w:lineRule="exact"/>
        <w:rPr>
          <w:rFonts w:ascii="Arial" w:cs="Arial" w:eastAsia="Arial" w:hAnsi="Arial"/>
          <w:sz w:val="16"/>
          <w:szCs w:val="16"/>
          <w:color w:val="auto"/>
        </w:rPr>
      </w:pPr>
    </w:p>
    <w:p>
      <w:pPr>
        <w:ind w:left="1340" w:hanging="684"/>
        <w:spacing w:after="0"/>
        <w:tabs>
          <w:tab w:leader="none" w:pos="13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if applicable, the documents required by </w:t>
      </w:r>
      <w:r>
        <w:rPr>
          <w:rFonts w:ascii="Arial" w:cs="Arial" w:eastAsia="Arial" w:hAnsi="Arial"/>
          <w:sz w:val="18"/>
          <w:szCs w:val="18"/>
          <w:u w:val="single" w:color="auto"/>
          <w:color w:val="auto"/>
        </w:rPr>
        <w:t>Section 8.02(b)</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right="100" w:firstLine="656"/>
        <w:spacing w:after="0" w:line="264" w:lineRule="auto"/>
        <w:tabs>
          <w:tab w:leader="none" w:pos="1313"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if the Surviving Person is the New Weatherford Parent, (A) an instrument whereby such Person unconditionally guarantees the Obligations for the benefit of the Credit Parties and (B) an instrument whereby such Person becomes a party to this Agreement and assumes all rights and obligations hereunder of the entity constituting the Weatherford Parent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Company immediately prior to the transactions described above, in each case in form and substance reasonably satisfactory to the Administrative Agent.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Group</w:t>
      </w:r>
      <w:r>
        <w:rPr>
          <w:rFonts w:ascii="Arial" w:cs="Arial" w:eastAsia="Arial" w:hAnsi="Arial"/>
          <w:sz w:val="18"/>
          <w:szCs w:val="18"/>
          <w:color w:val="auto"/>
        </w:rPr>
        <w:t>” means the Specified Group, the WIL-Ireland Group or the Other Subsidiaries Group,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11.05(b)(iv)</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(respecting reserve requirements), as the same is from time to time in effect, and all official rulings and interpretations thereunder or thereof.</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(respecting eligible securities and margin requirements), as the same is from time to time in effect, and all official rulings and interpretations thereunder or thereof.</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(respecting margin credit extended by banks), as the same is from time to time in effect, and all official rulings and interpretations thereunder or thereof.</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(respecting borrowers who obtain margin credit), as the same is from time to time in effect, and all official rulings and interpretations thereunder or thereof.</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and advisors of such Person and such Person’s Affiliates.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means, at any time, Lenders having Revolving Credit Exposures and unused Commitments representing more than fifty percent (50%) of the sum of the Total Revolving Credit Exposure and unused Commitments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Revolving Credit Exposure of, and unused Commitment of, any Defaulting Lender shall be excluded for purposes of making a determination of Required Lenders.</w:t>
      </w:r>
    </w:p>
    <w:p>
      <w:pPr>
        <w:spacing w:after="0" w:line="166"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Requirement of Law</w:t>
      </w:r>
      <w:r>
        <w:rPr>
          <w:rFonts w:ascii="Arial" w:cs="Arial" w:eastAsia="Arial" w:hAnsi="Arial"/>
          <w:sz w:val="16"/>
          <w:szCs w:val="16"/>
          <w:color w:val="auto"/>
        </w:rPr>
        <w:t>” means, as to any Person,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24"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with respect to any Obligor, any director, any manager, the president, the chief financial officer, the treasurer, the principal accounting officer or any vice president with responsibility for financial or accounting matters of such Obligor, or an individual specifically authorized by the Board of Directors of such Obligor to sign on behalf of such Obligor.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Obligations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4.04(a)</w:t>
      </w:r>
      <w:r>
        <w:rPr>
          <w:rFonts w:ascii="Arial" w:cs="Arial" w:eastAsia="Arial" w:hAnsi="Arial"/>
          <w:sz w:val="18"/>
          <w:szCs w:val="18"/>
          <w:color w:val="auto"/>
        </w:rPr>
        <w:t>.</w:t>
      </w:r>
    </w:p>
    <w:p>
      <w:pPr>
        <w:sectPr>
          <w:pgSz w:w="11900" w:h="16874" w:orient="portrait"/>
          <w:cols w:equalWidth="0" w:num="1">
            <w:col w:w="11420"/>
          </w:cols>
          <w:pgMar w:left="240" w:top="341" w:right="239" w:bottom="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 any dividend or other distribution (whether in cash, securities or other property) on account of any Capital Stock of WIL-Ireland or any Restricted Subsidiary, (b) any payment (whether in cash, securities or other property), including any sinking fund or similar deposit, on account of the purchase, redemption, retirement, acquisition, cancellation or termination of any Capital Stock of WIL-Ireland or any Restricted Subsidiary,</w:t>
      </w:r>
    </w:p>
    <w:p>
      <w:pPr>
        <w:ind w:right="480" w:firstLine="8"/>
        <w:spacing w:after="0" w:line="261" w:lineRule="auto"/>
        <w:tabs>
          <w:tab w:leader="none" w:pos="24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any voluntary Redemption of any Indebtedness prior to the stated maturity thereof or (d) any payment in violation of any subordination terms of any Indebtedness.</w:t>
      </w:r>
    </w:p>
    <w:p>
      <w:pPr>
        <w:spacing w:after="0" w:line="184"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 Basket</w:t>
      </w:r>
      <w:r>
        <w:rPr>
          <w:rFonts w:ascii="Arial" w:cs="Arial" w:eastAsia="Arial" w:hAnsi="Arial"/>
          <w:sz w:val="18"/>
          <w:szCs w:val="18"/>
          <w:color w:val="auto"/>
        </w:rPr>
        <w:t>” means, at any time, an amount equal to 50% of the cumulative amount of Excess Cash Flow of WIL-Ireland and its Restricted Subsidiaries for each Fiscal Quarter ending on or after the RCF Effective Date and prior to such time (taken as one accounting period), commencing with the Fiscal Quarter ending June 30, 2016.</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WIL-Ireland that is not an Unrestricted Subsidiary. For the avoidance of doubt, each Borrower and each Guarantor (other than WIL-Ireland) shall be a Restricted Subsidiary.</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Restrictive Agreement</w:t>
      </w:r>
      <w:r>
        <w:rPr>
          <w:rFonts w:ascii="Arial" w:cs="Arial" w:eastAsia="Arial" w:hAnsi="Arial"/>
          <w:sz w:val="17"/>
          <w:szCs w:val="17"/>
          <w:color w:val="auto"/>
        </w:rPr>
        <w:t>” means any agreement or other arrangement that prohibits, limits, restricts or imposes any condition upon (a) the ability of any Obligor or any Specified Group Member to create, incur or permit to exist any Lien upon any of its property or assets (i) in favor of the Collateral Agent and the other Secured Parties to secure any of the Secured Obligations or (ii) in favor of the Term Loan Agent and the Term Loan Secured Parties to secure any of the Term Loan Obligations or (iii) in favor of the RCF Agent and other holders of the RCF Obligations to secure any of the RCF Obligations or (b) the ability of any Specified Group Member to pay any dividends or other distributions with respect to its Capital Stock to, or to make or repay any loans or advances to, or to Dispose of any assets to, any Obligor or any other Specified Group Member that is located in a Specified Jurisdiction, or, in each case, which requires the consent of any other Person in connection therewith.</w:t>
      </w:r>
    </w:p>
    <w:p>
      <w:pPr>
        <w:spacing w:after="0" w:line="17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xml:space="preserve">” means, with respect to any Lender at any time, the sum of (a) the outstanding principal amount of such Lender’s Revolving Credit Loans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such Lender’s Swingline Exposure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Note</w:t>
      </w:r>
      <w:r>
        <w:rPr>
          <w:rFonts w:ascii="Arial" w:cs="Arial" w:eastAsia="Arial" w:hAnsi="Arial"/>
          <w:sz w:val="18"/>
          <w:szCs w:val="18"/>
          <w:color w:val="auto"/>
        </w:rPr>
        <w:t xml:space="preserve">” means a promissory note made by the Borrowers in favor of a Lender evidencing the Revolving Credit Loans made by such Lender, substantially in the form of </w:t>
      </w:r>
      <w:r>
        <w:rPr>
          <w:rFonts w:ascii="Arial" w:cs="Arial" w:eastAsia="Arial" w:hAnsi="Arial"/>
          <w:sz w:val="18"/>
          <w:szCs w:val="18"/>
          <w:u w:val="single" w:color="auto"/>
          <w:color w:val="auto"/>
        </w:rPr>
        <w:t>Exhibit D-1</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 Ratings Group, a division of McGraw-Hill, Inc., or any successor to the ratings agency business thereof.</w:t>
      </w:r>
    </w:p>
    <w:p>
      <w:pPr>
        <w:spacing w:after="0" w:line="23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the subject or target of any Sanctions (at the time of this Agreement, Crimea, Cuba, Iran, North Korea, Sudan and Syria).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the Hong Kong Monetary Authority, Her Majesty’s Treasury of the United Kingdom, the Australian Department of Foreign Affairs and Trade or any other relevant sanctions authority, (b) any Person operating, organized or resident in a Sanctioned Country or (c) any Person owned or controlled by any such Person or Persons described in the foregoing clauses (a) or (b).</w:t>
      </w:r>
    </w:p>
    <w:p>
      <w:pPr>
        <w:spacing w:after="0" w:line="18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w:t>
      </w:r>
    </w:p>
    <w:p>
      <w:pPr>
        <w:spacing w:after="0" w:line="23" w:lineRule="exact"/>
        <w:rPr>
          <w:sz w:val="20"/>
          <w:szCs w:val="20"/>
          <w:color w:val="auto"/>
        </w:rPr>
      </w:pPr>
    </w:p>
    <w:p>
      <w:pPr>
        <w:jc w:val="both"/>
        <w:ind w:right="260"/>
        <w:spacing w:after="0" w:line="277" w:lineRule="auto"/>
        <w:rPr>
          <w:sz w:val="20"/>
          <w:szCs w:val="20"/>
          <w:color w:val="auto"/>
        </w:rPr>
      </w:pPr>
      <w:r>
        <w:rPr>
          <w:rFonts w:ascii="Arial" w:cs="Arial" w:eastAsia="Arial" w:hAnsi="Arial"/>
          <w:sz w:val="17"/>
          <w:szCs w:val="17"/>
          <w:color w:val="auto"/>
        </w:rPr>
        <w:t>U.S. government, including those administered by the Office of Foreign Assets Control of the U.S. Department of the Treasury or the U.S. Department of State or (b) the United Nations Security Council, the European Union, Her Majesty’s Treasury of the United Kingdom, any European Union member state, the Hong Kong Monetary Authority, the Australian Commonwealth Government or any other relevant sanctions authority.</w:t>
      </w:r>
    </w:p>
    <w:p>
      <w:pPr>
        <w:spacing w:after="0" w:line="173"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or any governmental authority succeeding to the functions of said Commission.</w:t>
      </w:r>
    </w:p>
    <w:p>
      <w:pPr>
        <w:spacing w:after="0" w:line="1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Obligations</w:t>
      </w:r>
      <w:r>
        <w:rPr>
          <w:rFonts w:ascii="Arial" w:cs="Arial" w:eastAsia="Arial" w:hAnsi="Arial"/>
          <w:sz w:val="16"/>
          <w:szCs w:val="16"/>
          <w:color w:val="auto"/>
        </w:rPr>
        <w:t xml:space="preserve">” means (a) the Borrowers’ obligations to repay all unpaid principal of the Loans, (b) all Obligations (including Obligations described in any other clause of this definition) constituting Current Liabilities (including, without limitation, accrued and unpaid interest on the Loans and accrued and unpaid fees and expenses, reimbursements and indemnities (including interest and fees accruing during the pendency of any bankruptcy, insolvency, administration, examinership, receivership or other similar proceeding, regardless of whether allowed or allowable in such proceeding) owing under this Agreement or any of the Loan Documents, in each case under this clause (b), to the extent constituting Current Liabilities), and (c) to the extent not constituting Debt (as defined in each of the Existing Senior Notes Indentures), (i) all Obligations (including Obligations described in any other clause of this definition) and (ii) all Swap Obligations and Banking Services Obligations owing to one or more Lenders or their respective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“Secured Obligations” shall not include, with respect to any Obligor, any Excluded Swap Obligations of such Obligor.</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Obligor</w:t>
      </w:r>
      <w:r>
        <w:rPr>
          <w:rFonts w:ascii="Arial" w:cs="Arial" w:eastAsia="Arial" w:hAnsi="Arial"/>
          <w:sz w:val="18"/>
          <w:szCs w:val="18"/>
          <w:color w:val="auto"/>
        </w:rPr>
        <w:t xml:space="preserve">” means, at any time, any Eligible Current Assets Collateral Grantor that has granted Liens on Collateral to secure the Secured Obligations on the Effective Date, as required by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or at WIL-Bermuda’s election in accordance with </w:t>
      </w:r>
      <w:r>
        <w:rPr>
          <w:rFonts w:ascii="Arial" w:cs="Arial" w:eastAsia="Arial" w:hAnsi="Arial"/>
          <w:sz w:val="18"/>
          <w:szCs w:val="18"/>
          <w:u w:val="single" w:color="auto"/>
          <w:color w:val="auto"/>
        </w:rPr>
        <w:t>Section 7.08</w:t>
      </w:r>
      <w:r>
        <w:rPr>
          <w:rFonts w:ascii="Arial" w:cs="Arial" w:eastAsia="Arial" w:hAnsi="Arial"/>
          <w:sz w:val="18"/>
          <w:szCs w:val="18"/>
          <w:color w:val="auto"/>
        </w:rPr>
        <w:t>, in each case, to the extent that such Eligible Current Assets Collateral Grantor has any such Liens in effect at such time.</w:t>
      </w:r>
    </w:p>
    <w:p>
      <w:pPr>
        <w:spacing w:after="0" w:line="181"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the holders of the Secured Obligations from time to time and shall include (i) each Lender in respect of its Loans, (ii) the Administrative Agent, the Collateral Agent and the Lenders in respect of all other present and future obligations and liabilities constituting Secured Obligations of WIL-Ireland and each Restricted Subsidiary of every type and description arising under or in connection with this Agreement or any other Loan Document, (iii) each Lender and Affiliate of such Lender in respect of Swap Obligations and Banking Services Obligations constituting Secured Obligations entered into with such Person by WIL-</w:t>
      </w:r>
    </w:p>
    <w:p>
      <w:pPr>
        <w:sectPr>
          <w:pgSz w:w="11900" w:h="16838" w:orient="portrait"/>
          <w:cols w:equalWidth="0" w:num="1">
            <w:col w:w="11420"/>
          </w:cols>
          <w:pgMar w:left="240" w:top="341" w:right="239" w:bottom="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Ireland or any Restricted Subsidiary, (iv) each Indemnitee in respect of the obligations and liabilities constituting Secured Obligations of the Borrowers to such Person hereunder and under the other Loan Documents, and (v) their respective successors and (in the case of a Lender, permitted) transferees and assigns.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Agreements</w:t>
      </w:r>
      <w:r>
        <w:rPr>
          <w:rFonts w:ascii="Arial" w:cs="Arial" w:eastAsia="Arial" w:hAnsi="Arial"/>
          <w:sz w:val="18"/>
          <w:szCs w:val="18"/>
          <w:color w:val="auto"/>
        </w:rPr>
        <w:t>” means, collectively, (a) the US Security Agreement and (b) any other security agreement, charge or other similar agreement (in form and substance satisfactory to the Collateral Agent and the Administrative Agent) in favor of the Collateral Agent for the benefit of itself and the other Secured Parties, in any such case, pursuant to which any Secured Obligor grants Liens on the property of such Secured Obligor to secure the Secured Obligations.</w:t>
      </w:r>
    </w:p>
    <w:p>
      <w:pPr>
        <w:spacing w:after="0" w:line="187" w:lineRule="exact"/>
        <w:rPr>
          <w:sz w:val="20"/>
          <w:szCs w:val="20"/>
          <w:color w:val="auto"/>
        </w:rPr>
      </w:pPr>
    </w:p>
    <w:p>
      <w:pPr>
        <w:ind w:right="20" w:firstLine="689"/>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means, in reference to any Person as of any date, (i) the fair value of the assets of such Person, at a fair valuation, will, as of such date, exceed its debts and liabilities (subordinated, contingent or otherwise); (ii) the present fair saleable value of the property of such Person will, as of such date, be greater than the amount that will be required to pay the probable liability of its debts and other liabilities (subordinated, contingent or otherwise), as such debts and other liabilities become absolute and matured; (iii) such Person will, as of such date, be able to pay its debts and liabilities (subordinated, contingent or otherwise), as such debts and liabilities become absolute and matured; and (iv) such Person will not, as of such date, have unreasonably small capital with which to conduct the business in which it is engaged as such business is now conducted and is proposed to be conducted after the Effective Date.</w:t>
      </w:r>
    </w:p>
    <w:p>
      <w:pPr>
        <w:spacing w:after="0" w:line="16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Asset Coverage Ratio</w:t>
      </w:r>
      <w:r>
        <w:rPr>
          <w:rFonts w:ascii="Arial" w:cs="Arial" w:eastAsia="Arial" w:hAnsi="Arial"/>
          <w:sz w:val="18"/>
          <w:szCs w:val="18"/>
          <w:color w:val="auto"/>
        </w:rPr>
        <w:t>” means, as of any date of determination, the ratio of (a) Total Specified Asset Value as of such date to (b) Specified Senior Indebtedness as of such date.</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Consolidated Adjusted EBITDA</w:t>
      </w:r>
      <w:r>
        <w:rPr>
          <w:rFonts w:ascii="Arial" w:cs="Arial" w:eastAsia="Arial" w:hAnsi="Arial"/>
          <w:sz w:val="18"/>
          <w:szCs w:val="18"/>
          <w:color w:val="auto"/>
        </w:rPr>
        <w:t>” means, with respect to any period, the Consolidated Adjusted EBITDA of the Specified Group for such period, adjusted as necessary to exclude amounts attributable to WIL-Bermuda and WIL-Delaware.</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Event of Default</w:t>
      </w:r>
      <w:r>
        <w:rPr>
          <w:rFonts w:ascii="Arial" w:cs="Arial" w:eastAsia="Arial" w:hAnsi="Arial"/>
          <w:sz w:val="18"/>
          <w:szCs w:val="18"/>
          <w:color w:val="auto"/>
        </w:rPr>
        <w:t xml:space="preserve">” means an Event of Default pursuant to clauses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(but only as a result of a breach of a Financial Covenant), </w:t>
      </w:r>
      <w:r>
        <w:rPr>
          <w:rFonts w:ascii="Arial" w:cs="Arial" w:eastAsia="Arial" w:hAnsi="Arial"/>
          <w:sz w:val="18"/>
          <w:szCs w:val="18"/>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(l)</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Group</w:t>
      </w:r>
      <w:r>
        <w:rPr>
          <w:rFonts w:ascii="Arial" w:cs="Arial" w:eastAsia="Arial" w:hAnsi="Arial"/>
          <w:sz w:val="18"/>
          <w:szCs w:val="18"/>
          <w:color w:val="auto"/>
        </w:rPr>
        <w:t>” mean, collectively, the Specified Obligors and their Restricted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Group Member</w:t>
      </w:r>
      <w:r>
        <w:rPr>
          <w:rFonts w:ascii="Arial" w:cs="Arial" w:eastAsia="Arial" w:hAnsi="Arial"/>
          <w:sz w:val="18"/>
          <w:szCs w:val="18"/>
          <w:color w:val="auto"/>
        </w:rPr>
        <w:t>” means any member of the Specified Group.</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Jurisdiction</w:t>
      </w:r>
      <w:r>
        <w:rPr>
          <w:rFonts w:ascii="Arial" w:cs="Arial" w:eastAsia="Arial" w:hAnsi="Arial"/>
          <w:sz w:val="18"/>
          <w:szCs w:val="18"/>
          <w:color w:val="auto"/>
        </w:rPr>
        <w:t xml:space="preserve">” means the United States of America (or any state thereof), Canada (or any province or territory thereof), the United Kingdom, Ireland, Switzerland, Luxembourg, Bermuda, the British Virgin Islands, the Netherlands, Argentina, Australia, Norway, Hungary, Panama and certain other jurisdictions to be identified from time to time by the Administrative Agent in accordance with </w:t>
      </w:r>
      <w:r>
        <w:rPr>
          <w:rFonts w:ascii="Arial" w:cs="Arial" w:eastAsia="Arial" w:hAnsi="Arial"/>
          <w:sz w:val="18"/>
          <w:szCs w:val="18"/>
          <w:u w:val="single" w:color="auto"/>
          <w:color w:val="auto"/>
        </w:rPr>
        <w:t>Section 7.08(b)</w:t>
      </w:r>
      <w:r>
        <w:rPr>
          <w:rFonts w:ascii="Arial" w:cs="Arial" w:eastAsia="Arial" w:hAnsi="Arial"/>
          <w:sz w:val="18"/>
          <w:szCs w:val="18"/>
          <w:color w:val="auto"/>
        </w:rPr>
        <w:t>. In no event shall any Excluded Jurisdiction be or become a Specified Jurisdiction.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Letter of Credit</w:t>
      </w:r>
      <w:r>
        <w:rPr>
          <w:rFonts w:ascii="Arial" w:cs="Arial" w:eastAsia="Arial" w:hAnsi="Arial"/>
          <w:sz w:val="18"/>
          <w:szCs w:val="18"/>
          <w:color w:val="auto"/>
        </w:rPr>
        <w:t>” means any standby letter of credit, bank guaranty or similar instrument that (a) has been issued for the account of any Specified Group Member or (b) with respect to which any Specified Group Member is otherwise required to reimburse the issuing institution for any amounts drawn on such letter or credit or otherwise provide any guarantee with respect to such letter of credit.</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Leverage and LC Ratio</w:t>
      </w:r>
      <w:r>
        <w:rPr>
          <w:rFonts w:ascii="Arial" w:cs="Arial" w:eastAsia="Arial" w:hAnsi="Arial"/>
          <w:sz w:val="18"/>
          <w:szCs w:val="18"/>
          <w:color w:val="auto"/>
        </w:rPr>
        <w:t xml:space="preserve">” means, as of the last day of any Fiscal Quarter, the ratio of (a) the sum of (i) Specified Senior Indebtedness as of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undrawn amount of all Specified Letters of Credit as of such date,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(iii) the aggregate amount of all Cash Collateralized LC Exposure in respect of all Specified Letters of Credit as of such date to (b) Specified Consolidated Adjusted EBITDA for the Testing Period ending on such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Obligor</w:t>
      </w:r>
      <w:r>
        <w:rPr>
          <w:rFonts w:ascii="Arial" w:cs="Arial" w:eastAsia="Arial" w:hAnsi="Arial"/>
          <w:sz w:val="18"/>
          <w:szCs w:val="18"/>
          <w:color w:val="auto"/>
        </w:rPr>
        <w:t>” means any Obligor other than WIL-Ireland, WIL-Bermuda and WIL-Delaware.</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Senior Indebtedness</w:t>
      </w:r>
      <w:r>
        <w:rPr>
          <w:rFonts w:ascii="Arial" w:cs="Arial" w:eastAsia="Arial" w:hAnsi="Arial"/>
          <w:sz w:val="18"/>
          <w:szCs w:val="18"/>
          <w:color w:val="auto"/>
        </w:rPr>
        <w:t xml:space="preserve">” means, as of any date of determination, the aggregate principal amount of all Funded Indebtedness (which, for purposes of </w:t>
      </w:r>
      <w:r>
        <w:rPr>
          <w:rFonts w:ascii="Arial" w:cs="Arial" w:eastAsia="Arial" w:hAnsi="Arial"/>
          <w:sz w:val="18"/>
          <w:szCs w:val="18"/>
          <w:u w:val="single" w:color="auto"/>
          <w:color w:val="auto"/>
        </w:rPr>
        <w:t>Section 8.01(j)</w:t>
      </w:r>
      <w:r>
        <w:rPr>
          <w:rFonts w:ascii="Arial" w:cs="Arial" w:eastAsia="Arial" w:hAnsi="Arial"/>
          <w:sz w:val="18"/>
          <w:szCs w:val="18"/>
          <w:color w:val="auto"/>
        </w:rPr>
        <w:t xml:space="preserve"> only, shall also include Indebtedness of the type described in clause (c) of the definition of Indebtedness) of the Specified Group as of such date, other than Funded Indebtedness of WIL-Bermuda and WIL-Delaware (but, for the avoidance of doubt, including any Funded Indebtedness consisting of Guarantees by Specified Group Members (other than WIL-Bermuda and WIL-Delaware) of Funded Indebtedness of WIL-Bermuda and WIL-Delaware).</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Senior Leverage Ratio</w:t>
      </w:r>
      <w:r>
        <w:rPr>
          <w:rFonts w:ascii="Arial" w:cs="Arial" w:eastAsia="Arial" w:hAnsi="Arial"/>
          <w:sz w:val="18"/>
          <w:szCs w:val="18"/>
          <w:color w:val="auto"/>
        </w:rPr>
        <w:t>” means, as of the last day of any Fiscal Quarter, the ratio of (a) Specified Senior Indebtedness as of such date to (b) Specified Consolidated Adjusted EBITDA for the Testing Period ending on such date.</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Swap Obligation</w:t>
      </w:r>
      <w:r>
        <w:rPr>
          <w:rFonts w:ascii="Arial" w:cs="Arial" w:eastAsia="Arial" w:hAnsi="Arial"/>
          <w:sz w:val="16"/>
          <w:szCs w:val="16"/>
          <w:color w:val="auto"/>
        </w:rPr>
        <w:t>” means, with respect to any Obligor, any obligation to pay or perform under any agreement, contract or transaction that constitutes a “swap” within the meaning of Section 1a(47) of the Commodity Exchange Act or any rules or regulations promulgated thereunder.</w:t>
      </w:r>
    </w:p>
    <w:p>
      <w:pPr>
        <w:spacing w:after="0" w:line="12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of the Board). Such reserve percentages shall include those imposed pursuant to such Regulation D of the Board. Eurodollar Loans shall be deemed to constitute eurocurrency funding and to be subject to such reserve requirements without benefit of or credit for proration, exemptions or offsets that may be available from time to time to any Lender under such Regulation D of the Board or any comparable regulation. The Statutory Reserve Rate shall be adjusted automatically on and as of the effective date of any change in any reserve percentage.</w:t>
      </w:r>
    </w:p>
    <w:p>
      <w:pPr>
        <w:spacing w:after="0" w:line="178"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w:t>
      </w:r>
      <w:r>
        <w:rPr>
          <w:rFonts w:ascii="Arial" w:cs="Arial" w:eastAsia="Arial" w:hAnsi="Arial"/>
          <w:sz w:val="18"/>
          <w:szCs w:val="18"/>
          <w:color w:val="auto"/>
        </w:rPr>
        <w:t>” means with respect to any Indebtedness or Guarantee of Indebtedness, that such Indebtedness or Guarantee is contractually subordinated to the Obligations on terms</w:t>
      </w:r>
    </w:p>
    <w:p>
      <w:pPr>
        <w:sectPr>
          <w:pgSz w:w="11900" w:h="16838" w:orient="portrait"/>
          <w:cols w:equalWidth="0" w:num="1">
            <w:col w:w="11420"/>
          </w:cols>
          <w:pgMar w:left="240" w:top="125" w:right="239" w:bottom="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acceptable to the Administrative Agent after taking into consideration such factors as the Administrative Agent may deem relevant to such determination.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Indebtedness that is Subordinated.</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 Person means (a) a company or corporation a majority of whose Voting Stock is at the time, directly or indirectly, owned by such Person, by one or more subsidiaries of such Person or by such Person and one or more subsidiaries of such Person, (b) a partnership in which such Person or one or more subsidiaries of such Person is, at the date of determination, a general partner or (c) any other Person (other than a corporation or partnership) in which such Person, directly or indirectly, at the date of determination thereof, has (i) at least a majority ownership interest or (ii) the power to elect or direct the election of a majority of the directors or other governing body of such Person. Unless the context otherwise clearly requires, references in this Agreement to a “Subsidiary” or the “Subsidiaries” refer to a Subsidiary or the Subsidiaries of WIL-Ireland.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Person</w:t>
      </w:r>
      <w:r>
        <w:rPr>
          <w:rFonts w:ascii="Arial" w:cs="Arial" w:eastAsia="Arial" w:hAnsi="Arial"/>
          <w:sz w:val="18"/>
          <w:szCs w:val="18"/>
          <w:color w:val="auto"/>
        </w:rPr>
        <w:t>” has the meaning specified in the definition of “</w:t>
      </w:r>
      <w:r>
        <w:rPr>
          <w:rFonts w:ascii="Arial" w:cs="Arial" w:eastAsia="Arial" w:hAnsi="Arial"/>
          <w:sz w:val="18"/>
          <w:szCs w:val="18"/>
          <w:u w:val="single" w:color="auto"/>
          <w:color w:val="auto"/>
        </w:rPr>
        <w:t>Redomestication</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WIL-Ireland or its Subsidiaries shall be a Swap Agreement. Notwithstanding anything to the contrary set forth herein, Angolan Bond Investments shall be deemed to be Swap Agreements.</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any and all obligations of WIL-Ireland or any Restricted Subsidiary,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Borrowing</w:t>
      </w:r>
      <w:r>
        <w:rPr>
          <w:rFonts w:ascii="Arial" w:cs="Arial" w:eastAsia="Arial" w:hAnsi="Arial"/>
          <w:sz w:val="18"/>
          <w:szCs w:val="18"/>
          <w:color w:val="auto"/>
        </w:rPr>
        <w:t xml:space="preserve">” means a borrowing of a Swingline Loan pursuant to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Borrowing Request</w:t>
      </w:r>
      <w:r>
        <w:rPr>
          <w:rFonts w:ascii="Arial" w:cs="Arial" w:eastAsia="Arial" w:hAnsi="Arial"/>
          <w:sz w:val="18"/>
          <w:szCs w:val="18"/>
          <w:color w:val="auto"/>
        </w:rPr>
        <w:t xml:space="preserve">” means a request by a Borrower for a Swingline Loan in accordance with </w:t>
      </w:r>
      <w:r>
        <w:rPr>
          <w:rFonts w:ascii="Arial" w:cs="Arial" w:eastAsia="Arial" w:hAnsi="Arial"/>
          <w:sz w:val="18"/>
          <w:szCs w:val="18"/>
          <w:u w:val="single" w:color="auto"/>
          <w:color w:val="auto"/>
        </w:rPr>
        <w:t>Section 2.03(b)</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with respect to any Lender at any time, such Lender’s Applicable Percentage of the aggregate principal amount of all Swingline Loans outstanding at such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Lender</w:t>
      </w:r>
      <w:r>
        <w:rPr>
          <w:rFonts w:ascii="Arial" w:cs="Arial" w:eastAsia="Arial" w:hAnsi="Arial"/>
          <w:sz w:val="16"/>
          <w:szCs w:val="16"/>
          <w:color w:val="auto"/>
        </w:rPr>
        <w:t>” means JPMorgan, in its capacity as a provider of Swingline Loans, or any additional or successor Swingline Lender hereunder.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2.03(a)</w:t>
      </w:r>
      <w:r>
        <w:rPr>
          <w:rFonts w:ascii="Arial" w:cs="Arial" w:eastAsia="Arial" w:hAnsi="Arial"/>
          <w:sz w:val="18"/>
          <w:szCs w:val="18"/>
          <w:color w:val="auto"/>
        </w:rPr>
        <w: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Note</w:t>
      </w:r>
      <w:r>
        <w:rPr>
          <w:rFonts w:ascii="Arial" w:cs="Arial" w:eastAsia="Arial" w:hAnsi="Arial"/>
          <w:sz w:val="18"/>
          <w:szCs w:val="18"/>
          <w:color w:val="auto"/>
        </w:rPr>
        <w:t xml:space="preserve">” means a promissory note made by the Borrowers in favor of a Swingline Lender evidencing the Swingline Loans made by such Swingline Lender, substantially in the form of </w:t>
      </w:r>
      <w:r>
        <w:rPr>
          <w:rFonts w:ascii="Arial" w:cs="Arial" w:eastAsia="Arial" w:hAnsi="Arial"/>
          <w:sz w:val="18"/>
          <w:szCs w:val="18"/>
          <w:u w:val="single" w:color="auto"/>
          <w:color w:val="auto"/>
        </w:rPr>
        <w:t>Exhibit D-2</w:t>
      </w:r>
      <w:r>
        <w:rPr>
          <w:rFonts w:ascii="Arial" w:cs="Arial" w:eastAsia="Arial" w:hAnsi="Arial"/>
          <w:sz w:val="18"/>
          <w:szCs w:val="18"/>
          <w:color w:val="auto"/>
        </w:rPr>
        <w:t>.</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Sublimit</w:t>
      </w:r>
      <w:r>
        <w:rPr>
          <w:rFonts w:ascii="Arial" w:cs="Arial" w:eastAsia="Arial" w:hAnsi="Arial"/>
          <w:sz w:val="18"/>
          <w:szCs w:val="18"/>
          <w:color w:val="auto"/>
        </w:rPr>
        <w:t>” means, with respect to each Swingline Lender at any time, an amount equal to the lesser of (i) $50,000,000 and (ii) the Aggregate Commitments at such time. The Swingline Sublimit of each Swingline Lender is part of, and not in addition to, the Aggregate Commitments at any time.</w:t>
      </w:r>
    </w:p>
    <w:p>
      <w:pPr>
        <w:spacing w:after="0" w:line="181"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Borrower</w:t>
      </w:r>
      <w:r>
        <w:rPr>
          <w:rFonts w:ascii="Arial" w:cs="Arial" w:eastAsia="Arial" w:hAnsi="Arial"/>
          <w:sz w:val="18"/>
          <w:szCs w:val="18"/>
          <w:color w:val="auto"/>
        </w:rPr>
        <w:t>” means any Borrower organized under the laws of Switzerland or, if different, deemed resident in Switzerland for Swiss Withholding Tax purposes.</w:t>
      </w:r>
    </w:p>
    <w:p>
      <w:pPr>
        <w:spacing w:after="0" w:line="17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Guarantor</w:t>
      </w:r>
      <w:r>
        <w:rPr>
          <w:rFonts w:ascii="Arial" w:cs="Arial" w:eastAsia="Arial" w:hAnsi="Arial"/>
          <w:sz w:val="18"/>
          <w:szCs w:val="18"/>
          <w:color w:val="auto"/>
        </w:rPr>
        <w:t>” means any Guarantor organized under the laws of Switzerland or, if different, deemed resident in Switzerland for Swiss Withholding Tax purposes.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Swiss Guidelines</w:t>
      </w:r>
      <w:r>
        <w:rPr>
          <w:rFonts w:ascii="Arial" w:cs="Arial" w:eastAsia="Arial" w:hAnsi="Arial"/>
          <w:sz w:val="16"/>
          <w:szCs w:val="16"/>
          <w:color w:val="auto"/>
        </w:rPr>
        <w:t>” means, together, the guidelines S-02.122.1 in relation to bonds of April 1999 as issued by the Swiss Federal Tax Administration (</w:t>
      </w:r>
      <w:r>
        <w:rPr>
          <w:rFonts w:ascii="Arial" w:cs="Arial" w:eastAsia="Arial" w:hAnsi="Arial"/>
          <w:sz w:val="16"/>
          <w:szCs w:val="16"/>
          <w:i w:val="1"/>
          <w:iCs w:val="1"/>
          <w:color w:val="auto"/>
        </w:rPr>
        <w:t>Merkblatt S-02.122.1 vom April 1999 betreffend “Obligationen”</w:t>
      </w:r>
      <w:r>
        <w:rPr>
          <w:rFonts w:ascii="Arial" w:cs="Arial" w:eastAsia="Arial" w:hAnsi="Arial"/>
          <w:sz w:val="16"/>
          <w:szCs w:val="16"/>
          <w:color w:val="auto"/>
        </w:rPr>
        <w:t>), S-02.123 in relation to interbank transactions of 22 September 1986 as issued by the Swiss Federal Tax Administration (</w:t>
      </w:r>
      <w:r>
        <w:rPr>
          <w:rFonts w:ascii="Arial" w:cs="Arial" w:eastAsia="Arial" w:hAnsi="Arial"/>
          <w:sz w:val="16"/>
          <w:szCs w:val="16"/>
          <w:i w:val="1"/>
          <w:iCs w:val="1"/>
          <w:color w:val="auto"/>
        </w:rPr>
        <w:t>Merkblatt S-02.123 vom 22 September 1986 betreffend Zinsen von Bankguthaben, deren Gläubiger Banken sind</w:t>
      </w:r>
      <w:r>
        <w:rPr>
          <w:rFonts w:ascii="Arial" w:cs="Arial" w:eastAsia="Arial" w:hAnsi="Arial"/>
          <w:sz w:val="16"/>
          <w:szCs w:val="16"/>
          <w:color w:val="auto"/>
        </w:rPr>
        <w:t xml:space="preserve"> </w:t>
      </w:r>
      <w:r>
        <w:rPr>
          <w:rFonts w:ascii="Arial" w:cs="Arial" w:eastAsia="Arial" w:hAnsi="Arial"/>
          <w:sz w:val="16"/>
          <w:szCs w:val="16"/>
          <w:i w:val="1"/>
          <w:iCs w:val="1"/>
          <w:color w:val="auto"/>
        </w:rPr>
        <w:t>(Interbankguthaben)</w:t>
      </w:r>
      <w:r>
        <w:rPr>
          <w:rFonts w:ascii="Arial" w:cs="Arial" w:eastAsia="Arial" w:hAnsi="Arial"/>
          <w:sz w:val="16"/>
          <w:szCs w:val="16"/>
          <w:color w:val="auto"/>
        </w:rPr>
        <w:t>), S-02.128 in relation to syndicated credit facilities of January 2000 (</w:t>
      </w:r>
      <w:r>
        <w:rPr>
          <w:rFonts w:ascii="Arial" w:cs="Arial" w:eastAsia="Arial" w:hAnsi="Arial"/>
          <w:sz w:val="16"/>
          <w:szCs w:val="16"/>
          <w:i w:val="1"/>
          <w:iCs w:val="1"/>
          <w:color w:val="auto"/>
        </w:rPr>
        <w:t>Merkblatt S-02.128 vom Januar 2000 “Steuerliche Behandlung von Konsortialdarlehen, Schuldscheindarlehen, Wechseln und Unterbeteiligungen”</w:t>
      </w:r>
      <w:r>
        <w:rPr>
          <w:rFonts w:ascii="Arial" w:cs="Arial" w:eastAsia="Arial" w:hAnsi="Arial"/>
          <w:sz w:val="16"/>
          <w:szCs w:val="16"/>
          <w:color w:val="auto"/>
        </w:rPr>
        <w:t>), S-02.130.1 in relation to money market instruments and book claims of</w:t>
      </w:r>
      <w:r>
        <w:rPr>
          <w:rFonts w:ascii="Arial" w:cs="Arial" w:eastAsia="Arial" w:hAnsi="Arial"/>
          <w:sz w:val="16"/>
          <w:szCs w:val="16"/>
          <w:i w:val="1"/>
          <w:iCs w:val="1"/>
          <w:color w:val="auto"/>
        </w:rPr>
        <w:t xml:space="preserve"> </w:t>
      </w:r>
      <w:r>
        <w:rPr>
          <w:rFonts w:ascii="Arial" w:cs="Arial" w:eastAsia="Arial" w:hAnsi="Arial"/>
          <w:sz w:val="16"/>
          <w:szCs w:val="16"/>
          <w:color w:val="auto"/>
        </w:rPr>
        <w:t>April 1999 (</w:t>
      </w:r>
      <w:r>
        <w:rPr>
          <w:rFonts w:ascii="Arial" w:cs="Arial" w:eastAsia="Arial" w:hAnsi="Arial"/>
          <w:sz w:val="16"/>
          <w:szCs w:val="16"/>
          <w:i w:val="1"/>
          <w:iCs w:val="1"/>
          <w:color w:val="auto"/>
        </w:rPr>
        <w:t>Merkblatt S-02.130.1 vom April 1999 “Geldmarktpapiere und Buchforderungen inländischer Schuldner”</w:t>
      </w:r>
      <w:r>
        <w:rPr>
          <w:rFonts w:ascii="Arial" w:cs="Arial" w:eastAsia="Arial" w:hAnsi="Arial"/>
          <w:sz w:val="16"/>
          <w:szCs w:val="16"/>
          <w:color w:val="auto"/>
        </w:rPr>
        <w:t>), the circular letter No. 15 (</w:t>
      </w:r>
      <w:r>
        <w:rPr>
          <w:rFonts w:ascii="Arial" w:cs="Arial" w:eastAsia="Arial" w:hAnsi="Arial"/>
          <w:sz w:val="16"/>
          <w:szCs w:val="16"/>
          <w:i w:val="1"/>
          <w:iCs w:val="1"/>
          <w:color w:val="auto"/>
        </w:rPr>
        <w:t>1-015-DVS-2017</w:t>
      </w:r>
      <w:r>
        <w:rPr>
          <w:rFonts w:ascii="Arial" w:cs="Arial" w:eastAsia="Arial" w:hAnsi="Arial"/>
          <w:sz w:val="16"/>
          <w:szCs w:val="16"/>
          <w:color w:val="auto"/>
        </w:rPr>
        <w:t>) of 3 October 2017 in relation to bonds and derivative financial instruments as subject matter of taxation of Swiss federal income tax, Swiss withholding</w:t>
      </w:r>
      <w:r>
        <w:rPr>
          <w:rFonts w:ascii="Arial" w:cs="Arial" w:eastAsia="Arial" w:hAnsi="Arial"/>
          <w:sz w:val="16"/>
          <w:szCs w:val="16"/>
          <w:i w:val="1"/>
          <w:iCs w:val="1"/>
          <w:color w:val="auto"/>
        </w:rPr>
        <w:t xml:space="preserve"> </w:t>
      </w:r>
      <w:r>
        <w:rPr>
          <w:rFonts w:ascii="Arial" w:cs="Arial" w:eastAsia="Arial" w:hAnsi="Arial"/>
          <w:sz w:val="16"/>
          <w:szCs w:val="16"/>
          <w:color w:val="auto"/>
        </w:rPr>
        <w:t>tax and Swiss stamp taxes (</w:t>
      </w:r>
      <w:r>
        <w:rPr>
          <w:rFonts w:ascii="Arial" w:cs="Arial" w:eastAsia="Arial" w:hAnsi="Arial"/>
          <w:sz w:val="16"/>
          <w:szCs w:val="16"/>
          <w:i w:val="1"/>
          <w:iCs w:val="1"/>
          <w:color w:val="auto"/>
        </w:rPr>
        <w:t>Kreisschreiben Nr. 15 “Obligationen und derivative Finanzinstrumente als Gegenstand der direkten Bundessteuer, der</w:t>
      </w:r>
      <w:r>
        <w:rPr>
          <w:rFonts w:ascii="Arial" w:cs="Arial" w:eastAsia="Arial" w:hAnsi="Arial"/>
          <w:sz w:val="16"/>
          <w:szCs w:val="16"/>
          <w:color w:val="auto"/>
        </w:rPr>
        <w:t xml:space="preserve"> </w:t>
      </w:r>
      <w:r>
        <w:rPr>
          <w:rFonts w:ascii="Arial" w:cs="Arial" w:eastAsia="Arial" w:hAnsi="Arial"/>
          <w:sz w:val="16"/>
          <w:szCs w:val="16"/>
          <w:i w:val="1"/>
          <w:iCs w:val="1"/>
          <w:color w:val="auto"/>
        </w:rPr>
        <w:t>Verrechnungssteuer und der Stempelabgaben” vom 3. Oktober 2017</w:t>
      </w:r>
      <w:r>
        <w:rPr>
          <w:rFonts w:ascii="Arial" w:cs="Arial" w:eastAsia="Arial" w:hAnsi="Arial"/>
          <w:sz w:val="16"/>
          <w:szCs w:val="16"/>
          <w:color w:val="auto"/>
        </w:rPr>
        <w:t>) and the circular letter No. 34 of 26 July 2011 (</w:t>
      </w:r>
      <w:r>
        <w:rPr>
          <w:rFonts w:ascii="Arial" w:cs="Arial" w:eastAsia="Arial" w:hAnsi="Arial"/>
          <w:sz w:val="16"/>
          <w:szCs w:val="16"/>
          <w:i w:val="1"/>
          <w:iCs w:val="1"/>
          <w:color w:val="auto"/>
        </w:rPr>
        <w:t>1-034-V-2011</w:t>
      </w:r>
      <w:r>
        <w:rPr>
          <w:rFonts w:ascii="Arial" w:cs="Arial" w:eastAsia="Arial" w:hAnsi="Arial"/>
          <w:sz w:val="16"/>
          <w:szCs w:val="16"/>
          <w:color w:val="auto"/>
        </w:rPr>
        <w:t>) in relation to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credit balances (</w:t>
      </w:r>
      <w:r>
        <w:rPr>
          <w:rFonts w:ascii="Arial" w:cs="Arial" w:eastAsia="Arial" w:hAnsi="Arial"/>
          <w:sz w:val="16"/>
          <w:szCs w:val="16"/>
          <w:i w:val="1"/>
          <w:iCs w:val="1"/>
          <w:color w:val="auto"/>
        </w:rPr>
        <w:t>Kreisschreiben Nr. 34 “Kundenguthaben” vom 26. Juli 2011</w:t>
      </w:r>
      <w:r>
        <w:rPr>
          <w:rFonts w:ascii="Arial" w:cs="Arial" w:eastAsia="Arial" w:hAnsi="Arial"/>
          <w:sz w:val="16"/>
          <w:szCs w:val="16"/>
          <w:color w:val="auto"/>
        </w:rPr>
        <w:t>) as issued, and as amended or replaced from time to time by the Swiss Federal Tax Administration, or as applied in accordance with a tax ruling (if any) issued by the Swiss Federal Tax Administration, or as substituted or superseded and overruled by any law, statute, ordinance, regulation, court decision or the like as in force from time to time.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Obligor</w:t>
      </w:r>
      <w:r>
        <w:rPr>
          <w:rFonts w:ascii="Arial" w:cs="Arial" w:eastAsia="Arial" w:hAnsi="Arial"/>
          <w:sz w:val="18"/>
          <w:szCs w:val="18"/>
          <w:color w:val="auto"/>
        </w:rPr>
        <w:t>” means a Swiss Borrower or a Swiss Guarantor.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Swiss Qualifying Lender</w:t>
      </w:r>
      <w:r>
        <w:rPr>
          <w:rFonts w:ascii="Arial" w:cs="Arial" w:eastAsia="Arial" w:hAnsi="Arial"/>
          <w:sz w:val="17"/>
          <w:szCs w:val="17"/>
          <w:color w:val="auto"/>
        </w:rPr>
        <w:t>” means (i) a bank as defined in the Swiss Federal Code for Banks and Savings Banks dated 8 November 1934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Bundesgesetz über die Banken und Sparkassen</w:t>
      </w:r>
      <w:r>
        <w:rPr>
          <w:rFonts w:ascii="Arial" w:cs="Arial" w:eastAsia="Arial" w:hAnsi="Arial"/>
          <w:sz w:val="16"/>
          <w:szCs w:val="16"/>
          <w:color w:val="auto"/>
        </w:rPr>
        <w:t>) as amended from time to time or (ii) a person or entity which effectively conducts banking activities with its</w:t>
      </w:r>
    </w:p>
    <w:p>
      <w:pPr>
        <w:sectPr>
          <w:pgSz w:w="11900" w:h="16838" w:orient="portrait"/>
          <w:cols w:equalWidth="0" w:num="1">
            <w:col w:w="11420"/>
          </w:cols>
          <w:pgMar w:left="240" w:top="125" w:right="239" w:bottom="0" w:gutter="0" w:footer="0" w:header="0"/>
        </w:sectPr>
      </w:pPr>
    </w:p>
    <w:bookmarkStart w:id="147" w:name="page148"/>
    <w:bookmarkEnd w:id="147"/>
    <w:p>
      <w:pPr>
        <w:ind w:right="220"/>
        <w:spacing w:after="0" w:line="277" w:lineRule="auto"/>
        <w:rPr>
          <w:sz w:val="20"/>
          <w:szCs w:val="20"/>
          <w:color w:val="auto"/>
        </w:rPr>
      </w:pPr>
      <w:r>
        <w:rPr>
          <w:rFonts w:ascii="Arial" w:cs="Arial" w:eastAsia="Arial" w:hAnsi="Arial"/>
          <w:sz w:val="18"/>
          <w:szCs w:val="18"/>
          <w:color w:val="auto"/>
        </w:rPr>
        <w:t>own infrastructure and staff as its principal business purpose and which has a banking license in full force and effect issued in accordance with the banking laws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force in its jurisdiction of incorporation, or if acting through a branch, issued in accordance with the banking laws in the jurisdiction of such branch, all and in each case in accordance with the Swiss Guidelines.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Non-Bank Rules</w:t>
      </w:r>
      <w:r>
        <w:rPr>
          <w:rFonts w:ascii="Arial" w:cs="Arial" w:eastAsia="Arial" w:hAnsi="Arial"/>
          <w:sz w:val="18"/>
          <w:szCs w:val="18"/>
          <w:color w:val="auto"/>
        </w:rPr>
        <w:t>” means together the Swiss Twenty Non-Bank Rule and the Swiss Ten Non-Bank Rule.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Non-Qualifying Lender</w:t>
      </w:r>
      <w:r>
        <w:rPr>
          <w:rFonts w:ascii="Arial" w:cs="Arial" w:eastAsia="Arial" w:hAnsi="Arial"/>
          <w:sz w:val="18"/>
          <w:szCs w:val="18"/>
          <w:color w:val="auto"/>
        </w:rPr>
        <w:t>” means a person which does not qualify as a Swiss Qualifying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Security Agreements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10.16</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Ten Non-Bank Rule</w:t>
      </w:r>
      <w:r>
        <w:rPr>
          <w:rFonts w:ascii="Arial" w:cs="Arial" w:eastAsia="Arial" w:hAnsi="Arial"/>
          <w:sz w:val="18"/>
          <w:szCs w:val="18"/>
          <w:color w:val="auto"/>
        </w:rPr>
        <w:t>” means the rule that the aggregate number of Lenders other than Swiss Qualifying Lenders of a Swiss Borrower under this Agreement must not at any time exceed ten (10); in each case in accordance with the meaning of the Swiss Guidelines or the applicable legislation or explanatory notes addressing the same issues that are in force at such time.</w:t>
      </w:r>
    </w:p>
    <w:p>
      <w:pPr>
        <w:spacing w:after="0" w:line="181"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Swiss Twenty Non-Bank Rule</w:t>
      </w:r>
      <w:r>
        <w:rPr>
          <w:rFonts w:ascii="Arial" w:cs="Arial" w:eastAsia="Arial" w:hAnsi="Arial"/>
          <w:sz w:val="16"/>
          <w:szCs w:val="16"/>
          <w:color w:val="auto"/>
        </w:rPr>
        <w:t>” means the rule that the aggregate number of creditors other than Swiss Qualifying Lenders of a Swiss Borrower under all its outstanding debts relevant for the classification as debentures (</w:t>
      </w:r>
      <w:r>
        <w:rPr>
          <w:rFonts w:ascii="Arial" w:cs="Arial" w:eastAsia="Arial" w:hAnsi="Arial"/>
          <w:sz w:val="16"/>
          <w:szCs w:val="16"/>
          <w:i w:val="1"/>
          <w:iCs w:val="1"/>
          <w:color w:val="auto"/>
        </w:rPr>
        <w:t>Kassenobligation</w:t>
      </w:r>
      <w:r>
        <w:rPr>
          <w:rFonts w:ascii="Arial" w:cs="Arial" w:eastAsia="Arial" w:hAnsi="Arial"/>
          <w:sz w:val="16"/>
          <w:szCs w:val="16"/>
          <w:color w:val="auto"/>
        </w:rPr>
        <w:t>) (within the meaning of the Swiss Guidelines), including any Loans under this Agreement to a Swiss Borrower, must not at any time exceed twenty (20), in each case in accordance with the meaning of the Swiss Guidelines or the applicable legislation or explanatory notes addressing the same issues that are in force at such time.</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Withholding Tax</w:t>
      </w:r>
      <w:r>
        <w:rPr>
          <w:rFonts w:ascii="Arial" w:cs="Arial" w:eastAsia="Arial" w:hAnsi="Arial"/>
          <w:sz w:val="18"/>
          <w:szCs w:val="18"/>
          <w:color w:val="auto"/>
        </w:rPr>
        <w:t>” means any Taxes levied pursuant to the Swiss Federal Act on Withholding Tax (Bundesgesetz über die Verrechnungssteuer vom 13. Oktober 1965, SR 642.21), as amended from time to time.</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levies, imposts, duties, deductions, withholdings (including backup withholding) imposed by any Governmental Authority.</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Agent</w:t>
      </w:r>
      <w:r>
        <w:rPr>
          <w:rFonts w:ascii="Arial" w:cs="Arial" w:eastAsia="Arial" w:hAnsi="Arial"/>
          <w:sz w:val="18"/>
          <w:szCs w:val="18"/>
          <w:color w:val="auto"/>
        </w:rPr>
        <w:t>” means JPMorgan, in its capacity as administrative agent under the Term Loan Agreement or any successor or substitute administrative agent thereunder.</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Agreement</w:t>
      </w:r>
      <w:r>
        <w:rPr>
          <w:rFonts w:ascii="Arial" w:cs="Arial" w:eastAsia="Arial" w:hAnsi="Arial"/>
          <w:sz w:val="17"/>
          <w:szCs w:val="17"/>
          <w:color w:val="auto"/>
        </w:rPr>
        <w:t xml:space="preserve">” means that certain Term Loan Agreement, dated as of May 9, 2016, by and among WIL-Bermuda, the lenders from time to time party thereto and JPMorgan, as administrative agent (as amended by that certain Amendment No. 1 to Term Loan Agreement, dated as of July 19, 2016, that certain Amendment No. 2 to Term Loan Agreement, dated as of April 17, 2017, and Term Loan Amendment No. 3, and as may be further amended, restated, amended and restated, supplemented or otherwise modified from time to time subject to </w:t>
      </w:r>
      <w:r>
        <w:rPr>
          <w:rFonts w:ascii="Arial" w:cs="Arial" w:eastAsia="Arial" w:hAnsi="Arial"/>
          <w:sz w:val="17"/>
          <w:szCs w:val="17"/>
          <w:u w:val="single" w:color="auto"/>
          <w:color w:val="auto"/>
        </w:rPr>
        <w:t>Section 1.05(a)(v)</w:t>
      </w:r>
      <w:r>
        <w:rPr>
          <w:rFonts w:ascii="Arial" w:cs="Arial" w:eastAsia="Arial" w:hAnsi="Arial"/>
          <w:sz w:val="17"/>
          <w:szCs w:val="17"/>
          <w:color w:val="auto"/>
        </w:rPr>
        <w:t>).</w:t>
      </w:r>
    </w:p>
    <w:p>
      <w:pPr>
        <w:spacing w:after="0" w:line="17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Amendment No. 3</w:t>
      </w:r>
      <w:r>
        <w:rPr>
          <w:rFonts w:ascii="Arial" w:cs="Arial" w:eastAsia="Arial" w:hAnsi="Arial"/>
          <w:sz w:val="18"/>
          <w:szCs w:val="18"/>
          <w:color w:val="auto"/>
        </w:rPr>
        <w:t>” means that certain Amendment No. 3 to Term Loan Agreement entered into as of the Effective Date by and among WIL-Bermuda, WIL-Ireland, the lenders listed on the signature pages attached thereto and the Term Loan Agent.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means the Loans (as defined in the Term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Collateral</w:t>
      </w:r>
      <w:r>
        <w:rPr>
          <w:rFonts w:ascii="Arial" w:cs="Arial" w:eastAsia="Arial" w:hAnsi="Arial"/>
          <w:sz w:val="18"/>
          <w:szCs w:val="18"/>
          <w:color w:val="auto"/>
        </w:rPr>
        <w:t>” means the Collateral (as defined in the Term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Documents</w:t>
      </w:r>
      <w:r>
        <w:rPr>
          <w:rFonts w:ascii="Arial" w:cs="Arial" w:eastAsia="Arial" w:hAnsi="Arial"/>
          <w:sz w:val="18"/>
          <w:szCs w:val="18"/>
          <w:color w:val="auto"/>
        </w:rPr>
        <w:t>” means the Loan Documents (as defined in the Term Loan Agreement).</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Facility</w:t>
      </w:r>
      <w:r>
        <w:rPr>
          <w:rFonts w:ascii="Arial" w:cs="Arial" w:eastAsia="Arial" w:hAnsi="Arial"/>
          <w:sz w:val="18"/>
          <w:szCs w:val="18"/>
          <w:color w:val="auto"/>
        </w:rPr>
        <w:t>” means the senior secured term loan facility provided pursuant to the Term Loan Agreement and the other Term Loan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Maturity Date</w:t>
      </w:r>
      <w:r>
        <w:rPr>
          <w:rFonts w:ascii="Arial" w:cs="Arial" w:eastAsia="Arial" w:hAnsi="Arial"/>
          <w:sz w:val="18"/>
          <w:szCs w:val="18"/>
          <w:color w:val="auto"/>
        </w:rPr>
        <w:t>” means the Maturity Date (as defined in the Term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Obligations</w:t>
      </w:r>
      <w:r>
        <w:rPr>
          <w:rFonts w:ascii="Arial" w:cs="Arial" w:eastAsia="Arial" w:hAnsi="Arial"/>
          <w:sz w:val="18"/>
          <w:szCs w:val="18"/>
          <w:color w:val="auto"/>
        </w:rPr>
        <w:t>” means the Secured Obligations (as defined in the Term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Secured Obligor</w:t>
      </w:r>
      <w:r>
        <w:rPr>
          <w:rFonts w:ascii="Arial" w:cs="Arial" w:eastAsia="Arial" w:hAnsi="Arial"/>
          <w:sz w:val="18"/>
          <w:szCs w:val="18"/>
          <w:color w:val="auto"/>
        </w:rPr>
        <w:t>” means a Secured Obligor (as defined in the Term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Secured Parties</w:t>
      </w:r>
      <w:r>
        <w:rPr>
          <w:rFonts w:ascii="Arial" w:cs="Arial" w:eastAsia="Arial" w:hAnsi="Arial"/>
          <w:sz w:val="18"/>
          <w:szCs w:val="18"/>
          <w:color w:val="auto"/>
        </w:rPr>
        <w:t>” means the Secured Parties (as defined in the Term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Testing Period</w:t>
      </w:r>
      <w:r>
        <w:rPr>
          <w:rFonts w:ascii="Arial" w:cs="Arial" w:eastAsia="Arial" w:hAnsi="Arial"/>
          <w:sz w:val="17"/>
          <w:szCs w:val="17"/>
          <w:color w:val="auto"/>
        </w:rPr>
        <w:t>” means any period of four consecutive Fiscal Quarters (whether or not such quarters are all within the same Fiscal Year).</w:t>
      </w:r>
    </w:p>
    <w:p>
      <w:pPr>
        <w:spacing w:after="0" w:line="23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Current Asset Value</w:t>
      </w:r>
      <w:r>
        <w:rPr>
          <w:rFonts w:ascii="Arial" w:cs="Arial" w:eastAsia="Arial" w:hAnsi="Arial"/>
          <w:sz w:val="18"/>
          <w:szCs w:val="18"/>
          <w:color w:val="auto"/>
        </w:rPr>
        <w:t xml:space="preserve">” means, as of any date of determination, the book value of all Priority Perfected Collateral as of such date (excluding any cash that is not maintained in a controlled deposit account (to the extent control agreements are available and necessary, in the Collateral Agent’s reasonable determination, in order to perfect a security interest in deposit accounts in a given jurisdiction) or, to the extent that control or similar agreements are not available (or necessary in order to perfect a security interest in deposit accounts) in a given jurisdiction, in a deposit account in which the Collateral Agent has a perfected lien)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cash and cash equivalents included in the determination of Total Current Asset Value as of any date shall not exceed $200,000,000.</w:t>
      </w:r>
    </w:p>
    <w:p>
      <w:pPr>
        <w:spacing w:after="0" w:line="193" w:lineRule="exact"/>
        <w:rPr>
          <w:sz w:val="20"/>
          <w:szCs w:val="20"/>
          <w:color w:val="auto"/>
        </w:rPr>
      </w:pPr>
    </w:p>
    <w:p>
      <w:pPr>
        <w:ind w:right="40" w:firstLine="689"/>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Leverage Ratio</w:t>
      </w:r>
      <w:r>
        <w:rPr>
          <w:rFonts w:ascii="Arial" w:cs="Arial" w:eastAsia="Arial" w:hAnsi="Arial"/>
          <w:sz w:val="16"/>
          <w:szCs w:val="16"/>
          <w:color w:val="auto"/>
        </w:rPr>
        <w:t>” means, as of the last day of any Fiscal Quarter, the ratio of (a) the aggregate principal amount of Funded Indebtedness of the WIL-Ireland Group as of such date to (b) the Consolidated Adjusted EBITDA of the WIL-Ireland Group for the Testing Period ending on such date.</w:t>
      </w:r>
    </w:p>
    <w:p>
      <w:pPr>
        <w:sectPr>
          <w:pgSz w:w="11900" w:h="16838" w:orient="portrait"/>
          <w:cols w:equalWidth="0" w:num="1">
            <w:col w:w="11400"/>
          </w:cols>
          <w:pgMar w:left="240" w:top="125" w:right="259" w:bottom="0" w:gutter="0" w:footer="0" w:header="0"/>
        </w:sectPr>
      </w:pPr>
    </w:p>
    <w:bookmarkStart w:id="148" w:name="page149"/>
    <w:bookmarkEnd w:id="148"/>
    <w:p>
      <w:pPr>
        <w:spacing w:after="0" w:line="3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Credit Exposure</w:t>
      </w:r>
      <w:r>
        <w:rPr>
          <w:rFonts w:ascii="Arial" w:cs="Arial" w:eastAsia="Arial" w:hAnsi="Arial"/>
          <w:sz w:val="18"/>
          <w:szCs w:val="18"/>
          <w:color w:val="auto"/>
        </w:rPr>
        <w:t xml:space="preserve">” means at any time, the sum of (a) the aggregate outstanding principal amount of all Revolving Credit Loans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outstanding principal amount of all Swingline Loans at such time.</w:t>
      </w:r>
    </w:p>
    <w:p>
      <w:pPr>
        <w:spacing w:after="0" w:line="170"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Measured Secured Indebtedness</w:t>
      </w:r>
      <w:r>
        <w:rPr>
          <w:rFonts w:ascii="Arial" w:cs="Arial" w:eastAsia="Arial" w:hAnsi="Arial"/>
          <w:sz w:val="17"/>
          <w:szCs w:val="17"/>
          <w:color w:val="auto"/>
        </w:rPr>
        <w:t xml:space="preserve">” means, as of any date of determination, the sum of (a) the Aggregate Commitments (whether used or unused)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aggregate principal amount of all loans outstanding under the Term Loan Facility on such date.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Specified Asset Value</w:t>
      </w:r>
      <w:r>
        <w:rPr>
          <w:rFonts w:ascii="Arial" w:cs="Arial" w:eastAsia="Arial" w:hAnsi="Arial"/>
          <w:sz w:val="18"/>
          <w:szCs w:val="18"/>
          <w:color w:val="auto"/>
        </w:rPr>
        <w:t>” means, as of any date of determination, the book value of all assets of the Specified Group on a consolidated basis as of such date, adjusted as necessary to exclude amounts attributable to WIL-Bermuda and WIL-Delaware.</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transactions contemplated by this Agreement, the other Loan Documents, the Term Loan Documents and the RCF Loan Documents.</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(a) any Subsidiary which WIL-Ireland has designated in writing to the Administrative Agent to be an Unrestricted Subsidiary pursuant to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and (b) any direct or indirect Subsidiary of any Subsidiary described in clause (a), in each case that meets the following requirements:</w:t>
      </w:r>
    </w:p>
    <w:p>
      <w:pPr>
        <w:spacing w:after="0" w:line="181" w:lineRule="exact"/>
        <w:rPr>
          <w:sz w:val="20"/>
          <w:szCs w:val="20"/>
          <w:color w:val="auto"/>
        </w:rPr>
      </w:pPr>
    </w:p>
    <w:p>
      <w:pPr>
        <w:ind w:left="1980" w:hanging="675"/>
        <w:spacing w:after="0"/>
        <w:tabs>
          <w:tab w:leader="none" w:pos="19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such Subsidiary shall have no Indebtedness with recourse to WIL-Ireland or any Restricted Subsidiary;</w:t>
      </w:r>
    </w:p>
    <w:p>
      <w:pPr>
        <w:spacing w:after="0" w:line="225" w:lineRule="exact"/>
        <w:rPr>
          <w:rFonts w:ascii="Arial" w:cs="Arial" w:eastAsia="Arial" w:hAnsi="Arial"/>
          <w:sz w:val="18"/>
          <w:szCs w:val="18"/>
          <w:color w:val="auto"/>
        </w:rPr>
      </w:pPr>
    </w:p>
    <w:p>
      <w:pPr>
        <w:ind w:left="660" w:right="640" w:firstLine="645"/>
        <w:spacing w:after="0" w:line="277" w:lineRule="auto"/>
        <w:tabs>
          <w:tab w:leader="none" w:pos="198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such Subsidiary is not party to any agreement, contract, arrangement or understanding with WIL-Ireland or any Restricted Subsidiary that violates </w:t>
      </w:r>
      <w:r>
        <w:rPr>
          <w:rFonts w:ascii="Arial" w:cs="Arial" w:eastAsia="Arial" w:hAnsi="Arial"/>
          <w:sz w:val="18"/>
          <w:szCs w:val="18"/>
          <w:u w:val="single" w:color="auto"/>
          <w:color w:val="auto"/>
        </w:rPr>
        <w:t>Section 8.10</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firstLine="645"/>
        <w:spacing w:after="0" w:line="276" w:lineRule="auto"/>
        <w:tabs>
          <w:tab w:leader="none" w:pos="1997" w:val="left"/>
        </w:tabs>
        <w:numPr>
          <w:ilvl w:val="0"/>
          <w:numId w:val="319"/>
        </w:numPr>
        <w:rPr>
          <w:rFonts w:ascii="Arial" w:cs="Arial" w:eastAsia="Arial" w:hAnsi="Arial"/>
          <w:sz w:val="17"/>
          <w:szCs w:val="17"/>
          <w:color w:val="auto"/>
        </w:rPr>
      </w:pPr>
      <w:r>
        <w:rPr>
          <w:rFonts w:ascii="Arial" w:cs="Arial" w:eastAsia="Arial" w:hAnsi="Arial"/>
          <w:sz w:val="17"/>
          <w:szCs w:val="17"/>
          <w:color w:val="auto"/>
        </w:rPr>
        <w:t>such Subsidiary is a Person with respect to which neither WIL-Ireland nor any of its Restricted Subsidiaries has any direct or indirect obligation (A) to subscribe for additional Capital Stock of such Person or (B) to maintain or preserve such Person’s financial condition or to cause such Person to achieve any specified levels of operating results (it being understood that any contractual arrangements between WIL-Ireland or any of its Restricted Subsidiaries and such Subsidiary pursuant to which such Subsidiary sells products or provides services to WIL-Ireland or such Restricted Subsidiary in the ordinary course of business are not included in this clause (B));</w:t>
      </w:r>
    </w:p>
    <w:p>
      <w:pPr>
        <w:spacing w:after="0" w:line="172" w:lineRule="exact"/>
        <w:rPr>
          <w:rFonts w:ascii="Arial" w:cs="Arial" w:eastAsia="Arial" w:hAnsi="Arial"/>
          <w:sz w:val="17"/>
          <w:szCs w:val="17"/>
          <w:color w:val="auto"/>
        </w:rPr>
      </w:pPr>
    </w:p>
    <w:p>
      <w:pPr>
        <w:ind w:left="660" w:right="220" w:firstLine="645"/>
        <w:spacing w:after="0" w:line="277" w:lineRule="auto"/>
        <w:tabs>
          <w:tab w:leader="none" w:pos="1973" w:val="left"/>
        </w:tabs>
        <w:numPr>
          <w:ilvl w:val="0"/>
          <w:numId w:val="319"/>
        </w:numPr>
        <w:rPr>
          <w:rFonts w:ascii="Arial" w:cs="Arial" w:eastAsia="Arial" w:hAnsi="Arial"/>
          <w:sz w:val="18"/>
          <w:szCs w:val="18"/>
          <w:color w:val="auto"/>
        </w:rPr>
      </w:pPr>
      <w:r>
        <w:rPr>
          <w:rFonts w:ascii="Arial" w:cs="Arial" w:eastAsia="Arial" w:hAnsi="Arial"/>
          <w:sz w:val="18"/>
          <w:szCs w:val="18"/>
          <w:color w:val="auto"/>
        </w:rPr>
        <w:t>such Subsidiary does not, either individually or together with other Subsidiaries that are designated as Unrestricted Subsidiaries, own or operate, directly or indirectly, all or substantially all of the assets of WIL-Ireland and its Subsidiaries;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such Subsidiary does not hold any Capital Stock in, or any Indebtedness of, WIL-Ireland or any Restricted Subsidiary.</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If at any time any Unrestricted Subsidiary fails to meet the preceding requirements to be an Unrestricted Subsidiary, it shall thereafter be a Restricted Subsidiary for purposes of this Agreement and any Indebtedness, Liens and Investments of such Subsidiary shall be deemed to be incurred by a Restricted Subsidiary as of such date and, if such Indebtedness, Liens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Investments are not permitted to be incurred as of such date hereunder (including under the Financial Covenants), WIL-Ireland shall be in default of the applicable covenant.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Security Agreement</w:t>
      </w:r>
      <w:r>
        <w:rPr>
          <w:rFonts w:ascii="Arial" w:cs="Arial" w:eastAsia="Arial" w:hAnsi="Arial"/>
          <w:sz w:val="18"/>
          <w:szCs w:val="18"/>
          <w:color w:val="auto"/>
        </w:rPr>
        <w:t>” means that certain U.S. Security Agreement, dated as of the Effective Date, by and among the Secured Obligors from time to time party thereto, the Administrative Agent and the Collateral Agent.</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shares of any class or classes of Capital Stock in such Person entitling holders thereof (whether at all times or only so long as no senior class of stock has voting power by reason of any contingency) to vote in the election of members of the Board of Directors or other governing body of such Person.</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Weatherford Parent Company</w:t>
      </w:r>
      <w:r>
        <w:rPr>
          <w:rFonts w:ascii="Arial" w:cs="Arial" w:eastAsia="Arial" w:hAnsi="Arial"/>
          <w:sz w:val="18"/>
          <w:szCs w:val="18"/>
          <w:color w:val="auto"/>
        </w:rPr>
        <w:t>” means WIL-Ireland or, if a Redomestication has occurred subsequent to the Effective Date and prior to the event in question on the date of determination, the Surviving Person resulting from such Redomestication.</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of a Person means any Restricted Subsidiary of which all issued and outstanding Capital Stock (excluding directors’ qualifying shares or similar jurisdictional requirements) is directly or indirectly owned by such Person. Unless the context otherwise clearly requires, references in this Agreement to a “Wholly-Owned Subsidiary” or the “</w:t>
      </w:r>
      <w:r>
        <w:rPr>
          <w:rFonts w:ascii="Arial" w:cs="Arial" w:eastAsia="Arial" w:hAnsi="Arial"/>
          <w:sz w:val="18"/>
          <w:szCs w:val="18"/>
          <w:u w:val="single" w:color="auto"/>
          <w:color w:val="auto"/>
        </w:rPr>
        <w:t>Wholly-Owned Subsidiaries</w:t>
      </w:r>
      <w:r>
        <w:rPr>
          <w:rFonts w:ascii="Arial" w:cs="Arial" w:eastAsia="Arial" w:hAnsi="Arial"/>
          <w:sz w:val="18"/>
          <w:szCs w:val="18"/>
          <w:color w:val="auto"/>
        </w:rPr>
        <w:t>” refer to a Wholly-Owned Subsidiary or Wholly-Owned Subsidiaries of WIL-Ireland.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WIL-Bermuda</w:t>
      </w:r>
      <w:r>
        <w:rPr>
          <w:rFonts w:ascii="Arial" w:cs="Arial" w:eastAsia="Arial" w:hAnsi="Arial"/>
          <w:sz w:val="18"/>
          <w:szCs w:val="18"/>
          <w:color w:val="auto"/>
        </w:rPr>
        <w:t>” has the meaning specified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WIL-Delaware</w:t>
      </w:r>
      <w:r>
        <w:rPr>
          <w:rFonts w:ascii="Arial" w:cs="Arial" w:eastAsia="Arial" w:hAnsi="Arial"/>
          <w:sz w:val="18"/>
          <w:szCs w:val="18"/>
          <w:color w:val="auto"/>
        </w:rPr>
        <w:t>” means Weatherford International, LLC, a Delaware limited liability company.</w:t>
      </w:r>
    </w:p>
    <w:p>
      <w:pPr>
        <w:sectPr>
          <w:pgSz w:w="11900" w:h="16874" w:orient="portrait"/>
          <w:cols w:equalWidth="0" w:num="1">
            <w:col w:w="11420"/>
          </w:cols>
          <w:pgMar w:left="240" w:top="125" w:right="239" w:bottom="0" w:gutter="0" w:footer="0" w:header="0"/>
        </w:sectPr>
      </w:pPr>
    </w:p>
    <w:bookmarkStart w:id="149" w:name="page150"/>
    <w:bookmarkEnd w:id="149"/>
    <w:p>
      <w:pPr>
        <w:spacing w:after="0" w:line="9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WIL-Ireland</w:t>
      </w:r>
      <w:r>
        <w:rPr>
          <w:rFonts w:ascii="Arial" w:cs="Arial" w:eastAsia="Arial" w:hAnsi="Arial"/>
          <w:sz w:val="18"/>
          <w:szCs w:val="18"/>
          <w:color w:val="auto"/>
        </w:rPr>
        <w:t xml:space="preserve">” has the meaning specified in the introductory paragraph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Redomestication occurs subsequent to the Effective Date and WIL-Ireland is not the Surviving Person resulting from such Redomestication, the term “WIL-Ireland” shall refer to the Surviving Person resulting from such Redomestication.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WIL-Ireland Group</w:t>
      </w:r>
      <w:r>
        <w:rPr>
          <w:rFonts w:ascii="Arial" w:cs="Arial" w:eastAsia="Arial" w:hAnsi="Arial"/>
          <w:sz w:val="18"/>
          <w:szCs w:val="18"/>
          <w:color w:val="auto"/>
        </w:rPr>
        <w:t>” means, collectively, WIL-Ireland and its Restricted Subsidiaries.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w:t>
      </w:r>
      <w:r>
        <w:rPr>
          <w:rFonts w:ascii="Arial" w:cs="Arial" w:eastAsia="Arial" w:hAnsi="Arial"/>
          <w:sz w:val="18"/>
          <w:szCs w:val="18"/>
          <w:color w:val="auto"/>
        </w:rPr>
        <w:t>” means, at any date, the excess of current assets of WIL-Ireland and its Restricted Subsidiaries on such date over current liabilities of WIL-Ireland and its Restricted Subsidiaries on such date, all determined on a consolidated basis in accordance with GAAP.</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Types of Borrowings</w:t>
      </w:r>
      <w:r>
        <w:rPr>
          <w:rFonts w:ascii="Arial" w:cs="Arial" w:eastAsia="Arial" w:hAnsi="Arial"/>
          <w:sz w:val="18"/>
          <w:szCs w:val="18"/>
          <w:color w:val="auto"/>
        </w:rPr>
        <w:t>. Borrowings hereunder are distinguished by “Type”. The “Type” of a Loan refers to the determination whether such Loan is a part of a Loan bearing interest at the Adjusted LIBO Rate or at the Alternate Base Rate.</w:t>
      </w:r>
    </w:p>
    <w:p>
      <w:pPr>
        <w:spacing w:after="0" w:line="170"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Accounting Terms; Changes in GAAP; Pro Forma Computations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4" w:lineRule="auto"/>
        <w:tabs>
          <w:tab w:leader="none" w:pos="194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herein, all accounting and financial terms used herein and not otherwise defined herein and the compliance with each covenant contained herein which relates to financial matters shall be determined in accordance with GAAP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WIL-Ireland notifies the Administrative Agent that WIL-Ireland requests an amendment to any provision hereof to eliminate the effect of any change occurring after the Effective Date in GAAP or in the application thereof on the operation of such provision (or if the Administrative Agent notifies WIL-Ireland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92" w:lineRule="exact"/>
        <w:rPr>
          <w:rFonts w:ascii="Arial" w:cs="Arial" w:eastAsia="Arial" w:hAnsi="Arial"/>
          <w:sz w:val="18"/>
          <w:szCs w:val="18"/>
          <w:color w:val="auto"/>
        </w:rPr>
      </w:pPr>
    </w:p>
    <w:p>
      <w:pPr>
        <w:ind w:right="140" w:firstLine="1305"/>
        <w:spacing w:after="0" w:line="257" w:lineRule="auto"/>
        <w:tabs>
          <w:tab w:leader="none" w:pos="195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any other Loan Document, for purposes of calculations made pursuant to the terms of this Agreement or any other Loan Document, GAAP will be deemed to treat leases that would have been classified as operating leases in accordance with generally accepted accounting principles in the United States as in effect on December 31, 2015 in a manner consistent with the treatment of such leases under generally accepted accounting principles in the United States of America as in effect on December 31, 2015, notwithstanding any modifications or interpretive changes thereto that may occur thereafter.</w:t>
      </w:r>
    </w:p>
    <w:p>
      <w:pPr>
        <w:spacing w:after="0" w:line="188" w:lineRule="exact"/>
        <w:rPr>
          <w:rFonts w:ascii="Arial" w:cs="Arial" w:eastAsia="Arial" w:hAnsi="Arial"/>
          <w:sz w:val="18"/>
          <w:szCs w:val="18"/>
          <w:color w:val="auto"/>
        </w:rPr>
      </w:pPr>
    </w:p>
    <w:p>
      <w:pPr>
        <w:ind w:right="80" w:firstLine="1305"/>
        <w:spacing w:after="0" w:line="255" w:lineRule="auto"/>
        <w:tabs>
          <w:tab w:leader="none" w:pos="195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WIL-Ireland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value any such Indebtedness in a reduced or bifurcated manner as described therein, and such Indebtedness shall at all times be valued at the full stated principal amount thereof.</w:t>
      </w:r>
    </w:p>
    <w:p>
      <w:pPr>
        <w:spacing w:after="0" w:line="170" w:lineRule="exact"/>
        <w:rPr>
          <w:sz w:val="20"/>
          <w:szCs w:val="20"/>
          <w:color w:val="auto"/>
        </w:rPr>
      </w:pPr>
    </w:p>
    <w:p>
      <w:pPr>
        <w:ind w:right="20" w:firstLine="1305"/>
        <w:spacing w:after="0" w:line="287" w:lineRule="auto"/>
        <w:tabs>
          <w:tab w:leader="none" w:pos="1952" w:val="left"/>
        </w:tabs>
        <w:numPr>
          <w:ilvl w:val="0"/>
          <w:numId w:val="321"/>
        </w:numPr>
        <w:rPr>
          <w:rFonts w:ascii="Arial" w:cs="Arial" w:eastAsia="Arial" w:hAnsi="Arial"/>
          <w:sz w:val="16"/>
          <w:szCs w:val="16"/>
          <w:color w:val="auto"/>
        </w:rPr>
      </w:pPr>
      <w:r>
        <w:rPr>
          <w:rFonts w:ascii="Arial" w:cs="Arial" w:eastAsia="Arial" w:hAnsi="Arial"/>
          <w:sz w:val="16"/>
          <w:szCs w:val="16"/>
          <w:color w:val="auto"/>
        </w:rPr>
        <w:t xml:space="preserve">All pro forma computations required to be made hereunder giving effect to any acquisition or Disposition, 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unless otherwise expressly provided hereunder, on the first day of the period of four consecutive Fiscal Quarters ending with the most recent Fiscal Quarter for which financial statements shall have been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7.01(b)</w:t>
      </w:r>
      <w:r>
        <w:rPr>
          <w:rFonts w:ascii="Arial" w:cs="Arial" w:eastAsia="Arial" w:hAnsi="Arial"/>
          <w:sz w:val="16"/>
          <w:szCs w:val="16"/>
          <w:color w:val="auto"/>
        </w:rPr>
        <w:t xml:space="preserve"> (including under the Existing RCF Credit Agreement), 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173"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Pro Forma Calculations of Current Asset Coverage Ratio</w:t>
      </w:r>
      <w:r>
        <w:rPr>
          <w:rFonts w:ascii="Arial" w:cs="Arial" w:eastAsia="Arial" w:hAnsi="Arial"/>
          <w:sz w:val="16"/>
          <w:szCs w:val="16"/>
          <w:color w:val="auto"/>
        </w:rPr>
        <w:t>. Notwithstanding anything to the contrary in this Agreement, for purposes of determining pro forma compliance with the Current Asset Coverage Ratio Covenant (i) at any time during the Initial Collateral Perfection Period, the applicable minimum permitted covenant level for determining such pro forma compliance shall be 1.00 to 1.00, (ii) at any time during the period commencing on the 21st day after the Effective Date and ending on the last day of the Collateral Perfection Period, the applicable minimum permitted covenant level for determining such pro forma compliance shall be 1.20 to 1.00, (iii) at any time thereafter, the applicable minimum permitted covenant level for determining such pro forma compliance shall be 2.10 to 1.00, (iv) the determination of the Current Asset Coverage Ratio shall use the book value of the Priority Perfected Collateral as of the last date of the Fiscal Quarter most recently ended for which financial statements are available, (v) if any Secured Obligor shall have acquired any assets that have become Priority Perfected Collateral pursuant to a Material Acquisition since the last day of the Fiscal Quarter most recently ended for which financial statements have been delivered or shall have acquired any Priority Perfected Collateral pursuant to the</w:t>
      </w:r>
    </w:p>
    <w:p>
      <w:pPr>
        <w:sectPr>
          <w:pgSz w:w="11900" w:h="16932" w:orient="portrait"/>
          <w:cols w:equalWidth="0" w:num="1">
            <w:col w:w="11400"/>
          </w:cols>
          <w:pgMar w:left="240" w:top="341" w:right="259" w:bottom="0" w:gutter="0" w:footer="0" w:header="0"/>
        </w:sectPr>
      </w:pPr>
    </w:p>
    <w:bookmarkStart w:id="150" w:name="page151"/>
    <w:bookmarkEnd w:id="150"/>
    <w:p>
      <w:pPr>
        <w:spacing w:after="0" w:line="302" w:lineRule="auto"/>
        <w:rPr>
          <w:sz w:val="20"/>
          <w:szCs w:val="20"/>
          <w:color w:val="auto"/>
        </w:rPr>
      </w:pPr>
      <w:r>
        <w:rPr>
          <w:rFonts w:ascii="Arial" w:cs="Arial" w:eastAsia="Arial" w:hAnsi="Arial"/>
          <w:sz w:val="16"/>
          <w:szCs w:val="16"/>
          <w:color w:val="auto"/>
        </w:rPr>
        <w:t>transaction that is being tested for pro forma compliance (or assets that will constitute Priority Perfection Collateral substantially contemporaneously with such transaction, subject to the completion of necessary filings or other actions necessary for the perfection of the associated Liens so long as such filings are expected to be made or actions are expected to be taken within five (5) Business Days), the Current Asset Coverage Ratio shall be calculated giving pro forma effect to such acquisition, (vi) if any Secured Obligor shall have sold, transferred or otherwise disposed of assets that previously constituted Priority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Perfected Collateral pursuant to a Material Disposition since the last day of the Fiscal Quarter most recently ended for which financial statements are available or shall have sold, transferred or otherwise disposed of assets that previously constituted Priority Perfected Collateral pursuant to the transaction that is being tested for pro forma compliance, the Current Asset Coverage Ratio shall be calculated giving pro forma effect to such sale, transfer or disposition and</w:t>
      </w:r>
    </w:p>
    <w:p>
      <w:pPr>
        <w:ind w:right="360" w:firstLine="8"/>
        <w:spacing w:after="0" w:line="261" w:lineRule="auto"/>
        <w:tabs>
          <w:tab w:leader="none" w:pos="35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Total Measured Secured Indebtedness shall be determined as of the date of the applicable pro forma calculation, after giving pro forma effect to any incurrence or repayment of Indebtedness or increase or reduction of commitments occurring on such calculation date.</w:t>
      </w:r>
    </w:p>
    <w:p>
      <w:pPr>
        <w:spacing w:after="0" w:line="184"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In this Agreement unless the context indicates otherwise: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any pronoun shall include the corresponding masculine, feminine and neuter forms;</w:t>
      </w:r>
    </w:p>
    <w:p>
      <w:pPr>
        <w:spacing w:after="0" w:line="225" w:lineRule="exact"/>
        <w:rPr>
          <w:rFonts w:ascii="Arial" w:cs="Arial" w:eastAsia="Arial" w:hAnsi="Arial"/>
          <w:sz w:val="18"/>
          <w:szCs w:val="18"/>
          <w:color w:val="auto"/>
        </w:rPr>
      </w:pPr>
    </w:p>
    <w:p>
      <w:pPr>
        <w:ind w:left="660" w:right="300" w:firstLine="1293"/>
        <w:spacing w:after="0" w:line="277" w:lineRule="auto"/>
        <w:tabs>
          <w:tab w:leader="none" w:pos="2645"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Agreement in its entirety and not to any particular Article, Section or other subdivision hereof;</w:t>
      </w:r>
    </w:p>
    <w:p>
      <w:pPr>
        <w:spacing w:after="0" w:line="170" w:lineRule="exact"/>
        <w:rPr>
          <w:rFonts w:ascii="Arial" w:cs="Arial" w:eastAsia="Arial" w:hAnsi="Arial"/>
          <w:sz w:val="18"/>
          <w:szCs w:val="18"/>
          <w:color w:val="auto"/>
        </w:rPr>
      </w:pPr>
    </w:p>
    <w:p>
      <w:pPr>
        <w:ind w:left="660" w:right="60" w:firstLine="1293"/>
        <w:spacing w:after="0" w:line="312" w:lineRule="auto"/>
        <w:tabs>
          <w:tab w:leader="none" w:pos="2622" w:val="left"/>
        </w:tabs>
        <w:numPr>
          <w:ilvl w:val="1"/>
          <w:numId w:val="323"/>
        </w:numPr>
        <w:rPr>
          <w:rFonts w:ascii="Arial" w:cs="Arial" w:eastAsia="Arial" w:hAnsi="Arial"/>
          <w:sz w:val="16"/>
          <w:szCs w:val="16"/>
          <w:color w:val="auto"/>
        </w:rPr>
      </w:pPr>
      <w:r>
        <w:rPr>
          <w:rFonts w:ascii="Arial" w:cs="Arial" w:eastAsia="Arial" w:hAnsi="Arial"/>
          <w:sz w:val="16"/>
          <w:szCs w:val="16"/>
          <w:color w:val="auto"/>
        </w:rPr>
        <w:t xml:space="preserve">any reference to any Person includes such Person’s successors and assigns, including any Person that becomes a successor to WIL-Ireland as a result of a Redomestication, and reference to a Person in a particular capacity excludes such Person in any other capacity or individually,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clause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is intended to authorize any assignment not otherwise permitted by this Agreement;</w:t>
      </w:r>
    </w:p>
    <w:p>
      <w:pPr>
        <w:spacing w:after="0" w:line="146" w:lineRule="exact"/>
        <w:rPr>
          <w:rFonts w:ascii="Arial" w:cs="Arial" w:eastAsia="Arial" w:hAnsi="Arial"/>
          <w:sz w:val="16"/>
          <w:szCs w:val="16"/>
          <w:color w:val="auto"/>
        </w:rPr>
      </w:pPr>
    </w:p>
    <w:p>
      <w:pPr>
        <w:ind w:left="660" w:right="80" w:firstLine="1293"/>
        <w:spacing w:after="0" w:line="257" w:lineRule="auto"/>
        <w:tabs>
          <w:tab w:leader="none" w:pos="2612"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any reference to any agreement, document or instrument (including this Agreement) means such agreement, document or instrument as amended, restated, amended and restated, supplemented or otherwise modified and in effect from time to time (subject to any restrictions on such amendments, restatements, amendments and restatements, supplements or other modifications set forth herein or in any other Loan Document), and any reference to any Note or other note includes any note issued pursuant hereto in extension or renewal thereof and in substitution or replacement therefor;</w:t>
      </w:r>
    </w:p>
    <w:p>
      <w:pPr>
        <w:spacing w:after="0" w:line="188" w:lineRule="exact"/>
        <w:rPr>
          <w:rFonts w:ascii="Arial" w:cs="Arial" w:eastAsia="Arial" w:hAnsi="Arial"/>
          <w:sz w:val="18"/>
          <w:szCs w:val="18"/>
          <w:color w:val="auto"/>
        </w:rPr>
      </w:pPr>
    </w:p>
    <w:p>
      <w:pPr>
        <w:ind w:left="660" w:right="500" w:firstLine="1293"/>
        <w:spacing w:after="0" w:line="277" w:lineRule="auto"/>
        <w:tabs>
          <w:tab w:leader="none" w:pos="2622"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any reference to any Article, Section, page, Schedule or Exhibit means such Article, Section or page hereof or such Schedule or Exhibit hereto;</w:t>
      </w:r>
    </w:p>
    <w:p>
      <w:pPr>
        <w:spacing w:after="0" w:line="170" w:lineRule="exact"/>
        <w:rPr>
          <w:rFonts w:ascii="Arial" w:cs="Arial" w:eastAsia="Arial" w:hAnsi="Arial"/>
          <w:sz w:val="18"/>
          <w:szCs w:val="18"/>
          <w:color w:val="auto"/>
        </w:rPr>
      </w:pPr>
    </w:p>
    <w:p>
      <w:pPr>
        <w:ind w:left="660" w:right="220" w:firstLine="1293"/>
        <w:spacing w:after="0" w:line="277" w:lineRule="auto"/>
        <w:tabs>
          <w:tab w:leader="none" w:pos="2631"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words “including”, “include” and “includes” shall be deemed to be followed by the phrase “without limitation” and the term “or” is not exclusive;</w:t>
      </w:r>
    </w:p>
    <w:p>
      <w:pPr>
        <w:spacing w:after="0" w:line="170" w:lineRule="exact"/>
        <w:rPr>
          <w:rFonts w:ascii="Arial" w:cs="Arial" w:eastAsia="Arial" w:hAnsi="Arial"/>
          <w:sz w:val="18"/>
          <w:szCs w:val="18"/>
          <w:color w:val="auto"/>
        </w:rPr>
      </w:pPr>
    </w:p>
    <w:p>
      <w:pPr>
        <w:ind w:left="660" w:right="320" w:firstLine="1293"/>
        <w:spacing w:after="0" w:line="277" w:lineRule="auto"/>
        <w:tabs>
          <w:tab w:leader="none" w:pos="2641" w:val="left"/>
        </w:tabs>
        <w:numPr>
          <w:ilvl w:val="1"/>
          <w:numId w:val="323"/>
        </w:numPr>
        <w:rPr>
          <w:rFonts w:ascii="Arial" w:cs="Arial" w:eastAsia="Arial" w:hAnsi="Arial"/>
          <w:sz w:val="18"/>
          <w:szCs w:val="18"/>
          <w:color w:val="auto"/>
        </w:rPr>
      </w:pPr>
      <w:r>
        <w:rPr>
          <w:rFonts w:ascii="Arial" w:cs="Arial" w:eastAsia="Arial" w:hAnsi="Arial"/>
          <w:sz w:val="18"/>
          <w:szCs w:val="18"/>
          <w:color w:val="auto"/>
        </w:rPr>
        <w:t>with respect to the determination of any period of time, except as expressly provided to the contrary, the word “from” means “from and including” and the word “to” means “to but excluding”;</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word “will” shall be construed to have the same meaning and effect as the word “shall”;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firstLine="1293"/>
        <w:spacing w:after="0" w:line="277" w:lineRule="auto"/>
        <w:tabs>
          <w:tab w:leader="none" w:pos="2612"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any reference to any law, rule or regulation means such as amended, modified, codified or reenacted, in whole or in part, and in effect from time to time; and</w:t>
      </w:r>
    </w:p>
    <w:p>
      <w:pPr>
        <w:spacing w:after="0" w:line="170" w:lineRule="exact"/>
        <w:rPr>
          <w:rFonts w:ascii="Arial" w:cs="Arial" w:eastAsia="Arial" w:hAnsi="Arial"/>
          <w:sz w:val="18"/>
          <w:szCs w:val="18"/>
          <w:color w:val="auto"/>
        </w:rPr>
      </w:pPr>
    </w:p>
    <w:p>
      <w:pPr>
        <w:ind w:left="660" w:right="520" w:firstLine="1293"/>
        <w:spacing w:after="0" w:line="277" w:lineRule="auto"/>
        <w:tabs>
          <w:tab w:leader="none" w:pos="2622" w:val="left"/>
        </w:tabs>
        <w:numPr>
          <w:ilvl w:val="1"/>
          <w:numId w:val="324"/>
        </w:numPr>
        <w:rPr>
          <w:rFonts w:ascii="Arial" w:cs="Arial" w:eastAsia="Arial" w:hAnsi="Arial"/>
          <w:sz w:val="18"/>
          <w:szCs w:val="18"/>
          <w:color w:val="auto"/>
        </w:rPr>
      </w:pPr>
      <w:r>
        <w:rPr>
          <w:rFonts w:ascii="Arial" w:cs="Arial" w:eastAsia="Arial" w:hAnsi="Arial"/>
          <w:sz w:val="18"/>
          <w:szCs w:val="18"/>
          <w:color w:val="auto"/>
        </w:rPr>
        <w:t>the words “asset” and “property” shall be construed to have the same meaning and effect and to refer to any and all tangible and intangible assets and properties, including cash, securities, accounts and contract rights.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The Article and Section headings herein and in the Table of Contents are for convenience only and shall not affect the construction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right="660" w:firstLine="1305"/>
        <w:spacing w:after="0" w:line="277" w:lineRule="auto"/>
        <w:tabs>
          <w:tab w:leader="none" w:pos="195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No provision of this Agreement shall be interpreted or construed against any Person solely because that Person or its legal representative drafted such provision.</w:t>
      </w:r>
    </w:p>
    <w:p>
      <w:pPr>
        <w:spacing w:after="0" w:line="170" w:lineRule="exact"/>
        <w:rPr>
          <w:rFonts w:ascii="Arial" w:cs="Arial" w:eastAsia="Arial" w:hAnsi="Arial"/>
          <w:sz w:val="18"/>
          <w:szCs w:val="18"/>
          <w:color w:val="auto"/>
        </w:rPr>
      </w:pPr>
    </w:p>
    <w:p>
      <w:pPr>
        <w:ind w:right="120" w:firstLine="1305"/>
        <w:spacing w:after="0" w:line="264" w:lineRule="auto"/>
        <w:tabs>
          <w:tab w:leader="none" w:pos="1952" w:val="left"/>
        </w:tabs>
        <w:numPr>
          <w:ilvl w:val="0"/>
          <w:numId w:val="326"/>
        </w:numPr>
        <w:rPr>
          <w:rFonts w:ascii="Arial" w:cs="Arial" w:eastAsia="Arial" w:hAnsi="Arial"/>
          <w:sz w:val="18"/>
          <w:szCs w:val="18"/>
          <w:color w:val="auto"/>
        </w:rPr>
      </w:pPr>
      <w:r>
        <w:rPr>
          <w:rFonts w:ascii="Arial" w:cs="Arial" w:eastAsia="Arial" w:hAnsi="Arial"/>
          <w:sz w:val="18"/>
          <w:szCs w:val="18"/>
          <w:color w:val="auto"/>
        </w:rPr>
        <w:t>Unless otherwise specified herein, (i) all dollar amounts expressed herein shall refer to Dollars and (ii) for purposes of calculating compliance with the terms of this Agreement and the other Loan Documents (including for purposes of calculating compliance with the covenants), each obligation or calculation shall be converted to its Dollar equivalent.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COMMITMENTS; LOANS</w:t>
      </w:r>
    </w:p>
    <w:p>
      <w:pPr>
        <w:spacing w:after="0" w:line="211"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Revolving Credit Loans</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Subject to the terms and conditions set forth herein, each Lender agrees to make loans to the Borrowers (each such loan, a</w:t>
      </w:r>
    </w:p>
    <w:p>
      <w:pPr>
        <w:spacing w:after="0" w:line="35"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Loan</w:t>
      </w:r>
      <w:r>
        <w:rPr>
          <w:rFonts w:ascii="Arial" w:cs="Arial" w:eastAsia="Arial" w:hAnsi="Arial"/>
          <w:sz w:val="16"/>
          <w:szCs w:val="16"/>
          <w:color w:val="auto"/>
        </w:rPr>
        <w:t>”) denominated in Dollars, from time to time during the Availability Period in an aggregate principal amount that shall not result in (i) such Lender’s Revolving Credit Exposure exceeding such Lender’s Commitment or (ii) the Total Revolving Credit Exposure exceeding the Aggregate</w:t>
      </w:r>
    </w:p>
    <w:p>
      <w:pPr>
        <w:sectPr>
          <w:pgSz w:w="11900" w:h="16838" w:orient="portrait"/>
          <w:cols w:equalWidth="0" w:num="1">
            <w:col w:w="11420"/>
          </w:cols>
          <w:pgMar w:left="240" w:top="125" w:right="239" w:bottom="0" w:gutter="0" w:footer="0" w:header="0"/>
        </w:sectPr>
      </w:pPr>
    </w:p>
    <w:bookmarkStart w:id="151" w:name="page152"/>
    <w:bookmarkEnd w:id="151"/>
    <w:p>
      <w:pPr>
        <w:spacing w:after="0" w:line="10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Commitments. Within the foregoing limits and subject to the terms and conditions set forth herein, the Borrowers may borrow, prepay and reborrow Revolving Credit Loans.</w:t>
      </w:r>
    </w:p>
    <w:p>
      <w:pPr>
        <w:spacing w:after="0" w:line="170" w:lineRule="exact"/>
        <w:rPr>
          <w:sz w:val="20"/>
          <w:szCs w:val="20"/>
          <w:color w:val="auto"/>
        </w:rPr>
      </w:pPr>
    </w:p>
    <w:p>
      <w:pPr>
        <w:ind w:right="140" w:firstLine="1305"/>
        <w:spacing w:after="0" w:line="257" w:lineRule="auto"/>
        <w:tabs>
          <w:tab w:leader="none" w:pos="195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Each Revolving Credit Loan shall be made as part of a Borrowing consisting of Revolving Credit Loans made by the Lenders ratably in accordance with their respective Commitments. The failure of any Lender to make any Revolving Credit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Revolving Credit Loans as required. Any Swingline Loan shall be made in accordance with the procedures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20" w:firstLine="1305"/>
        <w:spacing w:after="0" w:line="259" w:lineRule="auto"/>
        <w:tabs>
          <w:tab w:leader="none" w:pos="195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each Borrowing (other than any Swingline Borrowing) shall be comprised entirely of ABR Loans or Eurodollar Loans as a Borrower may request in accordance herewith. Each Lender at its option may make any Eurodollar Loan by causing any domestic or foreign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joint and several obligation of the Borrowers to repay such Loan in accordance with the terms of this Agreement.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76" w:lineRule="auto"/>
        <w:tabs>
          <w:tab w:leader="none" w:pos="1952" w:val="left"/>
        </w:tabs>
        <w:numPr>
          <w:ilvl w:val="0"/>
          <w:numId w:val="329"/>
        </w:numPr>
        <w:rPr>
          <w:rFonts w:ascii="Arial" w:cs="Arial" w:eastAsia="Arial" w:hAnsi="Arial"/>
          <w:sz w:val="17"/>
          <w:szCs w:val="17"/>
          <w:color w:val="auto"/>
        </w:rPr>
      </w:pPr>
      <w:r>
        <w:rPr>
          <w:rFonts w:ascii="Arial" w:cs="Arial" w:eastAsia="Arial" w:hAnsi="Arial"/>
          <w:sz w:val="17"/>
          <w:szCs w:val="17"/>
          <w:color w:val="auto"/>
        </w:rPr>
        <w:t xml:space="preserve">At the commencement of each Interest Period for any Eurodollar Borrowing, such Borrowing shall be in an aggregate amount that is an integral multiple of $1,000,000 and not less than $2,000,000. At the time that each ABR Borrowing is made, such ABR Borrowing shall be in an aggregate amount that is an integral multiple of $500,000 and not less than $1,000,000;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 ABR Borrowing may be in an aggregate amount that is equal to the entire unused balance of the Aggregate Commitments. Borrowings of more than one Type may be outstanding at the same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not at any time be more than a total of ten Eurodollar Borrowings outstanding.</w:t>
      </w:r>
    </w:p>
    <w:p>
      <w:pPr>
        <w:spacing w:after="0" w:line="172" w:lineRule="exact"/>
        <w:rPr>
          <w:rFonts w:ascii="Arial" w:cs="Arial" w:eastAsia="Arial" w:hAnsi="Arial"/>
          <w:sz w:val="17"/>
          <w:szCs w:val="17"/>
          <w:color w:val="auto"/>
        </w:rPr>
      </w:pPr>
    </w:p>
    <w:p>
      <w:pPr>
        <w:ind w:firstLine="1305"/>
        <w:spacing w:after="0" w:line="277" w:lineRule="auto"/>
        <w:tabs>
          <w:tab w:leader="none" w:pos="195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no Borrower shall be entitled to request, or to elect to convert or continue, any Borrowing if the Interest Period requested with respect thereto would end after the Maturity Date.</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Requests for Borrowings of Revolving Credit Loans</w:t>
      </w:r>
      <w:r>
        <w:rPr>
          <w:rFonts w:ascii="Arial" w:cs="Arial" w:eastAsia="Arial" w:hAnsi="Arial"/>
          <w:sz w:val="18"/>
          <w:szCs w:val="18"/>
          <w:color w:val="auto"/>
        </w:rPr>
        <w:t xml:space="preserve">. To request a Borrowing of Revolving Credit Loans, a Borrower shall notify the Administrative Agent (and the Administrative Agent shall promptly thereafter notify the Lenders) of such request by telephone (a) in the case of a Eurodollar Borrowing, not later than 11:00 a.m., New York City time, three Business Days before the date of the proposed Borrowing or (b) in the case of an ABR Borrowing, not later than 11:30 a.m., New York City time, on the date of the proposed Borrowing. Each such telephonic Borrowing Request shall be irrevocable and shall be confirmed promptly by hand delivery or by facsimile transmission or electronic transmission (in .pdf format) to the Administrative Agent of a written Borrowing Request signed by the Borrower requesting the Borrowing. Each such telephonic and written Borrowing Request shall specify the following information in compliance with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89" w:lineRule="exact"/>
        <w:rPr>
          <w:sz w:val="20"/>
          <w:szCs w:val="20"/>
          <w:color w:val="auto"/>
        </w:rPr>
      </w:pPr>
    </w:p>
    <w:p>
      <w:pPr>
        <w:ind w:left="2620" w:hanging="667"/>
        <w:spacing w:after="0"/>
        <w:tabs>
          <w:tab w:leader="none" w:pos="26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aggregate principal amount of the requested Borrowing;</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whether such Borrowing is to be an ABR Borrowing or a Eurodollar Borrowing;</w:t>
      </w:r>
    </w:p>
    <w:p>
      <w:pPr>
        <w:spacing w:after="0" w:line="225" w:lineRule="exact"/>
        <w:rPr>
          <w:rFonts w:ascii="Arial" w:cs="Arial" w:eastAsia="Arial" w:hAnsi="Arial"/>
          <w:sz w:val="18"/>
          <w:szCs w:val="18"/>
          <w:color w:val="auto"/>
        </w:rPr>
      </w:pPr>
    </w:p>
    <w:p>
      <w:pPr>
        <w:ind w:left="660" w:right="680" w:firstLine="1293"/>
        <w:spacing w:after="0" w:line="277" w:lineRule="auto"/>
        <w:tabs>
          <w:tab w:leader="none" w:pos="2622"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in the case of a Eurodollar Borrowing, the initial Interest Period to be applicable thereto, which shall be a period contemplated by the definition of the term “Interest Period”; and</w:t>
      </w:r>
    </w:p>
    <w:p>
      <w:pPr>
        <w:spacing w:after="0" w:line="170" w:lineRule="exact"/>
        <w:rPr>
          <w:rFonts w:ascii="Arial" w:cs="Arial" w:eastAsia="Arial" w:hAnsi="Arial"/>
          <w:sz w:val="18"/>
          <w:szCs w:val="18"/>
          <w:color w:val="auto"/>
        </w:rPr>
      </w:pPr>
    </w:p>
    <w:p>
      <w:pPr>
        <w:ind w:left="660" w:right="540" w:firstLine="1293"/>
        <w:spacing w:after="0" w:line="277" w:lineRule="auto"/>
        <w:tabs>
          <w:tab w:leader="none" w:pos="2612"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the location and number of the account of the requesting Borrower to which funds are to be disbursed, which shall comply with the requirements of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If no election as to the Type of Borrowing is specified, then the requested Borrowing shall be an ABR Borrowing. If no Interest Period is specified with respect to any requested Eurodollar Borrowing, then the requesting Borrower shall be deemed to have selected an Interest Period of one month’s duration. Promptly following receipt of a Borrowing Request in accordance with this Section, the Administrative Agent shall advise each Lender of the details thereof and of the amount of such Lender’s Revolving Credit Loan to be made as part of the requested Borrowing.</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Swingline Loans</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287" w:lineRule="auto"/>
        <w:tabs>
          <w:tab w:leader="none" w:pos="1942" w:val="left"/>
        </w:tabs>
        <w:numPr>
          <w:ilvl w:val="0"/>
          <w:numId w:val="331"/>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any Swingline Lender may in its sole discretion, in reliance upon the agreements of the Lenders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make loans (each such loan, a “</w:t>
      </w:r>
      <w:r>
        <w:rPr>
          <w:rFonts w:ascii="Arial" w:cs="Arial" w:eastAsia="Arial" w:hAnsi="Arial"/>
          <w:sz w:val="16"/>
          <w:szCs w:val="16"/>
          <w:u w:val="single" w:color="auto"/>
          <w:color w:val="auto"/>
        </w:rPr>
        <w:t>Swingline Loan</w:t>
      </w:r>
      <w:r>
        <w:rPr>
          <w:rFonts w:ascii="Arial" w:cs="Arial" w:eastAsia="Arial" w:hAnsi="Arial"/>
          <w:sz w:val="16"/>
          <w:szCs w:val="16"/>
          <w:color w:val="auto"/>
        </w:rPr>
        <w:t xml:space="preserve">”), denominated in Dollars, to the Borrowers from time to time on any Business Day during the Availability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Swingline Loan, (i) such Swingline Loan, when aggregated with the Revolving Credit Exposure of the Lender acting as such Swingline Lender, shall not exceed such Lender’s Commitment, (ii) the aggregate principal amount of all outstanding Swingline Loans and all outstanding RCF Swingline Loans shall not exceed $50,000,000 and (iii) the Total Revolving Credit Exposure shall not exceed the Aggregate Commitments;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Borrower shall not use the proceeds of any Swingline Loan to refinance any outstanding Swingline Loan. Within the foregoing limits and subject to the terms and conditions set forth herein, the Borrowers may borrow, prepay and reborrow Swingline Loans. Subject to </w:t>
      </w:r>
      <w:r>
        <w:rPr>
          <w:rFonts w:ascii="Arial" w:cs="Arial" w:eastAsia="Arial" w:hAnsi="Arial"/>
          <w:sz w:val="16"/>
          <w:szCs w:val="16"/>
          <w:u w:val="single" w:color="auto"/>
          <w:color w:val="auto"/>
        </w:rPr>
        <w:t>Section 2.03(c)(ii)</w:t>
      </w:r>
      <w:r>
        <w:rPr>
          <w:rFonts w:ascii="Arial" w:cs="Arial" w:eastAsia="Arial" w:hAnsi="Arial"/>
          <w:sz w:val="16"/>
          <w:szCs w:val="16"/>
          <w:color w:val="auto"/>
        </w:rPr>
        <w:t>, each Swingline Loan shall bear interest at a rate that is mutually agreeable to the applicable Swingline Lender and the applicable Borrower at the time such Borrower delivers a Swingline Borrowing Request for a Swingline Loan to such Swingline Lender (the “</w:t>
      </w:r>
      <w:r>
        <w:rPr>
          <w:rFonts w:ascii="Arial" w:cs="Arial" w:eastAsia="Arial" w:hAnsi="Arial"/>
          <w:sz w:val="16"/>
          <w:szCs w:val="16"/>
          <w:u w:val="single" w:color="auto"/>
          <w:color w:val="auto"/>
        </w:rPr>
        <w:t>Agreed Swingline Rate</w:t>
      </w:r>
      <w:r>
        <w:rPr>
          <w:rFonts w:ascii="Arial" w:cs="Arial" w:eastAsia="Arial" w:hAnsi="Arial"/>
          <w:sz w:val="16"/>
          <w:szCs w:val="16"/>
          <w:color w:val="auto"/>
        </w:rPr>
        <w:t xml:space="preserve">”). Immediately upon the making of a Swingline Loan, each Lender shall be deemed to, and hereby irrevocably and unconditionally agrees to, purchase from the applicable Swingline Lender a risk participation in such Swingline Loan in an amount equal to the product of such Lender’s Applicable Percentage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the amount of such Swingline Loan.</w:t>
      </w:r>
    </w:p>
    <w:p>
      <w:pPr>
        <w:spacing w:after="0" w:line="168" w:lineRule="exact"/>
        <w:rPr>
          <w:rFonts w:ascii="Arial" w:cs="Arial" w:eastAsia="Arial" w:hAnsi="Arial"/>
          <w:sz w:val="16"/>
          <w:szCs w:val="16"/>
          <w:color w:val="auto"/>
        </w:rPr>
      </w:pPr>
    </w:p>
    <w:p>
      <w:pPr>
        <w:ind w:right="40" w:firstLine="1305"/>
        <w:spacing w:after="0" w:line="297" w:lineRule="auto"/>
        <w:tabs>
          <w:tab w:leader="none" w:pos="1952"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To request a Swingline Borrowing, a Borrower shall notify the applicable Swingline Lender and the Administrative Agent of such request by telephone not later than 2:00 p.m., New York City time, on the day of a proposed Swingline Borrowing. Each such telephonic Swingline Borrowing Request shall be irrevocable and shall be confirmed promptly by hand delivery or by facsimile transmission or electronic transmission (in .pdf format) to the applicable Swingline Lender and the Administrative Agent of a written Swingline Borrowing Request signed by the Borrower requesting the Swingline Borrowing. Each such telephonic and written Swingline Borrowing Request shall specify (i) the requested date of such Swingline Borrowing</w:t>
      </w:r>
    </w:p>
    <w:p>
      <w:pPr>
        <w:sectPr>
          <w:pgSz w:w="11900" w:h="16941" w:orient="portrait"/>
          <w:cols w:equalWidth="0" w:num="1">
            <w:col w:w="11380"/>
          </w:cols>
          <w:pgMar w:left="240" w:top="125" w:right="279" w:bottom="0" w:gutter="0" w:footer="0" w:header="0"/>
        </w:sectPr>
      </w:pPr>
    </w:p>
    <w:bookmarkStart w:id="152" w:name="page153"/>
    <w:bookmarkEnd w:id="152"/>
    <w:p>
      <w:pPr>
        <w:spacing w:after="0" w:line="255" w:lineRule="auto"/>
        <w:rPr>
          <w:sz w:val="20"/>
          <w:szCs w:val="20"/>
          <w:color w:val="auto"/>
        </w:rPr>
      </w:pPr>
      <w:r>
        <w:rPr>
          <w:rFonts w:ascii="Arial" w:cs="Arial" w:eastAsia="Arial" w:hAnsi="Arial"/>
          <w:sz w:val="18"/>
          <w:szCs w:val="18"/>
          <w:color w:val="auto"/>
        </w:rPr>
        <w:t>(which shall be a Business Day) and (ii) the amount of the requested Swingline Borrowing, which shall be an integral multiple of $500,000 and not less than $1,000,000. Upon receiving a Swingline Borrowing Request, the applicable Swingline Lender may, in its sole discretion, either reject such request or agree to make such Swingline Loan, it being understood that no Swingline Lender shall be under any obligation to make any Swingline Loan to any Borrower at any time. If a Swingline Lender agrees to make a Swingline Loan to any Borrower, it shall make such Swingline Loan available to such Borrower by means of a credit (if JPMorgan is the applicable Swingline Lender) to the general deposit account of such Borrower with the Administrative Agent by 3:00 p.m., New York City time, on the requested date of such Swingline Borrowing.</w:t>
      </w:r>
    </w:p>
    <w:p>
      <w:pPr>
        <w:spacing w:after="0" w:line="193" w:lineRule="exact"/>
        <w:rPr>
          <w:sz w:val="20"/>
          <w:szCs w:val="20"/>
          <w:color w:val="auto"/>
        </w:rPr>
      </w:pPr>
    </w:p>
    <w:p>
      <w:pPr>
        <w:ind w:right="100" w:firstLine="1305"/>
        <w:spacing w:after="0" w:line="259" w:lineRule="auto"/>
        <w:tabs>
          <w:tab w:leader="none" w:pos="195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 Any Swingline Lender at any time in its sole and absolute discretion may request, on behalf of the Borrowers (which hereby irrevocably authorize such Swingline Lender to so request on their behalf), that each Lender make an ABR Loan in an amount equal to such Lender’s Applicable Percentage of the amount of Swingline Loans made by such Swingline Lender then outstanding. Any such request shall be made in writing (which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written request shall be deemed to be a Borrowing Request for purposes hereof) and in accordance with the requirements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(without regard to the minimum and multiples specified in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for the principal amount of ABR Borrowings) and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The applicable Swingline Lender shall furnish the Borrowers with a copy of the applicable Borrowing Request promptly after delivering such notice to the Administrative Agent. Each Lender shall make an amount equal to its Applicable Percentage of the amount specified in such Borrowing Request available to the Administrative Agent, for the account of the applicable Swingline Lender, by wire transfer of immediately available funds, by 1:00 p.m., New York City time, on the day specified in such Borrowing Request, to the account of the Administrative Agent most recently designated by it for such purpose by notice to the Lenders, whereupon, subject to </w:t>
      </w:r>
      <w:r>
        <w:rPr>
          <w:rFonts w:ascii="Arial" w:cs="Arial" w:eastAsia="Arial" w:hAnsi="Arial"/>
          <w:sz w:val="16"/>
          <w:szCs w:val="16"/>
          <w:u w:val="single" w:color="auto"/>
          <w:color w:val="auto"/>
        </w:rPr>
        <w:t>Section 2.03(c)(ii)</w:t>
      </w:r>
      <w:r>
        <w:rPr>
          <w:rFonts w:ascii="Arial" w:cs="Arial" w:eastAsia="Arial" w:hAnsi="Arial"/>
          <w:sz w:val="16"/>
          <w:szCs w:val="16"/>
          <w:color w:val="auto"/>
        </w:rPr>
        <w:t>, each Lender that so makes funds available shall be deemed to have made an ABR Loan to the applicable Borrower in such amount. The Administrative Agent shall remit the funds so received to the applicable Swingline Lender.</w:t>
      </w:r>
    </w:p>
    <w:p>
      <w:pPr>
        <w:spacing w:after="0" w:line="166" w:lineRule="exact"/>
        <w:rPr>
          <w:sz w:val="20"/>
          <w:szCs w:val="20"/>
          <w:color w:val="auto"/>
        </w:rPr>
      </w:pPr>
    </w:p>
    <w:p>
      <w:pPr>
        <w:ind w:left="660" w:firstLine="1293"/>
        <w:spacing w:after="0" w:line="254" w:lineRule="auto"/>
        <w:tabs>
          <w:tab w:leader="none" w:pos="263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If for any reason any Swingline Loan cannot be refinanced by a Borrowing of Revolving Credit Loans in accordance with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the request for ABR Loans submitted by a Swingline Lender as set forth in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shall be deemed to be a request by such Swingline Lender that each of the Lenders fund its risk participation in the relevant Swingline Loan and each such Lender’s payment to the Administrative Agent for the account of such Swingline Lender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shall be deemed payment in respect of such participation. From and after the date when the Lenders are required to make funds available to the Administrative Agent for the account of the applicable Swingline Lender for the purpose of funding the Lenders’ risk participations in any Swingline Loans made by such Swingline Lender, such Swingline Loans shall bear interest at the rate applicable to ABR Revolving Credit Borrowings as provided in </w:t>
      </w: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rather than the applicable Agreed Swingline Rate.</w:t>
      </w:r>
    </w:p>
    <w:p>
      <w:pPr>
        <w:spacing w:after="0" w:line="192" w:lineRule="exact"/>
        <w:rPr>
          <w:rFonts w:ascii="Arial" w:cs="Arial" w:eastAsia="Arial" w:hAnsi="Arial"/>
          <w:sz w:val="18"/>
          <w:szCs w:val="18"/>
          <w:color w:val="auto"/>
        </w:rPr>
      </w:pPr>
    </w:p>
    <w:p>
      <w:pPr>
        <w:ind w:left="660" w:right="20" w:firstLine="1293"/>
        <w:spacing w:after="0" w:line="288" w:lineRule="auto"/>
        <w:tabs>
          <w:tab w:leader="none" w:pos="264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 xml:space="preserve">If any Lender fails to make available to the Administrative Agent for the account of any Swingline Lender any amount required to be paid by such Lender pursuant to the foregoing provisions of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then such Swingline Lender shall be entitled to recover from such Lender (acting through the Administrative Agent), on demand, such amount with interest thereon for the period from the date such payment is required to the date on which such payment is immediately available to such Swingline Lender at a rate per annum equal to the greater of the Federal Funds Effective Rate and a rate determined by such Swingline Lender in accordance with banking industry rules on interbank compensation, plus any administrative, processing or similar fees customarily charged by such Swingline Lender in connection with the foregoing. If such Lender pays such amount, the amount so paid (excluding the interest and fees referred to in the immediately preceding sentence) shall constitute such Lender’s Loan included in the relevant Borrowing or funded participation in the relevant Swingline Loan, as the case may be. A certificate of the applicable Swingline Lender submitted to any Lender (through the Administrative Agent), with respect to any amounts owing under this </w:t>
      </w:r>
      <w:r>
        <w:rPr>
          <w:rFonts w:ascii="Arial" w:cs="Arial" w:eastAsia="Arial" w:hAnsi="Arial"/>
          <w:sz w:val="16"/>
          <w:szCs w:val="16"/>
          <w:u w:val="single" w:color="auto"/>
          <w:color w:val="auto"/>
        </w:rPr>
        <w:t>Section 2.03(c)(iii)</w:t>
      </w:r>
      <w:r>
        <w:rPr>
          <w:rFonts w:ascii="Arial" w:cs="Arial" w:eastAsia="Arial" w:hAnsi="Arial"/>
          <w:sz w:val="16"/>
          <w:szCs w:val="16"/>
          <w:color w:val="auto"/>
        </w:rPr>
        <w:t xml:space="preserve"> shall be conclusive absent manifest error.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firstLine="1293"/>
        <w:spacing w:after="0" w:line="254" w:lineRule="auto"/>
        <w:tabs>
          <w:tab w:leader="none" w:pos="2622" w:val="left"/>
        </w:tabs>
        <w:numPr>
          <w:ilvl w:val="1"/>
          <w:numId w:val="334"/>
        </w:numPr>
        <w:rPr>
          <w:rFonts w:ascii="Arial" w:cs="Arial" w:eastAsia="Arial" w:hAnsi="Arial"/>
          <w:sz w:val="18"/>
          <w:szCs w:val="18"/>
          <w:color w:val="auto"/>
        </w:rPr>
      </w:pPr>
      <w:r>
        <w:rPr>
          <w:rFonts w:ascii="Arial" w:cs="Arial" w:eastAsia="Arial" w:hAnsi="Arial"/>
          <w:sz w:val="18"/>
          <w:szCs w:val="18"/>
          <w:color w:val="auto"/>
        </w:rPr>
        <w:t xml:space="preserve">Each Lender’s obligation to make Revolving Credit Loans or to purchase and fund risk participations in Swingline Loans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applicable Swingline Lender, the applicable Borrower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Lender’s obligation to make Revolving Credit Loans (but not fund risk participations)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Funding of risk participations in accordance with this Section shall not relieve or otherwise impair the obligation of any Borrower to repay Swingline Loans made to it, together with interest as provided herein.</w:t>
      </w:r>
    </w:p>
    <w:p>
      <w:pPr>
        <w:spacing w:after="0" w:line="192" w:lineRule="exact"/>
        <w:rPr>
          <w:rFonts w:ascii="Arial" w:cs="Arial" w:eastAsia="Arial" w:hAnsi="Arial"/>
          <w:sz w:val="18"/>
          <w:szCs w:val="18"/>
          <w:color w:val="auto"/>
        </w:rPr>
      </w:pPr>
    </w:p>
    <w:p>
      <w:pPr>
        <w:ind w:right="180" w:firstLine="1305"/>
        <w:spacing w:after="0" w:line="264" w:lineRule="auto"/>
        <w:tabs>
          <w:tab w:leader="none" w:pos="1952"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 At any time after any Lender has purchased and funded a risk participation in a Swingline Loan, if the applicable Swingline Lender receives any payment on account of such Swingline Loan, such Swingline Lender will distribute to such Lender its Applicable Percentage thereof in the same funds as those received by such Swingline Lender.</w:t>
      </w:r>
    </w:p>
    <w:p>
      <w:pPr>
        <w:spacing w:after="0" w:line="181" w:lineRule="exact"/>
        <w:rPr>
          <w:rFonts w:ascii="Arial" w:cs="Arial" w:eastAsia="Arial" w:hAnsi="Arial"/>
          <w:sz w:val="18"/>
          <w:szCs w:val="18"/>
          <w:color w:val="auto"/>
        </w:rPr>
      </w:pPr>
    </w:p>
    <w:p>
      <w:pPr>
        <w:ind w:left="660" w:right="160" w:firstLine="1293"/>
        <w:spacing w:after="0" w:line="293" w:lineRule="auto"/>
        <w:tabs>
          <w:tab w:leader="none" w:pos="2636" w:val="left"/>
        </w:tabs>
        <w:numPr>
          <w:ilvl w:val="1"/>
          <w:numId w:val="335"/>
        </w:numPr>
        <w:rPr>
          <w:rFonts w:ascii="Arial" w:cs="Arial" w:eastAsia="Arial" w:hAnsi="Arial"/>
          <w:sz w:val="16"/>
          <w:szCs w:val="16"/>
          <w:color w:val="auto"/>
        </w:rPr>
      </w:pPr>
      <w:r>
        <w:rPr>
          <w:rFonts w:ascii="Arial" w:cs="Arial" w:eastAsia="Arial" w:hAnsi="Arial"/>
          <w:sz w:val="16"/>
          <w:szCs w:val="16"/>
          <w:color w:val="auto"/>
        </w:rPr>
        <w:t xml:space="preserve">If any payment received by the applicable Swingline Lender in respect of principal or interest on any Swingline Loan is required to be returned by such Swingline Lender under any of the circumstances described in </w:t>
      </w:r>
      <w:r>
        <w:rPr>
          <w:rFonts w:ascii="Arial" w:cs="Arial" w:eastAsia="Arial" w:hAnsi="Arial"/>
          <w:sz w:val="16"/>
          <w:szCs w:val="16"/>
          <w:u w:val="single" w:color="auto"/>
          <w:color w:val="auto"/>
        </w:rPr>
        <w:t>Section 11.20</w:t>
      </w:r>
      <w:r>
        <w:rPr>
          <w:rFonts w:ascii="Arial" w:cs="Arial" w:eastAsia="Arial" w:hAnsi="Arial"/>
          <w:sz w:val="16"/>
          <w:szCs w:val="16"/>
          <w:color w:val="auto"/>
        </w:rPr>
        <w:t xml:space="preserve"> (including pursuant to any settlement entered into by such Swingline Lender in its discretion), each Lender shall pay to such Swingline Lender its Applicable Percentage thereof on demand of the Administrative Agent, plus interest thereon from the date of such demand to the date such amount is returned, at a rate per annum equal to the Federal Funds Effective Rate. The Administrative Agent will make such demand upon the request of the applicable Swingline Lender. The obligations of the Lenders under this clause shall survive the payment in full of the Obligations and the termination of this Agreement.</w:t>
      </w:r>
    </w:p>
    <w:p>
      <w:pPr>
        <w:spacing w:after="0" w:line="164" w:lineRule="exact"/>
        <w:rPr>
          <w:rFonts w:ascii="Arial" w:cs="Arial" w:eastAsia="Arial" w:hAnsi="Arial"/>
          <w:sz w:val="16"/>
          <w:szCs w:val="16"/>
          <w:color w:val="auto"/>
        </w:rPr>
      </w:pPr>
    </w:p>
    <w:p>
      <w:pPr>
        <w:ind w:right="300" w:firstLine="1305"/>
        <w:spacing w:after="0" w:line="286" w:lineRule="auto"/>
        <w:tabs>
          <w:tab w:leader="none" w:pos="1955" w:val="left"/>
        </w:tabs>
        <w:numPr>
          <w:ilvl w:val="0"/>
          <w:numId w:val="335"/>
        </w:numPr>
        <w:rPr>
          <w:rFonts w:ascii="Arial" w:cs="Arial" w:eastAsia="Arial" w:hAnsi="Arial"/>
          <w:sz w:val="17"/>
          <w:szCs w:val="17"/>
          <w:color w:val="auto"/>
        </w:rPr>
      </w:pPr>
      <w:r>
        <w:rPr>
          <w:rFonts w:ascii="Arial" w:cs="Arial" w:eastAsia="Arial" w:hAnsi="Arial"/>
          <w:sz w:val="17"/>
          <w:szCs w:val="17"/>
          <w:color w:val="auto"/>
        </w:rPr>
        <w:t xml:space="preserve">Each Swingline Lender shall be responsible for invoicing the applicable Borrower for interest on the Swingline Loans made by such Swingline Lender to such Borrower. Until each Lender funds its ABR Loan or risk participation pursuant to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with respect to any Swingline Loan, interest in respect of such Applicable Percentage shall be solely for the account of the applicable Swingline Lender.</w:t>
      </w:r>
    </w:p>
    <w:p>
      <w:pPr>
        <w:spacing w:after="0" w:line="165" w:lineRule="exact"/>
        <w:rPr>
          <w:rFonts w:ascii="Arial" w:cs="Arial" w:eastAsia="Arial" w:hAnsi="Arial"/>
          <w:sz w:val="17"/>
          <w:szCs w:val="17"/>
          <w:color w:val="auto"/>
        </w:rPr>
      </w:pPr>
    </w:p>
    <w:p>
      <w:pPr>
        <w:ind w:right="260" w:firstLine="1305"/>
        <w:spacing w:after="0" w:line="277" w:lineRule="auto"/>
        <w:tabs>
          <w:tab w:leader="none" w:pos="1949"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Each Borrower shall make all payments of principal and interest in respect of each Swingline Loan made to it by any Swingline Lender directly to such Swingline Lender in accordance with </w:t>
      </w:r>
      <w:r>
        <w:rPr>
          <w:rFonts w:ascii="Arial" w:cs="Arial" w:eastAsia="Arial" w:hAnsi="Arial"/>
          <w:sz w:val="18"/>
          <w:szCs w:val="18"/>
          <w:u w:val="single" w:color="auto"/>
          <w:color w:val="auto"/>
        </w:rPr>
        <w:t>Section 2.07</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153" w:name="page154"/>
    <w:bookmarkEnd w:id="153"/>
    <w:p>
      <w:pPr>
        <w:ind w:left="660"/>
        <w:spacing w:after="0"/>
        <w:tabs>
          <w:tab w:leader="none" w:pos="226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Funding of Borrowings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79" w:lineRule="auto"/>
        <w:tabs>
          <w:tab w:leader="none" w:pos="1942" w:val="left"/>
        </w:tabs>
        <w:numPr>
          <w:ilvl w:val="0"/>
          <w:numId w:val="336"/>
        </w:numPr>
        <w:rPr>
          <w:rFonts w:ascii="Arial" w:cs="Arial" w:eastAsia="Arial" w:hAnsi="Arial"/>
          <w:sz w:val="17"/>
          <w:szCs w:val="17"/>
          <w:color w:val="auto"/>
        </w:rPr>
      </w:pPr>
      <w:r>
        <w:rPr>
          <w:rFonts w:ascii="Arial" w:cs="Arial" w:eastAsia="Arial" w:hAnsi="Arial"/>
          <w:sz w:val="17"/>
          <w:szCs w:val="17"/>
          <w:color w:val="auto"/>
        </w:rPr>
        <w:t xml:space="preserve">Each Lender shall make each Loan to be made by it hereunder on the proposed date thereof by wire transfer of immediately available funds (i) by 12:00 noon, New York City time, in the case of a Borrowing consisting of Eurodollar Loans and (ii) by 1:30 p.m., New York City time, in the case of a Borrowing consisting of ABR Loans, to the account of the Administrative Agent most recently designated by it for such purpose by notice to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Swingline Loans shall be made as provided in </w:t>
      </w:r>
      <w:r>
        <w:rPr>
          <w:rFonts w:ascii="Arial" w:cs="Arial" w:eastAsia="Arial" w:hAnsi="Arial"/>
          <w:sz w:val="17"/>
          <w:szCs w:val="17"/>
          <w:u w:val="single" w:color="auto"/>
          <w:color w:val="auto"/>
        </w:rPr>
        <w:t>Section 2.03</w:t>
      </w:r>
      <w:r>
        <w:rPr>
          <w:rFonts w:ascii="Arial" w:cs="Arial" w:eastAsia="Arial" w:hAnsi="Arial"/>
          <w:sz w:val="17"/>
          <w:szCs w:val="17"/>
          <w:color w:val="auto"/>
        </w:rPr>
        <w:t>. The Administrative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Agent shall make such Loans available to the requesting Borrower by promptly crediting the amounts so received in like funds to an account of such Borrower designated by such Borrower in the applicable Borrowing Request.</w:t>
      </w:r>
    </w:p>
    <w:p>
      <w:pPr>
        <w:spacing w:after="0" w:line="170" w:lineRule="exact"/>
        <w:rPr>
          <w:sz w:val="20"/>
          <w:szCs w:val="20"/>
          <w:color w:val="auto"/>
        </w:rPr>
      </w:pPr>
    </w:p>
    <w:p>
      <w:pPr>
        <w:ind w:right="40" w:firstLine="1305"/>
        <w:spacing w:after="0" w:line="269" w:lineRule="auto"/>
        <w:tabs>
          <w:tab w:leader="none" w:pos="1952" w:val="left"/>
        </w:tabs>
        <w:numPr>
          <w:ilvl w:val="0"/>
          <w:numId w:val="337"/>
        </w:numPr>
        <w:rPr>
          <w:rFonts w:ascii="Arial" w:cs="Arial" w:eastAsia="Arial" w:hAnsi="Arial"/>
          <w:sz w:val="17"/>
          <w:szCs w:val="17"/>
          <w:color w:val="auto"/>
        </w:rPr>
      </w:pPr>
      <w:r>
        <w:rPr>
          <w:rFonts w:ascii="Arial" w:cs="Arial" w:eastAsia="Arial" w:hAnsi="Arial"/>
          <w:sz w:val="17"/>
          <w:szCs w:val="17"/>
          <w:color w:val="auto"/>
        </w:rPr>
        <w:t xml:space="preserve">Unless the Administrative Agent shall have received notice from a Lender prior to the proposed date of any Borrowing of Eurodollar Loans (or, in the case of any Borrowing of ABR Loans, prior to 12:30 p.m., New York City time, on the date of such Borrowing) that such Lender shall not make available to the Administrative Agent such Lender’s ratable portion of such Borrowing, the Administrative Agent may assume that such Lender has made such ratable portion available on such date in accordance with paragraph </w:t>
      </w:r>
      <w:r>
        <w:rPr>
          <w:rFonts w:ascii="Arial" w:cs="Arial" w:eastAsia="Arial" w:hAnsi="Arial"/>
          <w:sz w:val="17"/>
          <w:szCs w:val="17"/>
          <w:u w:val="single" w:color="auto"/>
          <w:color w:val="auto"/>
        </w:rPr>
        <w:t>(a)</w:t>
      </w:r>
      <w:r>
        <w:rPr>
          <w:rFonts w:ascii="Arial" w:cs="Arial" w:eastAsia="Arial" w:hAnsi="Arial"/>
          <w:sz w:val="17"/>
          <w:szCs w:val="17"/>
          <w:color w:val="auto"/>
        </w:rPr>
        <w:t xml:space="preserve"> of this Section and may, in reliance upon such assumption, make available to the requesting Borrower a corresponding amount. In such event, if a Lender has not in fact made its share of the applicable Borrowing available to the Administrative Agent, then the Borrowers, jointly and severally, and the applicable Lender severally agree to pay to the Administrative Agent forthwith on demand such corresponding amount with interest thereon, for each day from and including the date such amount is made available to the requesting Borrower to but excluding the date of payment to the Administrative Agent, at (i) in the case of such Lender, the greater of (A) the Federal Funds Effective Rate and (B) a rate determined by the Administrative Agent in accordance with banking industry rules on interbank compensation or (ii) in the case of the Borrowers, the interest rate applicable to the Loans comprising such Borrowing. If such Lender pays such amount to the Administrative Agent, then such amount shall constitute such Lender’s Loan included in such Borrowing.</w:t>
      </w:r>
    </w:p>
    <w:p>
      <w:pPr>
        <w:spacing w:after="0" w:line="182" w:lineRule="exact"/>
        <w:rPr>
          <w:rFonts w:ascii="Arial" w:cs="Arial" w:eastAsia="Arial" w:hAnsi="Arial"/>
          <w:sz w:val="17"/>
          <w:szCs w:val="17"/>
          <w:color w:val="auto"/>
        </w:rPr>
      </w:pPr>
    </w:p>
    <w:p>
      <w:pPr>
        <w:ind w:firstLine="1305"/>
        <w:spacing w:after="0" w:line="259" w:lineRule="auto"/>
        <w:tabs>
          <w:tab w:leader="none" w:pos="195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xml:space="preserve">(i) With respect to any Borrower that is not organized under the laws of any jurisdiction of the United States, any Lender may, with notice to the Administrative Agent and WIL-Ireland, fulfill its Commitment by causing an Affiliate of such Lender to act as the Lender in respect of such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joint and several obligation of the Borrowers to repay the Loans made to such Borrower.</w:t>
      </w:r>
    </w:p>
    <w:p>
      <w:pPr>
        <w:spacing w:after="0" w:line="186" w:lineRule="exact"/>
        <w:rPr>
          <w:rFonts w:ascii="Arial" w:cs="Arial" w:eastAsia="Arial" w:hAnsi="Arial"/>
          <w:sz w:val="18"/>
          <w:szCs w:val="18"/>
          <w:color w:val="auto"/>
        </w:rPr>
      </w:pPr>
    </w:p>
    <w:p>
      <w:pPr>
        <w:ind w:left="660" w:right="60" w:firstLine="1293"/>
        <w:spacing w:after="0" w:line="269" w:lineRule="auto"/>
        <w:tabs>
          <w:tab w:leader="none" w:pos="2636" w:val="left"/>
        </w:tabs>
        <w:numPr>
          <w:ilvl w:val="1"/>
          <w:numId w:val="337"/>
        </w:numPr>
        <w:rPr>
          <w:rFonts w:ascii="Arial" w:cs="Arial" w:eastAsia="Arial" w:hAnsi="Arial"/>
          <w:sz w:val="17"/>
          <w:szCs w:val="17"/>
          <w:color w:val="auto"/>
        </w:rPr>
      </w:pPr>
      <w:r>
        <w:rPr>
          <w:rFonts w:ascii="Arial" w:cs="Arial" w:eastAsia="Arial" w:hAnsi="Arial"/>
          <w:sz w:val="17"/>
          <w:szCs w:val="17"/>
          <w:color w:val="auto"/>
        </w:rPr>
        <w:t xml:space="preserve">As a condition to any Lender being permitted to fulfill its Commitment by causing an Affiliate of such Lender to act as the Lender in respect of any Borrower under </w:t>
      </w:r>
      <w:r>
        <w:rPr>
          <w:rFonts w:ascii="Arial" w:cs="Arial" w:eastAsia="Arial" w:hAnsi="Arial"/>
          <w:sz w:val="17"/>
          <w:szCs w:val="17"/>
          <w:u w:val="single" w:color="auto"/>
          <w:color w:val="auto"/>
        </w:rPr>
        <w:t>Section 2.04(c)(i)</w:t>
      </w:r>
      <w:r>
        <w:rPr>
          <w:rFonts w:ascii="Arial" w:cs="Arial" w:eastAsia="Arial" w:hAnsi="Arial"/>
          <w:sz w:val="17"/>
          <w:szCs w:val="17"/>
          <w:color w:val="auto"/>
        </w:rPr>
        <w:t xml:space="preserve">, such Affiliate must comply with Sections </w:t>
      </w:r>
      <w:r>
        <w:rPr>
          <w:rFonts w:ascii="Arial" w:cs="Arial" w:eastAsia="Arial" w:hAnsi="Arial"/>
          <w:sz w:val="17"/>
          <w:szCs w:val="17"/>
          <w:u w:val="single" w:color="auto"/>
          <w:color w:val="auto"/>
        </w:rPr>
        <w:t>4.02(c)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4.02(e)</w:t>
      </w:r>
      <w:r>
        <w:rPr>
          <w:rFonts w:ascii="Arial" w:cs="Arial" w:eastAsia="Arial" w:hAnsi="Arial"/>
          <w:sz w:val="17"/>
          <w:szCs w:val="17"/>
          <w:color w:val="auto"/>
        </w:rPr>
        <w:t xml:space="preserve"> as if it were a Lender that became a party to this Agreement pursuant to an Assignment and Assumption executed on the first date on which such Commitment is being fulfilled by such Affiliate. Additionally, in applying the provisions of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 the definition of “Excluded Taxes”, such Affiliate shall be treated as a Lender that executed an Assignment and Assumption on the first date on which such Commitment is fulfilled by such Affiliate. Notwithstanding anything in this Agreement to the contrary, an Affiliate acting as a Lender under </w:t>
      </w:r>
      <w:r>
        <w:rPr>
          <w:rFonts w:ascii="Arial" w:cs="Arial" w:eastAsia="Arial" w:hAnsi="Arial"/>
          <w:sz w:val="17"/>
          <w:szCs w:val="17"/>
          <w:u w:val="single" w:color="auto"/>
          <w:color w:val="auto"/>
        </w:rPr>
        <w:t>Section 2.04(c)(i)</w:t>
      </w:r>
      <w:r>
        <w:rPr>
          <w:rFonts w:ascii="Arial" w:cs="Arial" w:eastAsia="Arial" w:hAnsi="Arial"/>
          <w:sz w:val="17"/>
          <w:szCs w:val="17"/>
          <w:color w:val="auto"/>
        </w:rPr>
        <w:t xml:space="preserve"> shall not be entitled to any greater gross-up or indemnity under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than that to which the applicable Lender would have been entitled had such Affiliate not acted as a Lender under </w:t>
      </w:r>
      <w:r>
        <w:rPr>
          <w:rFonts w:ascii="Arial" w:cs="Arial" w:eastAsia="Arial" w:hAnsi="Arial"/>
          <w:sz w:val="17"/>
          <w:szCs w:val="17"/>
          <w:u w:val="single" w:color="auto"/>
          <w:color w:val="auto"/>
        </w:rPr>
        <w:t>Section 2.04(c)(i)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if an Affiliate is acting as a Lender pursuant to </w:t>
      </w:r>
      <w:r>
        <w:rPr>
          <w:rFonts w:ascii="Arial" w:cs="Arial" w:eastAsia="Arial" w:hAnsi="Arial"/>
          <w:sz w:val="17"/>
          <w:szCs w:val="17"/>
          <w:u w:val="single" w:color="auto"/>
          <w:color w:val="auto"/>
        </w:rPr>
        <w:t>Section 2.04(c)(i)</w:t>
      </w:r>
      <w:r>
        <w:rPr>
          <w:rFonts w:ascii="Arial" w:cs="Arial" w:eastAsia="Arial" w:hAnsi="Arial"/>
          <w:sz w:val="17"/>
          <w:szCs w:val="17"/>
          <w:color w:val="auto"/>
        </w:rPr>
        <w:t xml:space="preserve"> solely as a result of a Lender being unable to fulfill its Commitment to any applicable Borrower due to a Requirement of Law, such Affiliate shall be entitled to a gross-up or indemnification to the same extent that would have resulted had such Lender made an assignment to such Affiliate under </w:t>
      </w:r>
      <w:r>
        <w:rPr>
          <w:rFonts w:ascii="Arial" w:cs="Arial" w:eastAsia="Arial" w:hAnsi="Arial"/>
          <w:sz w:val="17"/>
          <w:szCs w:val="17"/>
          <w:u w:val="single" w:color="auto"/>
          <w:color w:val="auto"/>
        </w:rPr>
        <w:t>Section 11.05</w:t>
      </w:r>
      <w:r>
        <w:rPr>
          <w:rFonts w:ascii="Arial" w:cs="Arial" w:eastAsia="Arial" w:hAnsi="Arial"/>
          <w:sz w:val="17"/>
          <w:szCs w:val="17"/>
          <w:color w:val="auto"/>
        </w:rPr>
        <w:t xml:space="preserve">. Moreover, nothing in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shall be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220"/>
        <w:spacing w:after="0" w:line="264" w:lineRule="auto"/>
        <w:rPr>
          <w:sz w:val="20"/>
          <w:szCs w:val="20"/>
          <w:color w:val="auto"/>
        </w:rPr>
      </w:pPr>
      <w:r>
        <w:rPr>
          <w:rFonts w:ascii="Arial" w:cs="Arial" w:eastAsia="Arial" w:hAnsi="Arial"/>
          <w:sz w:val="18"/>
          <w:szCs w:val="18"/>
          <w:color w:val="auto"/>
        </w:rPr>
        <w:t>construed as making an Affiliate of any Lender a beneficial owner of payments received as a result of such Affiliate’s fulfillment of such Lender’s Commitment to the extent the arrangement between such Lender and such Affiliate is one whereby such Affiliate is merely acting as an agent for such Lender.</w:t>
      </w:r>
    </w:p>
    <w:p>
      <w:pPr>
        <w:spacing w:after="0" w:line="181"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u w:val="single" w:color="auto"/>
          <w:color w:val="auto"/>
        </w:rPr>
        <w:t>Interest Elections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4" w:lineRule="auto"/>
        <w:tabs>
          <w:tab w:leader="none" w:pos="1942"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Each Borrowing initially shall be of the Type specified in the applicable Borrowing Request and, in the case of a Eurodollar Borrowing, shall have an initial Interest Period as specified in such Borrowing Request or as otherwise provided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Thereafter, a Borrower may, at any time and from time to time, elect to convert such Borrowing to a different Type or to continue such Borrowing and, in the case of a Eurodollar Borrowing, may elect Interest Periods therefor, all as provided in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connection with any such election, such Borrower shall be subject to all applicable payment obligations set forth in </w:t>
      </w:r>
      <w:r>
        <w:rPr>
          <w:rFonts w:ascii="Arial" w:cs="Arial" w:eastAsia="Arial" w:hAnsi="Arial"/>
          <w:sz w:val="18"/>
          <w:szCs w:val="18"/>
          <w:u w:val="single" w:color="auto"/>
          <w:color w:val="auto"/>
        </w:rPr>
        <w:t>Section 2.13</w:t>
      </w:r>
      <w:r>
        <w:rPr>
          <w:rFonts w:ascii="Arial" w:cs="Arial" w:eastAsia="Arial" w:hAnsi="Arial"/>
          <w:sz w:val="18"/>
          <w:szCs w:val="18"/>
          <w:color w:val="auto"/>
        </w:rPr>
        <w:t>.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92" w:lineRule="exact"/>
        <w:rPr>
          <w:rFonts w:ascii="Arial" w:cs="Arial" w:eastAsia="Arial" w:hAnsi="Arial"/>
          <w:sz w:val="18"/>
          <w:szCs w:val="18"/>
          <w:color w:val="auto"/>
        </w:rPr>
      </w:pPr>
    </w:p>
    <w:p>
      <w:pPr>
        <w:ind w:right="160" w:firstLine="1305"/>
        <w:spacing w:after="0" w:line="257" w:lineRule="auto"/>
        <w:tabs>
          <w:tab w:leader="none" w:pos="1952"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To make an election pursuant to this Section, a Borrower shall notify the Administrative Agent of such election by telephone by the time that a Borrowing Request would be required under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if such Borrower were requesting a Borrowing of the Type resulting from such election to be made on the effective date of such election. Each such telephonic Interest Election Request shall be irrevocable and shall be confirmed promptly by hand delivery or by facsimile transmission or electronic transmission (in .pdf format) to the Administrative Agent of a written Interest Election Request signed by such Borrower.</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 xml:space="preserve">Each telephonic and written Interest Election Request shall specify the following information in compliance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660" w:right="100" w:firstLine="1293"/>
        <w:spacing w:after="0" w:line="264" w:lineRule="auto"/>
        <w:tabs>
          <w:tab w:leader="none" w:pos="2626" w:val="left"/>
        </w:tabs>
        <w:numPr>
          <w:ilvl w:val="1"/>
          <w:numId w:val="338"/>
        </w:numPr>
        <w:rPr>
          <w:rFonts w:ascii="Arial" w:cs="Arial" w:eastAsia="Arial" w:hAnsi="Arial"/>
          <w:sz w:val="18"/>
          <w:szCs w:val="18"/>
          <w:color w:val="auto"/>
        </w:rPr>
      </w:pPr>
      <w:r>
        <w:rPr>
          <w:rFonts w:ascii="Arial" w:cs="Arial" w:eastAsia="Arial" w:hAnsi="Arial"/>
          <w:sz w:val="18"/>
          <w:szCs w:val="18"/>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clauses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below shall be specified for each resulting Borrowing);</w:t>
      </w:r>
    </w:p>
    <w:p>
      <w:pPr>
        <w:spacing w:after="0" w:line="181" w:lineRule="exact"/>
        <w:rPr>
          <w:rFonts w:ascii="Arial" w:cs="Arial" w:eastAsia="Arial" w:hAnsi="Arial"/>
          <w:sz w:val="18"/>
          <w:szCs w:val="18"/>
          <w:color w:val="auto"/>
        </w:rPr>
      </w:pPr>
    </w:p>
    <w:p>
      <w:pPr>
        <w:ind w:left="2640" w:hanging="687"/>
        <w:spacing w:after="0"/>
        <w:tabs>
          <w:tab w:leader="none" w:pos="2640" w:val="left"/>
        </w:tabs>
        <w:numPr>
          <w:ilvl w:val="1"/>
          <w:numId w:val="338"/>
        </w:numPr>
        <w:rPr>
          <w:rFonts w:ascii="Arial" w:cs="Arial" w:eastAsia="Arial" w:hAnsi="Arial"/>
          <w:sz w:val="17"/>
          <w:szCs w:val="17"/>
          <w:color w:val="auto"/>
        </w:rPr>
      </w:pPr>
      <w:r>
        <w:rPr>
          <w:rFonts w:ascii="Arial" w:cs="Arial" w:eastAsia="Arial" w:hAnsi="Arial"/>
          <w:sz w:val="17"/>
          <w:szCs w:val="17"/>
          <w:color w:val="auto"/>
        </w:rPr>
        <w:t>the effective date of the election made pursuant to such Interest Election Request, which shall be a Business Day;</w:t>
      </w:r>
    </w:p>
    <w:p>
      <w:pPr>
        <w:sectPr>
          <w:pgSz w:w="11900" w:h="16838" w:orient="portrait"/>
          <w:cols w:equalWidth="0" w:num="1">
            <w:col w:w="11400"/>
          </w:cols>
          <w:pgMar w:left="240" w:top="126" w:right="259" w:bottom="0" w:gutter="0" w:footer="0" w:header="0"/>
        </w:sectPr>
      </w:pPr>
    </w:p>
    <w:bookmarkStart w:id="154" w:name="page155"/>
    <w:bookmarkEnd w:id="154"/>
    <w:p>
      <w:pPr>
        <w:ind w:left="2640" w:hanging="687"/>
        <w:spacing w:after="0"/>
        <w:tabs>
          <w:tab w:leader="none" w:pos="26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Eurodollar Borrowing; and</w:t>
      </w:r>
    </w:p>
    <w:p>
      <w:pPr>
        <w:spacing w:after="0" w:line="225" w:lineRule="exact"/>
        <w:rPr>
          <w:rFonts w:ascii="Arial" w:cs="Arial" w:eastAsia="Arial" w:hAnsi="Arial"/>
          <w:sz w:val="18"/>
          <w:szCs w:val="18"/>
          <w:color w:val="auto"/>
        </w:rPr>
      </w:pPr>
    </w:p>
    <w:p>
      <w:pPr>
        <w:ind w:left="660" w:right="340" w:firstLine="1293"/>
        <w:spacing w:after="0" w:line="277" w:lineRule="auto"/>
        <w:tabs>
          <w:tab w:leader="none" w:pos="262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any such Interest Election Request requests a Eurodollar Borrowing but does not specify an Interest Period, then the Borrower making such Interest Election Request shall be deemed to have selected an Interest Period of one month’s duration.</w:t>
      </w:r>
    </w:p>
    <w:p>
      <w:pPr>
        <w:spacing w:after="0" w:line="170" w:lineRule="exact"/>
        <w:rPr>
          <w:sz w:val="20"/>
          <w:szCs w:val="20"/>
          <w:color w:val="auto"/>
        </w:rPr>
      </w:pPr>
    </w:p>
    <w:p>
      <w:pPr>
        <w:ind w:right="540" w:firstLine="1305"/>
        <w:spacing w:after="0" w:line="277" w:lineRule="auto"/>
        <w:tabs>
          <w:tab w:leader="none" w:pos="1952" w:val="left"/>
        </w:tabs>
        <w:numPr>
          <w:ilvl w:val="0"/>
          <w:numId w:val="340"/>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Lender of the details thereof and of such Lender’s portion of each resulting Borrowing.</w:t>
      </w:r>
    </w:p>
    <w:p>
      <w:pPr>
        <w:spacing w:after="0" w:line="170" w:lineRule="exact"/>
        <w:rPr>
          <w:rFonts w:ascii="Arial" w:cs="Arial" w:eastAsia="Arial" w:hAnsi="Arial"/>
          <w:sz w:val="18"/>
          <w:szCs w:val="18"/>
          <w:color w:val="auto"/>
        </w:rPr>
      </w:pPr>
    </w:p>
    <w:p>
      <w:pPr>
        <w:ind w:right="40" w:firstLine="1305"/>
        <w:spacing w:after="0" w:line="255" w:lineRule="auto"/>
        <w:tabs>
          <w:tab w:leader="none" w:pos="195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If a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Borrowers, then, so long as an Event of Default is continuing, (1) no outstanding Borrowing may be converted to or continued as a Eurodollar Borrowing and (2) unless repaid, each Eurodollar Borrowing shall be converted to an ABR Borrowing at the end of the Interest Period applicable thereto.</w:t>
      </w:r>
    </w:p>
    <w:p>
      <w:pPr>
        <w:spacing w:after="0" w:line="193"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w:t>
      </w:r>
    </w:p>
    <w:p>
      <w:pPr>
        <w:spacing w:after="0" w:line="225" w:lineRule="exact"/>
        <w:rPr>
          <w:sz w:val="20"/>
          <w:szCs w:val="20"/>
          <w:color w:val="auto"/>
        </w:rPr>
      </w:pPr>
    </w:p>
    <w:p>
      <w:pPr>
        <w:ind w:right="640" w:firstLine="1305"/>
        <w:spacing w:after="0" w:line="277" w:lineRule="auto"/>
        <w:tabs>
          <w:tab w:leader="none" w:pos="1942" w:val="left"/>
        </w:tabs>
        <w:numPr>
          <w:ilvl w:val="1"/>
          <w:numId w:val="341"/>
        </w:numPr>
        <w:rPr>
          <w:rFonts w:ascii="Arial" w:cs="Arial" w:eastAsia="Arial" w:hAnsi="Arial"/>
          <w:sz w:val="18"/>
          <w:szCs w:val="18"/>
          <w:color w:val="auto"/>
        </w:rPr>
      </w:pPr>
      <w:r>
        <w:rPr>
          <w:rFonts w:ascii="Arial" w:cs="Arial" w:eastAsia="Arial" w:hAnsi="Arial"/>
          <w:sz w:val="18"/>
          <w:szCs w:val="18"/>
          <w:u w:val="single" w:color="auto"/>
          <w:color w:val="auto"/>
        </w:rPr>
        <w:t>Termination of Aggregate Commitments on Maturity Date</w:t>
      </w:r>
      <w:r>
        <w:rPr>
          <w:rFonts w:ascii="Arial" w:cs="Arial" w:eastAsia="Arial" w:hAnsi="Arial"/>
          <w:sz w:val="18"/>
          <w:szCs w:val="18"/>
          <w:color w:val="auto"/>
        </w:rPr>
        <w:t>. Unless previously terminated pursuant to the terms hereof, the Commitments shall terminate on the Maturity Date.</w:t>
      </w:r>
    </w:p>
    <w:p>
      <w:pPr>
        <w:spacing w:after="0" w:line="170" w:lineRule="exact"/>
        <w:rPr>
          <w:rFonts w:ascii="Arial" w:cs="Arial" w:eastAsia="Arial" w:hAnsi="Arial"/>
          <w:sz w:val="18"/>
          <w:szCs w:val="18"/>
          <w:color w:val="auto"/>
        </w:rPr>
      </w:pPr>
    </w:p>
    <w:p>
      <w:pPr>
        <w:ind w:right="180" w:firstLine="1305"/>
        <w:spacing w:after="0" w:line="297" w:lineRule="auto"/>
        <w:tabs>
          <w:tab w:leader="none" w:pos="1952" w:val="left"/>
        </w:tabs>
        <w:numPr>
          <w:ilvl w:val="1"/>
          <w:numId w:val="341"/>
        </w:numPr>
        <w:rPr>
          <w:rFonts w:ascii="Arial" w:cs="Arial" w:eastAsia="Arial" w:hAnsi="Arial"/>
          <w:sz w:val="16"/>
          <w:szCs w:val="16"/>
          <w:color w:val="auto"/>
        </w:rPr>
      </w:pPr>
      <w:r>
        <w:rPr>
          <w:rFonts w:ascii="Arial" w:cs="Arial" w:eastAsia="Arial" w:hAnsi="Arial"/>
          <w:sz w:val="16"/>
          <w:szCs w:val="16"/>
          <w:u w:val="single" w:color="auto"/>
          <w:color w:val="auto"/>
        </w:rPr>
        <w:t>Reduction of Aggregate Commitments in Connection with Incremental Commitments</w:t>
      </w:r>
      <w:r>
        <w:rPr>
          <w:rFonts w:ascii="Arial" w:cs="Arial" w:eastAsia="Arial" w:hAnsi="Arial"/>
          <w:sz w:val="16"/>
          <w:szCs w:val="16"/>
          <w:color w:val="auto"/>
        </w:rPr>
        <w:t>. In the event that any Incremental Commitments are provided pursuant to a Commitment Increase, immediately prior to giving effect to such Commitment Increase on the applicable Increase Effective Date, the aggregate Commitments of the Lenders (other than the Commitments of any Increasing Lenders or Additional Lenders providing any Incremental Commitments) shall be permanently reduced, ratably among the Lenders in accordance with their respective Commitments, by an aggregate amount equal to fifty percent (50%) of the total Incremental Commitments provided pursuant to such Commitment Increase.</w:t>
      </w:r>
    </w:p>
    <w:p>
      <w:pPr>
        <w:spacing w:after="0" w:line="158" w:lineRule="exact"/>
        <w:rPr>
          <w:rFonts w:ascii="Arial" w:cs="Arial" w:eastAsia="Arial" w:hAnsi="Arial"/>
          <w:sz w:val="16"/>
          <w:szCs w:val="16"/>
          <w:color w:val="auto"/>
        </w:rPr>
      </w:pPr>
    </w:p>
    <w:p>
      <w:pPr>
        <w:ind w:left="1960" w:hanging="655"/>
        <w:spacing w:after="0"/>
        <w:tabs>
          <w:tab w:leader="none" w:pos="196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Voluntary Reduction of Commitments.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341"/>
        </w:numPr>
        <w:rPr>
          <w:rFonts w:ascii="Arial" w:cs="Arial" w:eastAsia="Arial" w:hAnsi="Arial"/>
          <w:sz w:val="16"/>
          <w:szCs w:val="16"/>
          <w:color w:val="auto"/>
        </w:rPr>
      </w:pPr>
      <w:r>
        <w:rPr>
          <w:rFonts w:ascii="Arial" w:cs="Arial" w:eastAsia="Arial" w:hAnsi="Arial"/>
          <w:sz w:val="16"/>
          <w:szCs w:val="16"/>
          <w:color w:val="auto"/>
        </w:rPr>
        <w:t xml:space="preserve">At their option, the Borrowers may at any time terminate, or from time to time reduce,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ind w:left="660" w:right="360" w:hanging="4"/>
        <w:spacing w:after="0" w:line="277" w:lineRule="auto"/>
        <w:tabs>
          <w:tab w:leader="none" w:pos="955" w:val="left"/>
        </w:tabs>
        <w:numPr>
          <w:ilvl w:val="0"/>
          <w:numId w:val="342"/>
        </w:numPr>
        <w:rPr>
          <w:rFonts w:ascii="Arial" w:cs="Arial" w:eastAsia="Arial" w:hAnsi="Arial"/>
          <w:sz w:val="17"/>
          <w:szCs w:val="17"/>
          <w:color w:val="auto"/>
        </w:rPr>
      </w:pPr>
      <w:r>
        <w:rPr>
          <w:rFonts w:ascii="Arial" w:cs="Arial" w:eastAsia="Arial" w:hAnsi="Arial"/>
          <w:sz w:val="17"/>
          <w:szCs w:val="17"/>
          <w:color w:val="auto"/>
        </w:rPr>
        <w:t xml:space="preserve">each reduction of the Commitments shall be in an amount that is an integral multiple of $1,000,000 and not less than $5,000,000 and (B) the Borrowers shall not terminate or reduce the Commitments if, after giving effect to any concurrent prepayment of the Loans in accordance with </w:t>
      </w:r>
      <w:r>
        <w:rPr>
          <w:rFonts w:ascii="Arial" w:cs="Arial" w:eastAsia="Arial" w:hAnsi="Arial"/>
          <w:sz w:val="17"/>
          <w:szCs w:val="17"/>
          <w:u w:val="single" w:color="auto"/>
          <w:color w:val="auto"/>
        </w:rPr>
        <w:t>Section 2.08</w:t>
      </w:r>
      <w:r>
        <w:rPr>
          <w:rFonts w:ascii="Arial" w:cs="Arial" w:eastAsia="Arial" w:hAnsi="Arial"/>
          <w:sz w:val="17"/>
          <w:szCs w:val="17"/>
          <w:color w:val="auto"/>
        </w:rPr>
        <w:t>, the Total Revolving Credit Exposure would exceed the Aggregate Commitments.</w:t>
      </w:r>
    </w:p>
    <w:p>
      <w:pPr>
        <w:spacing w:after="0" w:line="173" w:lineRule="exact"/>
        <w:rPr>
          <w:rFonts w:ascii="Arial" w:cs="Arial" w:eastAsia="Arial" w:hAnsi="Arial"/>
          <w:sz w:val="17"/>
          <w:szCs w:val="17"/>
          <w:color w:val="auto"/>
        </w:rPr>
      </w:pPr>
    </w:p>
    <w:p>
      <w:pPr>
        <w:ind w:left="660" w:right="140" w:firstLine="1293"/>
        <w:spacing w:after="0" w:line="264" w:lineRule="auto"/>
        <w:tabs>
          <w:tab w:leader="none" w:pos="2636" w:val="left"/>
        </w:tabs>
        <w:numPr>
          <w:ilvl w:val="2"/>
          <w:numId w:val="342"/>
        </w:numPr>
        <w:rPr>
          <w:rFonts w:ascii="Arial" w:cs="Arial" w:eastAsia="Arial" w:hAnsi="Arial"/>
          <w:sz w:val="18"/>
          <w:szCs w:val="18"/>
          <w:color w:val="auto"/>
        </w:rPr>
      </w:pPr>
      <w:r>
        <w:rPr>
          <w:rFonts w:ascii="Arial" w:cs="Arial" w:eastAsia="Arial" w:hAnsi="Arial"/>
          <w:sz w:val="18"/>
          <w:szCs w:val="18"/>
          <w:color w:val="auto"/>
        </w:rPr>
        <w:t xml:space="preserve">The Borrowers shall notify the Administrative Agent of any election to terminate or reduce the Commitments under </w:t>
      </w:r>
      <w:r>
        <w:rPr>
          <w:rFonts w:ascii="Arial" w:cs="Arial" w:eastAsia="Arial" w:hAnsi="Arial"/>
          <w:sz w:val="18"/>
          <w:szCs w:val="18"/>
          <w:u w:val="single" w:color="auto"/>
          <w:color w:val="auto"/>
        </w:rPr>
        <w:t>Section 2.06(c)(i)</w:t>
      </w:r>
      <w:r>
        <w:rPr>
          <w:rFonts w:ascii="Arial" w:cs="Arial" w:eastAsia="Arial" w:hAnsi="Arial"/>
          <w:sz w:val="18"/>
          <w:szCs w:val="18"/>
          <w:color w:val="auto"/>
        </w:rPr>
        <w:t xml:space="preserve"> at least three Business Days prior to the effective date of such termination or reduction, specifying such election and the effective date thereof. Promptly following receipt of any notice,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93" w:lineRule="auto"/>
        <w:rPr>
          <w:sz w:val="20"/>
          <w:szCs w:val="20"/>
          <w:color w:val="auto"/>
        </w:rPr>
      </w:pPr>
      <w:r>
        <w:rPr>
          <w:rFonts w:ascii="Arial" w:cs="Arial" w:eastAsia="Arial" w:hAnsi="Arial"/>
          <w:sz w:val="16"/>
          <w:szCs w:val="16"/>
          <w:color w:val="auto"/>
        </w:rPr>
        <w:t xml:space="preserve">Administrative Agent shall advise the Lenders of the contents thereof. Each notice delivered by the Borrowers pursuant to this Section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termination of the Commitments delivered by the Borrowers may state that such notice is conditioned upon the effectiveness of other credit facilities or the closing of other transactions specified therein (or any combination thereof), in which case such notice may be revoked by the Borrowers (by notice to the Administrative Agent on or prior to the specified effective date) if such condition is not satisfied. Any termination or reduction of the Commitments shall be permanent. Except as expressly set forth in the Loan Documents, each reduction of Commitments shall be made ratably among the Lenders in accordance with their respective applicable Commitments.</w:t>
      </w:r>
    </w:p>
    <w:p>
      <w:pPr>
        <w:spacing w:after="0" w:line="165" w:lineRule="exact"/>
        <w:rPr>
          <w:sz w:val="20"/>
          <w:szCs w:val="20"/>
          <w:color w:val="auto"/>
        </w:rPr>
      </w:pPr>
    </w:p>
    <w:p>
      <w:pPr>
        <w:ind w:right="700" w:firstLine="1305"/>
        <w:spacing w:after="0" w:line="277" w:lineRule="auto"/>
        <w:tabs>
          <w:tab w:leader="none" w:pos="1952"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Termination of Aggregate Commitments in connection with a Change of Control</w:t>
      </w:r>
      <w:r>
        <w:rPr>
          <w:rFonts w:ascii="Arial" w:cs="Arial" w:eastAsia="Arial" w:hAnsi="Arial"/>
          <w:sz w:val="18"/>
          <w:szCs w:val="18"/>
          <w:color w:val="auto"/>
        </w:rPr>
        <w:t>. The aggregate Commitments under this Agreement will be terminated in full upon the occurrence of a Change of Control.</w:t>
      </w:r>
    </w:p>
    <w:p>
      <w:pPr>
        <w:spacing w:after="0" w:line="170"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225" w:lineRule="exact"/>
        <w:rPr>
          <w:sz w:val="20"/>
          <w:szCs w:val="20"/>
          <w:color w:val="auto"/>
        </w:rPr>
      </w:pPr>
    </w:p>
    <w:p>
      <w:pPr>
        <w:ind w:right="360" w:firstLine="1305"/>
        <w:spacing w:after="0" w:line="277" w:lineRule="auto"/>
        <w:tabs>
          <w:tab w:leader="none" w:pos="1942"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Borrowers hereby jointly and severally and unconditionally promise to pay to the Administrative Agent for the account of each Lender the then unpaid principal amount of each Revolving Credit Loan of such Lender on the Maturity Date.</w:t>
      </w:r>
    </w:p>
    <w:p>
      <w:pPr>
        <w:spacing w:after="0" w:line="170" w:lineRule="exact"/>
        <w:rPr>
          <w:rFonts w:ascii="Arial" w:cs="Arial" w:eastAsia="Arial" w:hAnsi="Arial"/>
          <w:sz w:val="18"/>
          <w:szCs w:val="18"/>
          <w:color w:val="auto"/>
        </w:rPr>
      </w:pPr>
    </w:p>
    <w:p>
      <w:pPr>
        <w:ind w:firstLine="1305"/>
        <w:spacing w:after="0" w:line="276" w:lineRule="auto"/>
        <w:tabs>
          <w:tab w:leader="none" w:pos="1952" w:val="left"/>
        </w:tabs>
        <w:numPr>
          <w:ilvl w:val="0"/>
          <w:numId w:val="344"/>
        </w:numPr>
        <w:rPr>
          <w:rFonts w:ascii="Arial" w:cs="Arial" w:eastAsia="Arial" w:hAnsi="Arial"/>
          <w:sz w:val="17"/>
          <w:szCs w:val="17"/>
          <w:color w:val="auto"/>
        </w:rPr>
      </w:pPr>
      <w:r>
        <w:rPr>
          <w:rFonts w:ascii="Arial" w:cs="Arial" w:eastAsia="Arial" w:hAnsi="Arial"/>
          <w:sz w:val="17"/>
          <w:szCs w:val="17"/>
          <w:color w:val="auto"/>
        </w:rPr>
        <w:t xml:space="preserve">The Borrowers hereby jointly and severally and unconditionally promise to pay to each Swingline Lender the then unpaid principal amount of each Swingline Loan made by such Swingline Lender on the earlier of the Maturity Date and the first date after such Swingline Loan is made that is the 15th or last day of a calendar month and is at least two Business Days after such Swingline Loan is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on each date that a Borrowing of Revolving Credit Loans is made, the Borrowers shall repay all Swingline Loans then outstanding and (ii) notwithstanding the foregoing, the then unpaid principal amount of all Swingline Loans shall be repaid in full on the Maturity Date.</w:t>
      </w:r>
    </w:p>
    <w:p>
      <w:pPr>
        <w:spacing w:after="0" w:line="172" w:lineRule="exact"/>
        <w:rPr>
          <w:rFonts w:ascii="Arial" w:cs="Arial" w:eastAsia="Arial" w:hAnsi="Arial"/>
          <w:sz w:val="17"/>
          <w:szCs w:val="17"/>
          <w:color w:val="auto"/>
        </w:rPr>
      </w:pPr>
    </w:p>
    <w:p>
      <w:pPr>
        <w:ind w:right="260" w:firstLine="1305"/>
        <w:spacing w:after="0" w:line="264" w:lineRule="auto"/>
        <w:tabs>
          <w:tab w:leader="none" w:pos="195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181" w:lineRule="exact"/>
        <w:rPr>
          <w:rFonts w:ascii="Arial" w:cs="Arial" w:eastAsia="Arial" w:hAnsi="Arial"/>
          <w:sz w:val="18"/>
          <w:szCs w:val="18"/>
          <w:color w:val="auto"/>
        </w:rPr>
      </w:pPr>
    </w:p>
    <w:p>
      <w:pPr>
        <w:ind w:right="180" w:firstLine="1305"/>
        <w:spacing w:after="0" w:line="342" w:lineRule="auto"/>
        <w:tabs>
          <w:tab w:leader="none" w:pos="1952"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each</w:t>
      </w:r>
    </w:p>
    <w:p>
      <w:pPr>
        <w:sectPr>
          <w:pgSz w:w="11900" w:h="16838" w:orient="portrait"/>
          <w:cols w:equalWidth="0" w:num="1">
            <w:col w:w="11420"/>
          </w:cols>
          <w:pgMar w:left="240" w:top="125" w:right="239" w:bottom="0" w:gutter="0" w:footer="0" w:header="0"/>
        </w:sectPr>
      </w:pPr>
    </w:p>
    <w:bookmarkStart w:id="155" w:name="page156"/>
    <w:bookmarkEnd w:id="155"/>
    <w:p>
      <w:pPr>
        <w:spacing w:after="0" w:line="1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Borrower to each Lender hereunder and (iii) the amount of any sum received by the Administrative Agent hereunder for the account of the Lenders and each Lender’s share thereof.</w:t>
      </w:r>
    </w:p>
    <w:p>
      <w:pPr>
        <w:spacing w:after="0" w:line="170" w:lineRule="exact"/>
        <w:rPr>
          <w:sz w:val="20"/>
          <w:szCs w:val="20"/>
          <w:color w:val="auto"/>
        </w:rPr>
      </w:pPr>
    </w:p>
    <w:p>
      <w:pPr>
        <w:jc w:val="both"/>
        <w:ind w:right="300" w:firstLine="1305"/>
        <w:spacing w:after="0" w:line="264" w:lineRule="auto"/>
        <w:tabs>
          <w:tab w:leader="none" w:pos="1955"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w:t>
      </w:r>
      <w:r>
        <w:rPr>
          <w:rFonts w:ascii="Arial" w:cs="Arial" w:eastAsia="Arial" w:hAnsi="Arial"/>
          <w:sz w:val="18"/>
          <w:szCs w:val="18"/>
          <w:u w:val="single" w:color="auto"/>
          <w:color w:val="auto"/>
        </w:rPr>
        <w:t>Section 2.07(c)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2.07(d)</w:t>
      </w:r>
      <w:r>
        <w:rPr>
          <w:rFonts w:ascii="Arial" w:cs="Arial" w:eastAsia="Arial" w:hAnsi="Arial"/>
          <w:sz w:val="18"/>
          <w:szCs w:val="18"/>
          <w:color w:val="auto"/>
        </w:rPr>
        <w:t xml:space="preserve"> of this Section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Borrowers, jointly and severally, to repay the Loans in accordance with the terms of this Agreement.</w:t>
      </w:r>
    </w:p>
    <w:p>
      <w:pPr>
        <w:spacing w:after="0" w:line="225" w:lineRule="exact"/>
        <w:rPr>
          <w:sz w:val="20"/>
          <w:szCs w:val="20"/>
          <w:color w:val="auto"/>
        </w:rPr>
      </w:pPr>
    </w:p>
    <w:p>
      <w:pPr>
        <w:ind w:firstLine="1305"/>
        <w:spacing w:after="0" w:line="257" w:lineRule="auto"/>
        <w:tabs>
          <w:tab w:leader="none" w:pos="1949"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After the Effective Date, any Lender by written notice to the Borrowers (with a copy to the Administrative Agent) may request that Loans made by it be evidenced by a Note. In such event, the Borrowers shall prepare, execute and deliver to such Lender a Revolving Credit Note or Swingline Note, as applicable, payable, jointly and severally, to the order of such Lender and its permitted assigns. Thereafter, the Loans evidenced by such Note and interest thereon shall at all times (including after assignment pursuant to </w:t>
      </w:r>
      <w:r>
        <w:rPr>
          <w:rFonts w:ascii="Arial" w:cs="Arial" w:eastAsia="Arial" w:hAnsi="Arial"/>
          <w:sz w:val="18"/>
          <w:szCs w:val="18"/>
          <w:u w:val="single" w:color="auto"/>
          <w:color w:val="auto"/>
        </w:rPr>
        <w:t>Section 11.05</w:t>
      </w:r>
      <w:r>
        <w:rPr>
          <w:rFonts w:ascii="Arial" w:cs="Arial" w:eastAsia="Arial" w:hAnsi="Arial"/>
          <w:sz w:val="18"/>
          <w:szCs w:val="18"/>
          <w:color w:val="auto"/>
        </w:rPr>
        <w:t>) be represented by one or more Notes payable to the order of such Lender and its permitted assigns.</w:t>
      </w:r>
    </w:p>
    <w:p>
      <w:pPr>
        <w:spacing w:after="0" w:line="188"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77" w:lineRule="auto"/>
        <w:tabs>
          <w:tab w:leader="none" w:pos="1942" w:val="left"/>
        </w:tabs>
        <w:numPr>
          <w:ilvl w:val="0"/>
          <w:numId w:val="347"/>
        </w:numPr>
        <w:rPr>
          <w:rFonts w:ascii="Arial" w:cs="Arial" w:eastAsia="Arial" w:hAnsi="Arial"/>
          <w:sz w:val="18"/>
          <w:szCs w:val="18"/>
          <w:color w:val="auto"/>
        </w:rPr>
      </w:pPr>
      <w:r>
        <w:rPr>
          <w:rFonts w:ascii="Arial" w:cs="Arial" w:eastAsia="Arial" w:hAnsi="Arial"/>
          <w:sz w:val="18"/>
          <w:szCs w:val="18"/>
          <w:color w:val="auto"/>
        </w:rPr>
        <w:t xml:space="preserve">Subject to prior notice in accordance with </w:t>
      </w:r>
      <w:r>
        <w:rPr>
          <w:rFonts w:ascii="Arial" w:cs="Arial" w:eastAsia="Arial" w:hAnsi="Arial"/>
          <w:sz w:val="18"/>
          <w:szCs w:val="18"/>
          <w:u w:val="single" w:color="auto"/>
          <w:color w:val="auto"/>
        </w:rPr>
        <w:t>Section 2.08(b)</w:t>
      </w:r>
      <w:r>
        <w:rPr>
          <w:rFonts w:ascii="Arial" w:cs="Arial" w:eastAsia="Arial" w:hAnsi="Arial"/>
          <w:sz w:val="18"/>
          <w:szCs w:val="18"/>
          <w:color w:val="auto"/>
        </w:rPr>
        <w:t xml:space="preserve">, the Borrowers shall have the right at any time and from time to time to prepay any Borrowing in whole or in part, without premium or penalty (but subject to any amounts payable under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1305"/>
        <w:spacing w:after="0" w:line="286" w:lineRule="auto"/>
        <w:tabs>
          <w:tab w:leader="none" w:pos="1952" w:val="left"/>
        </w:tabs>
        <w:numPr>
          <w:ilvl w:val="0"/>
          <w:numId w:val="347"/>
        </w:numPr>
        <w:rPr>
          <w:rFonts w:ascii="Arial" w:cs="Arial" w:eastAsia="Arial" w:hAnsi="Arial"/>
          <w:sz w:val="16"/>
          <w:szCs w:val="16"/>
          <w:color w:val="auto"/>
        </w:rPr>
      </w:pPr>
      <w:r>
        <w:rPr>
          <w:rFonts w:ascii="Arial" w:cs="Arial" w:eastAsia="Arial" w:hAnsi="Arial"/>
          <w:sz w:val="16"/>
          <w:szCs w:val="16"/>
          <w:color w:val="auto"/>
        </w:rPr>
        <w:t xml:space="preserve">A Borrower shall notify the Administrative Agent (and, in the case of prepayment of a Swingline Loan, the applicable Swingline Lender) by telephone (promptly confirmed by hand delivery, facsimile or electronic transmission (in .pdf format)) of any prepayment hereunder (i) in the case of prepayment of a Eurodollar Borrowing, not later than 11:30 a.m., New York City time, one Business Day before the date of prepayment, (ii) in the case of prepayment of an ABR Borrowing, not later than 11:00 a.m., New York City time, on the same Business Day as the date of prepayment, or (iii) in the case of prepayment of a Swingline Loan, not later than 2:00 p.m., New York City time, on the same Business Day as the date of prepayment. Each such notice shall be irrevocable and shall specify the prepayment date and the principal amount of each Borrowing or portion thereof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prepayment delivered by the Borrowers may state that such notice is conditioned upon the effectiveness of other credit facilities or the closing of other transactions specified therein (or any combination thereof), in which case such notice may be revoked by the Borrowers (by notice to the Administrative Agent on or prior to the specified prepayment date) if such condition is not satisfied.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an advance of a Swingline Borrowing as provided in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as applicable. Each prepayment of a Borrowing shall be applied ratably to the Loans included in the prepaid Borrowing. Prepayments shall be accompanied by accrued interest to the extent required by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All prepayments under, and each failure to make a prepayment specified in any prepayment notice delivered pursuant to, this </w:t>
      </w:r>
      <w:r>
        <w:rPr>
          <w:rFonts w:ascii="Arial" w:cs="Arial" w:eastAsia="Arial" w:hAnsi="Arial"/>
          <w:sz w:val="16"/>
          <w:szCs w:val="16"/>
          <w:u w:val="single" w:color="auto"/>
          <w:color w:val="auto"/>
        </w:rPr>
        <w:t>Section 2.08(b)</w:t>
      </w:r>
      <w:r>
        <w:rPr>
          <w:rFonts w:ascii="Arial" w:cs="Arial" w:eastAsia="Arial" w:hAnsi="Arial"/>
          <w:sz w:val="16"/>
          <w:szCs w:val="16"/>
          <w:color w:val="auto"/>
        </w:rPr>
        <w:t xml:space="preserve"> shall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ind w:right="520" w:firstLine="1305"/>
        <w:spacing w:after="0" w:line="277" w:lineRule="auto"/>
        <w:tabs>
          <w:tab w:leader="none" w:pos="1955" w:val="left"/>
        </w:tabs>
        <w:numPr>
          <w:ilvl w:val="0"/>
          <w:numId w:val="347"/>
        </w:numPr>
        <w:rPr>
          <w:rFonts w:ascii="Arial" w:cs="Arial" w:eastAsia="Arial" w:hAnsi="Arial"/>
          <w:sz w:val="18"/>
          <w:szCs w:val="18"/>
          <w:color w:val="auto"/>
        </w:rPr>
      </w:pPr>
      <w:r>
        <w:rPr>
          <w:rFonts w:ascii="Arial" w:cs="Arial" w:eastAsia="Arial" w:hAnsi="Arial"/>
          <w:sz w:val="18"/>
          <w:szCs w:val="18"/>
          <w:color w:val="auto"/>
        </w:rPr>
        <w:t>On the date that a Change of Control occurs, the Commitments shall terminate and the Borrowers jointly and severally shall prepay the principal amount of the Loans and all accrued and unpaid interest thereon in immediately available funds.</w:t>
      </w:r>
    </w:p>
    <w:p>
      <w:pPr>
        <w:spacing w:after="0" w:line="170" w:lineRule="exact"/>
        <w:rPr>
          <w:rFonts w:ascii="Arial" w:cs="Arial" w:eastAsia="Arial" w:hAnsi="Arial"/>
          <w:sz w:val="18"/>
          <w:szCs w:val="18"/>
          <w:color w:val="auto"/>
        </w:rPr>
      </w:pPr>
    </w:p>
    <w:p>
      <w:pPr>
        <w:ind w:right="80" w:firstLine="1305"/>
        <w:spacing w:after="0" w:line="277" w:lineRule="auto"/>
        <w:tabs>
          <w:tab w:leader="none" w:pos="1952" w:val="left"/>
        </w:tabs>
        <w:numPr>
          <w:ilvl w:val="0"/>
          <w:numId w:val="347"/>
        </w:numPr>
        <w:rPr>
          <w:rFonts w:ascii="Arial" w:cs="Arial" w:eastAsia="Arial" w:hAnsi="Arial"/>
          <w:sz w:val="18"/>
          <w:szCs w:val="18"/>
          <w:color w:val="auto"/>
        </w:rPr>
      </w:pPr>
      <w:r>
        <w:rPr>
          <w:rFonts w:ascii="Arial" w:cs="Arial" w:eastAsia="Arial" w:hAnsi="Arial"/>
          <w:sz w:val="18"/>
          <w:szCs w:val="18"/>
          <w:color w:val="auto"/>
        </w:rPr>
        <w:t>Subject to the terms of the Intercreditor Agreement, upon the consummation of any Permitted Factoring Transaction, after making all prepayments required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be made under the RCF Credit Agreement as a result of such Permitted Factoring Transaction, the Borrowers jointly and severally shall prepay the principal amount of the Loans by an amount equal to the Net Cash Proceeds received by WIL-Ireland or the applicable Restricted Subsidiary pursuant to such Permitted Factoring Transaction and not required to be used to prepay loans under the RCF Credit Agreement.</w:t>
      </w:r>
    </w:p>
    <w:p>
      <w:pPr>
        <w:spacing w:after="0" w:line="181" w:lineRule="exact"/>
        <w:rPr>
          <w:sz w:val="20"/>
          <w:szCs w:val="20"/>
          <w:color w:val="auto"/>
        </w:rPr>
      </w:pPr>
    </w:p>
    <w:p>
      <w:pPr>
        <w:ind w:right="220" w:firstLine="1305"/>
        <w:spacing w:after="0" w:line="302" w:lineRule="auto"/>
        <w:tabs>
          <w:tab w:leader="none" w:pos="1955" w:val="left"/>
        </w:tabs>
        <w:numPr>
          <w:ilvl w:val="0"/>
          <w:numId w:val="348"/>
        </w:numPr>
        <w:rPr>
          <w:rFonts w:ascii="Arial" w:cs="Arial" w:eastAsia="Arial" w:hAnsi="Arial"/>
          <w:sz w:val="16"/>
          <w:szCs w:val="16"/>
          <w:color w:val="auto"/>
        </w:rPr>
      </w:pPr>
      <w:r>
        <w:rPr>
          <w:rFonts w:ascii="Arial" w:cs="Arial" w:eastAsia="Arial" w:hAnsi="Arial"/>
          <w:sz w:val="16"/>
          <w:szCs w:val="16"/>
          <w:color w:val="auto"/>
        </w:rPr>
        <w:t xml:space="preserve">If at any time (including concurrently with or immediately after giving effect to any reduction of the Lenders’ Commitments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the Total Revolving Credit Exposure exceeds the Aggregate Commitments, the Borrowers jointly and severally shall immediately prepay the principal amount of the Lenders’ Revolving Credit Loans ratably among the Lenders in accordance with their respective Commitments in an aggregate principal amount sufficient to cause the Total Revolving Credit Exposure to be less than or equal to the Aggregate Commitments.</w:t>
      </w:r>
    </w:p>
    <w:p>
      <w:pPr>
        <w:spacing w:after="0" w:line="154"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ind w:right="80" w:firstLine="1305"/>
        <w:spacing w:after="0" w:line="289" w:lineRule="auto"/>
        <w:tabs>
          <w:tab w:leader="none" w:pos="1942" w:val="left"/>
        </w:tabs>
        <w:numPr>
          <w:ilvl w:val="0"/>
          <w:numId w:val="349"/>
        </w:numPr>
        <w:rPr>
          <w:rFonts w:ascii="Arial" w:cs="Arial" w:eastAsia="Arial" w:hAnsi="Arial"/>
          <w:sz w:val="16"/>
          <w:szCs w:val="16"/>
          <w:color w:val="auto"/>
        </w:rPr>
      </w:pPr>
      <w:r>
        <w:rPr>
          <w:rFonts w:ascii="Arial" w:cs="Arial" w:eastAsia="Arial" w:hAnsi="Arial"/>
          <w:sz w:val="16"/>
          <w:szCs w:val="16"/>
          <w:color w:val="auto"/>
        </w:rPr>
        <w:t xml:space="preserve">The Borrowers, jointly and severally, agree to pay to the Administrative Agent for the account of each Lender a facility fee, which shall accrue (i) during the period from and including the Effective Date to but excluding the date on which such Lender’s Commitment terminates, at the Facility Fee Rate on the average daily amount of the Commitment of such Lender (whether used or unused), and (ii) to the extent any Lender has any Revolving Credit Exposure after its Commitment terminates, at the Facility Fee Rate on the Revolving Credit Exposure of such Lender during the period from and including the date on which its Commitment terminates to but excluding the date on which such Lender ceases to have any Revolving Credit Exposure. Accrued facility fees shall be payable in arrears on the last day of March, June, September and December of each year, on the Maturity Date and on the date on which the aggregate Commitments terminate, commencing on the first such date to occur after the date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facility fees accruing after the date on which the aggregate Commitments terminate shall be payable on demand. All facility fees shall be computed on the basis of a year of 365 or 366 days, as applicable, and shall be payable for the actual number of days elapsed (including the first day but excluding the last day).</w:t>
      </w:r>
    </w:p>
    <w:p>
      <w:pPr>
        <w:spacing w:after="0" w:line="166" w:lineRule="exact"/>
        <w:rPr>
          <w:rFonts w:ascii="Arial" w:cs="Arial" w:eastAsia="Arial" w:hAnsi="Arial"/>
          <w:sz w:val="16"/>
          <w:szCs w:val="16"/>
          <w:color w:val="auto"/>
        </w:rPr>
      </w:pPr>
    </w:p>
    <w:p>
      <w:pPr>
        <w:ind w:right="240" w:firstLine="1305"/>
        <w:spacing w:after="0" w:line="277" w:lineRule="auto"/>
        <w:tabs>
          <w:tab w:leader="none" w:pos="195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Borrowers, jointly and severally, agree to pay to the Administrative Agent, for its own account, fees payable in the amounts and at the times separately agreed upon between WIL-Bermuda and the Administrative Agent.</w:t>
      </w:r>
    </w:p>
    <w:p>
      <w:pPr>
        <w:spacing w:after="0" w:line="170" w:lineRule="exact"/>
        <w:rPr>
          <w:rFonts w:ascii="Arial" w:cs="Arial" w:eastAsia="Arial" w:hAnsi="Arial"/>
          <w:sz w:val="18"/>
          <w:szCs w:val="18"/>
          <w:color w:val="auto"/>
        </w:rPr>
      </w:pPr>
    </w:p>
    <w:p>
      <w:pPr>
        <w:ind w:right="140" w:firstLine="1305"/>
        <w:spacing w:after="0" w:line="312" w:lineRule="auto"/>
        <w:tabs>
          <w:tab w:leader="none" w:pos="1955" w:val="left"/>
        </w:tabs>
        <w:numPr>
          <w:ilvl w:val="0"/>
          <w:numId w:val="349"/>
        </w:numPr>
        <w:rPr>
          <w:rFonts w:ascii="Arial" w:cs="Arial" w:eastAsia="Arial" w:hAnsi="Arial"/>
          <w:sz w:val="16"/>
          <w:szCs w:val="16"/>
          <w:color w:val="auto"/>
        </w:rPr>
      </w:pPr>
      <w:r>
        <w:rPr>
          <w:rFonts w:ascii="Arial" w:cs="Arial" w:eastAsia="Arial" w:hAnsi="Arial"/>
          <w:sz w:val="16"/>
          <w:szCs w:val="16"/>
          <w:color w:val="auto"/>
        </w:rPr>
        <w:t xml:space="preserve">All fees payable hereunder shall be paid on the dates due, in immediately available funds, to the Administrative Agent for ratable distribution, in the case of facility fees, to the extent described in this </w:t>
      </w:r>
      <w:r>
        <w:rPr>
          <w:rFonts w:ascii="Arial" w:cs="Arial" w:eastAsia="Arial" w:hAnsi="Arial"/>
          <w:sz w:val="16"/>
          <w:szCs w:val="16"/>
          <w:u w:val="single" w:color="auto"/>
          <w:color w:val="auto"/>
        </w:rPr>
        <w:t>Section 2.09</w:t>
      </w:r>
      <w:r>
        <w:rPr>
          <w:rFonts w:ascii="Arial" w:cs="Arial" w:eastAsia="Arial" w:hAnsi="Arial"/>
          <w:sz w:val="16"/>
          <w:szCs w:val="16"/>
          <w:color w:val="auto"/>
        </w:rPr>
        <w:t>, to the applicable Lenders. Fees paid shall not be refundable under any circumstances (unless otherwise agreed by the Administrative Agent with respect to fees payable to the Administrative Agent for its own account).</w:t>
      </w:r>
    </w:p>
    <w:p>
      <w:pPr>
        <w:sectPr>
          <w:pgSz w:w="11900" w:h="16952" w:orient="portrait"/>
          <w:cols w:equalWidth="0" w:num="1">
            <w:col w:w="11420"/>
          </w:cols>
          <w:pgMar w:left="240" w:top="125" w:right="239" w:bottom="0" w:gutter="0" w:footer="0" w:header="0"/>
        </w:sectPr>
      </w:pPr>
    </w:p>
    <w:bookmarkStart w:id="156" w:name="page157"/>
    <w:bookmarkEnd w:id="156"/>
    <w:p>
      <w:pPr>
        <w:spacing w:after="0" w:line="114"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The Loans comprising each ABR Revolving Credit Borrowing shall bear interest at the Alternate Base Rate plus the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Margin.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305"/>
        <w:spacing w:after="0" w:line="277" w:lineRule="auto"/>
        <w:tabs>
          <w:tab w:leader="none" w:pos="1952"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Loans comprising each Eurodollar Revolving Credit Borrowing shall bear interest at the Adjusted LIBO Rate for the Interest Period in effect for such Borrowing plus the Applicable Margin.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Swingline Loans shall bear interest at the rates specified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5"/>
        <w:spacing w:after="0" w:line="257" w:lineRule="auto"/>
        <w:tabs>
          <w:tab w:leader="none" w:pos="1952"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Notwithstanding the foregoing, if any principal of or interest on any Loan or any fee or other amount payable by the Borrowers hereunder is not paid when due, whether at stated maturity, upon acceleration or otherwise, such overdue amount shall bear interest, after as well as before judgment, at a rate per annum equal to (i) in the case of overdue principal of any Loan, 2.000% plus the rate otherwise applicable to such Loan as provided in Sections </w:t>
      </w:r>
      <w:r>
        <w:rPr>
          <w:rFonts w:ascii="Arial" w:cs="Arial" w:eastAsia="Arial" w:hAnsi="Arial"/>
          <w:sz w:val="18"/>
          <w:szCs w:val="18"/>
          <w:u w:val="single" w:color="auto"/>
          <w:color w:val="auto"/>
        </w:rPr>
        <w:t>2.10(a)</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2.10(c)</w:t>
      </w:r>
      <w:r>
        <w:rPr>
          <w:rFonts w:ascii="Arial" w:cs="Arial" w:eastAsia="Arial" w:hAnsi="Arial"/>
          <w:sz w:val="18"/>
          <w:szCs w:val="18"/>
          <w:color w:val="auto"/>
        </w:rPr>
        <w:t xml:space="preserve"> or (ii) in the case of any other amount, 2.000% plus the rate applicable to ABR Revolving Credit Borrowings as provided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firstLine="1305"/>
        <w:spacing w:after="0" w:line="255" w:lineRule="auto"/>
        <w:tabs>
          <w:tab w:leader="none" w:pos="1955"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Accrued interest on each Loan shall be payable in arrears on each Interest Payment Date for such Loan and upon termination of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shall be payable on demand, (ii) in the event of any repayment or prepayment of any Loan (other than a prepayment of an ABR Revolving Credit Loan to a Lender prior to the end of the Availability Period applicable to such Lender),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93" w:lineRule="exact"/>
        <w:rPr>
          <w:rFonts w:ascii="Arial" w:cs="Arial" w:eastAsia="Arial" w:hAnsi="Arial"/>
          <w:sz w:val="18"/>
          <w:szCs w:val="18"/>
          <w:color w:val="auto"/>
        </w:rPr>
      </w:pPr>
    </w:p>
    <w:p>
      <w:pPr>
        <w:ind w:right="160" w:firstLine="1305"/>
        <w:spacing w:after="0" w:line="257" w:lineRule="auto"/>
        <w:tabs>
          <w:tab w:leader="none" w:pos="1949"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LIBO Rate or LIBO Rate shall be determined by the Administrative Agent in accordance with the terms hereof, and such determination shall be presumed correct absent manifest error.</w:t>
      </w:r>
    </w:p>
    <w:p>
      <w:pPr>
        <w:spacing w:after="0" w:line="188" w:lineRule="exact"/>
        <w:rPr>
          <w:rFonts w:ascii="Arial" w:cs="Arial" w:eastAsia="Arial" w:hAnsi="Arial"/>
          <w:sz w:val="18"/>
          <w:szCs w:val="18"/>
          <w:color w:val="auto"/>
        </w:rPr>
      </w:pPr>
    </w:p>
    <w:p>
      <w:pPr>
        <w:ind w:firstLine="1305"/>
        <w:spacing w:after="0" w:line="270" w:lineRule="auto"/>
        <w:tabs>
          <w:tab w:leader="none" w:pos="1965" w:val="left"/>
        </w:tabs>
        <w:numPr>
          <w:ilvl w:val="0"/>
          <w:numId w:val="351"/>
        </w:numPr>
        <w:rPr>
          <w:rFonts w:ascii="Arial" w:cs="Arial" w:eastAsia="Arial" w:hAnsi="Arial"/>
          <w:sz w:val="17"/>
          <w:szCs w:val="17"/>
          <w:color w:val="auto"/>
        </w:rPr>
      </w:pPr>
      <w:r>
        <w:rPr>
          <w:rFonts w:ascii="Arial" w:cs="Arial" w:eastAsia="Arial" w:hAnsi="Arial"/>
          <w:sz w:val="17"/>
          <w:szCs w:val="17"/>
          <w:color w:val="auto"/>
        </w:rPr>
        <w:t xml:space="preserve">The interest rates provided for in this Agreement with respect to any Swiss Obligor, including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are minimum interest rates. When entering into this Agreement, the parties have assumed that the interest payable at the rates set out in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or in other Sections of this Agreement is not and will not become subject to Swiss Withholding Tax. Notwithstanding that the parties do not anticipate that any payment of interest will be subject to Swiss Withholding Tax, they agree that, in the event that Swiss Withholding Tax is imposed on interest payments, the payment of interest due by a Swiss Obligor shall, in line with and subject to </w:t>
      </w:r>
      <w:r>
        <w:rPr>
          <w:rFonts w:ascii="Arial" w:cs="Arial" w:eastAsia="Arial" w:hAnsi="Arial"/>
          <w:sz w:val="17"/>
          <w:szCs w:val="17"/>
          <w:u w:val="single" w:color="auto"/>
          <w:color w:val="auto"/>
        </w:rPr>
        <w:t>Section 4.02</w:t>
      </w:r>
      <w:r>
        <w:rPr>
          <w:rFonts w:ascii="Arial" w:cs="Arial" w:eastAsia="Arial" w:hAnsi="Arial"/>
          <w:sz w:val="17"/>
          <w:szCs w:val="17"/>
          <w:color w:val="auto"/>
        </w:rPr>
        <w:t>, including any limitations therein and any obligations thereunder, be increased to an amount which (after making any deduction of the Non-Refundable Portion (as defined below) of the Swiss Withholding Tax) results in a payment to each Lender entitled to such payment of an amount equal to the payment which would have been due had no deduction of the Swiss Withholding Tax been required. For this purpose, the Swiss Withholding Tax shall be calculated on the full grossed-up interest amount. For the purposes of this Section, “Non-Refundable Portion” shall mean the Swiss Withholding Tax at the standard rate (being, as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the date hereof, 35%) unless a tax ruling issued by the Swiss Federal Tax Administration confirms that, in relation to a specific Lender based on an applicable double tax treaty, the Non-Refundable Portion is a specified lower rate, in which case such lower rate shall be applied in relation to such Lender. The Lenders shall provide to the Swiss Obligors all reasonably requested information, and otherwise reasonably cooperate, to obtain such Swiss tax ruling. Each Swiss Obligor shall provide to the Administrative Agent the documents required by law or applicable double taxation treaties for the Lenders to claim a refund of any Swiss Withholding Tax so deducted.</w:t>
      </w:r>
    </w:p>
    <w:p>
      <w:pPr>
        <w:spacing w:after="0" w:line="188"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Alternate Rate of Interest</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If prior to the commencement of any Interest Period for a Eurodollar Borrowing:</w:t>
      </w:r>
    </w:p>
    <w:p>
      <w:pPr>
        <w:spacing w:after="0" w:line="225" w:lineRule="exact"/>
        <w:rPr>
          <w:rFonts w:ascii="Arial" w:cs="Arial" w:eastAsia="Arial" w:hAnsi="Arial"/>
          <w:sz w:val="18"/>
          <w:szCs w:val="18"/>
          <w:color w:val="auto"/>
        </w:rPr>
      </w:pPr>
    </w:p>
    <w:p>
      <w:pPr>
        <w:jc w:val="both"/>
        <w:ind w:left="660" w:right="180" w:firstLine="1293"/>
        <w:spacing w:after="0" w:line="264" w:lineRule="auto"/>
        <w:tabs>
          <w:tab w:leader="none" w:pos="2626"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the Administrative Agent reasonably determines (which determination shall be presumed correct absent manifest error) that adequate and reasonable means do not exist for ascertaining the Adjusted LIBO Rate or the LIBO Rate, as applicable, for such Interest Period; or</w:t>
      </w:r>
    </w:p>
    <w:p>
      <w:pPr>
        <w:spacing w:after="0" w:line="181" w:lineRule="exact"/>
        <w:rPr>
          <w:rFonts w:ascii="Arial" w:cs="Arial" w:eastAsia="Arial" w:hAnsi="Arial"/>
          <w:sz w:val="18"/>
          <w:szCs w:val="18"/>
          <w:color w:val="auto"/>
        </w:rPr>
      </w:pPr>
    </w:p>
    <w:p>
      <w:pPr>
        <w:ind w:left="660" w:right="200" w:firstLine="1293"/>
        <w:spacing w:after="0" w:line="264" w:lineRule="auto"/>
        <w:tabs>
          <w:tab w:leader="none" w:pos="2636"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the Adjusted LIBO Rate or the LIBO Rate, as applicable, for such Interest Period will not adequately and fairly reflect the cost to such Lenders of making or maintaining their Loans included in such Eurodollar Borrowing for such Interest Period;</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then the Administrative Agent shall give written notice (by facsimile transmission or electronic transmission (in .pdf format)) thereof to the Borrowers and the Lenders as promptly as practicable thereafter and, until the Administrative Agent notifies the Borrowers and the Lenders that the circumstances giving rise to such notice no longer exist, (i) any Interest Election Request that requests the conversion of any ABR Borrowing to, or continuation of any Eurodollar Borrowing as, a Eurodollar Borrowing shall be ineffective, and, in the case of any request for the continuation of a Eurodollar Borrowing, such Eurodollar Borrowing shall on the last day of the then current Interest Period applicable thereto be converted to an ABR Borrowing and (ii) if any Borrowing Request requests a Eurodollar Borrowing, such Borrowing shall be made as an ABR Borrowing.</w:t>
      </w:r>
    </w:p>
    <w:p>
      <w:pPr>
        <w:spacing w:after="0" w:line="178" w:lineRule="exact"/>
        <w:rPr>
          <w:sz w:val="20"/>
          <w:szCs w:val="20"/>
          <w:color w:val="auto"/>
        </w:rPr>
      </w:pPr>
    </w:p>
    <w:p>
      <w:pPr>
        <w:ind w:right="60" w:firstLine="1305"/>
        <w:spacing w:after="0" w:line="312" w:lineRule="auto"/>
        <w:tabs>
          <w:tab w:leader="none" w:pos="1952" w:val="left"/>
        </w:tabs>
        <w:numPr>
          <w:ilvl w:val="0"/>
          <w:numId w:val="353"/>
        </w:numPr>
        <w:rPr>
          <w:rFonts w:ascii="Arial" w:cs="Arial" w:eastAsia="Arial" w:hAnsi="Arial"/>
          <w:sz w:val="16"/>
          <w:szCs w:val="16"/>
          <w:color w:val="auto"/>
        </w:rPr>
      </w:pPr>
      <w:r>
        <w:rPr>
          <w:rFonts w:ascii="Arial" w:cs="Arial" w:eastAsia="Arial" w:hAnsi="Arial"/>
          <w:sz w:val="16"/>
          <w:szCs w:val="16"/>
          <w:color w:val="auto"/>
        </w:rPr>
        <w:t>If at any time the Administrative Agent determines (which determination shall be conclusive absent manifest error) that (i) the circumstances set forth in clause (a)(i) have arisen and such circumstances are unlikely to be temporary or (ii) the circumstances set forth in clause (a)(i) have not arisen but either (w) the supervisor for the administrator of the LIBO Screen Rate has made a public statement that the administrator of the LIBO Screen</w:t>
      </w:r>
    </w:p>
    <w:p>
      <w:pPr>
        <w:sectPr>
          <w:pgSz w:w="11900" w:h="16952" w:orient="portrait"/>
          <w:cols w:equalWidth="0" w:num="1">
            <w:col w:w="11420"/>
          </w:cols>
          <w:pgMar w:left="240" w:top="341" w:right="239" w:bottom="0" w:gutter="0" w:footer="0" w:header="0"/>
        </w:sectPr>
      </w:pPr>
    </w:p>
    <w:bookmarkStart w:id="157" w:name="page158"/>
    <w:bookmarkEnd w:id="157"/>
    <w:p>
      <w:pPr>
        <w:ind w:right="160"/>
        <w:spacing w:after="0" w:line="257" w:lineRule="auto"/>
        <w:rPr>
          <w:sz w:val="20"/>
          <w:szCs w:val="20"/>
          <w:color w:val="auto"/>
        </w:rPr>
      </w:pPr>
      <w:r>
        <w:rPr>
          <w:rFonts w:ascii="Arial" w:cs="Arial" w:eastAsia="Arial" w:hAnsi="Arial"/>
          <w:sz w:val="18"/>
          <w:szCs w:val="18"/>
          <w:color w:val="auto"/>
        </w:rPr>
        <w:t>Rate is insolvent (and there is no successor administrator that will continue publication of the LIBO Screen Rate), (x) the administrator of the LIBO Screen Rate has made a public statement identifying a specific date after which the LIBO Screen Rate will permanently or indefinitely cease to be published by it (and there is no successor administrator that will continue publication of the LIBO Screen Rate), (y) the supervisor for the administrator of the LIBO Screen Rate has made a public statement identifying a specific date after which the LIBO Screen Rate will permanently or indefinitely cease to be published or (z) the supervisor for the administrator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the LIBO Screen Rate or a Governmental Authority having jurisdiction over the Administrative Agent has made a public statement identifying a specific date after which the LIBO Screen Rate may no longer be used for determining interest rates for loans, then the Administrative Agent and the Borrowers shall endeavor to establish an alternate rate of interest to the LIBO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Margin);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alternate rate of interest as so determined would be less than zero, such rate shall be deemed to be zero for the purposes of this Agreement. Notwithstanding anything to the contrary in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stating that such Required Lenders object to such amendment. Until an alternate rate of interest shall be determined in accordance with this clause (b) (but, in the case of the circumstances described in clause (ii) of the first sentence of this </w:t>
      </w:r>
      <w:r>
        <w:rPr>
          <w:rFonts w:ascii="Arial" w:cs="Arial" w:eastAsia="Arial" w:hAnsi="Arial"/>
          <w:sz w:val="16"/>
          <w:szCs w:val="16"/>
          <w:u w:val="single" w:color="auto"/>
          <w:color w:val="auto"/>
        </w:rPr>
        <w:t>Section 2.11(b)</w:t>
      </w:r>
      <w:r>
        <w:rPr>
          <w:rFonts w:ascii="Arial" w:cs="Arial" w:eastAsia="Arial" w:hAnsi="Arial"/>
          <w:sz w:val="16"/>
          <w:szCs w:val="16"/>
          <w:color w:val="auto"/>
        </w:rPr>
        <w:t>, only to the extent the LIBO Screen Rate for such Interest Period is not available or published at such time on a current basis), (x) any Interest Election Request that requests the conversion of any Borrowing to, or continuation of any Borrowing as, a Eurodollar Borrowing shall be ineffective and any such Eurodollar Borrowing shall be repaid or converted into an ABR Borrowing on the last day of the then current Interest Period applicable thereto, and (y) if any Borrowing Request requests a Eurodollar Borrowing, such Borrowing shall be made as an ABR Borrowing.</w:t>
      </w:r>
    </w:p>
    <w:p>
      <w:pPr>
        <w:spacing w:after="0" w:line="172"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w:t>
      </w:r>
    </w:p>
    <w:p>
      <w:pPr>
        <w:spacing w:after="0" w:line="225" w:lineRule="exact"/>
        <w:rPr>
          <w:sz w:val="20"/>
          <w:szCs w:val="20"/>
          <w:color w:val="auto"/>
        </w:rPr>
      </w:pPr>
    </w:p>
    <w:p>
      <w:pPr>
        <w:ind w:left="1940" w:hanging="635"/>
        <w:spacing w:after="0"/>
        <w:tabs>
          <w:tab w:leader="none" w:pos="19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25" w:lineRule="exact"/>
        <w:rPr>
          <w:rFonts w:ascii="Arial" w:cs="Arial" w:eastAsia="Arial" w:hAnsi="Arial"/>
          <w:sz w:val="18"/>
          <w:szCs w:val="18"/>
          <w:color w:val="auto"/>
        </w:rPr>
      </w:pPr>
    </w:p>
    <w:p>
      <w:pPr>
        <w:ind w:left="660" w:right="100" w:firstLine="1293"/>
        <w:spacing w:after="0" w:line="264" w:lineRule="auto"/>
        <w:tabs>
          <w:tab w:leader="none" w:pos="2626" w:val="left"/>
        </w:tabs>
        <w:numPr>
          <w:ilvl w:val="1"/>
          <w:numId w:val="354"/>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w:t>
      </w:r>
    </w:p>
    <w:p>
      <w:pPr>
        <w:spacing w:after="0" w:line="181" w:lineRule="exact"/>
        <w:rPr>
          <w:rFonts w:ascii="Arial" w:cs="Arial" w:eastAsia="Arial" w:hAnsi="Arial"/>
          <w:sz w:val="18"/>
          <w:szCs w:val="18"/>
          <w:color w:val="auto"/>
        </w:rPr>
      </w:pPr>
    </w:p>
    <w:p>
      <w:pPr>
        <w:ind w:left="660" w:right="180" w:firstLine="1293"/>
        <w:spacing w:after="0" w:line="277" w:lineRule="auto"/>
        <w:tabs>
          <w:tab w:leader="none" w:pos="2636" w:val="left"/>
        </w:tabs>
        <w:numPr>
          <w:ilvl w:val="1"/>
          <w:numId w:val="354"/>
        </w:numPr>
        <w:rPr>
          <w:rFonts w:ascii="Arial" w:cs="Arial" w:eastAsia="Arial" w:hAnsi="Arial"/>
          <w:sz w:val="18"/>
          <w:szCs w:val="18"/>
          <w:color w:val="auto"/>
        </w:rPr>
      </w:pPr>
      <w:r>
        <w:rPr>
          <w:rFonts w:ascii="Arial" w:cs="Arial" w:eastAsia="Arial" w:hAnsi="Arial"/>
          <w:sz w:val="18"/>
          <w:szCs w:val="18"/>
          <w:color w:val="auto"/>
        </w:rPr>
        <w:t>impose on any Lender or the London interbank market any other condition, cost or expense (other than Taxes) affecting this Agreement or Eurodollar Loans made by such Lender; or</w:t>
      </w:r>
    </w:p>
    <w:p>
      <w:pPr>
        <w:spacing w:after="0" w:line="170" w:lineRule="exact"/>
        <w:rPr>
          <w:rFonts w:ascii="Arial" w:cs="Arial" w:eastAsia="Arial" w:hAnsi="Arial"/>
          <w:sz w:val="18"/>
          <w:szCs w:val="18"/>
          <w:color w:val="auto"/>
        </w:rPr>
      </w:pPr>
    </w:p>
    <w:p>
      <w:pPr>
        <w:ind w:left="660" w:right="100" w:firstLine="1293"/>
        <w:spacing w:after="0" w:line="264" w:lineRule="auto"/>
        <w:tabs>
          <w:tab w:leader="none" w:pos="2645" w:val="left"/>
        </w:tabs>
        <w:numPr>
          <w:ilvl w:val="1"/>
          <w:numId w:val="354"/>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(g) of the definition of Excluded Taxes, (C) Connection Income Taxes, and (D) Other Taxes) on its loans, loan principal, letters of credit, commitments, or other obligations, or its deposits, reserves, other liabilities or capital attributable thereto;</w:t>
      </w:r>
    </w:p>
    <w:p>
      <w:pPr>
        <w:spacing w:after="0" w:line="181"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and the result of any of the foregoing shall be to increase the cost to such Lender or such other Recipient of making, continuing, converting into or maintaining any Loan (or of maintaining its obligation to make any such Loan) or to reduce the amount of any sum received or receivable by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such Recipient hereunder (whether of principal, interest or otherwise), then upon written request of such Recipient (with a copy to the Administrative Agent), the Borrowers, jointly and severally, shall pay to such Person such additional amount or amounts as shall compensate such Recipient for such additional costs incurred or reduction suffered.</w:t>
      </w:r>
    </w:p>
    <w:p>
      <w:pPr>
        <w:spacing w:after="0" w:line="181" w:lineRule="exact"/>
        <w:rPr>
          <w:sz w:val="20"/>
          <w:szCs w:val="20"/>
          <w:color w:val="auto"/>
        </w:rPr>
      </w:pPr>
    </w:p>
    <w:p>
      <w:pPr>
        <w:ind w:right="40" w:firstLine="1305"/>
        <w:spacing w:after="0" w:line="293" w:lineRule="auto"/>
        <w:tabs>
          <w:tab w:leader="none" w:pos="1952" w:val="left"/>
        </w:tabs>
        <w:numPr>
          <w:ilvl w:val="0"/>
          <w:numId w:val="355"/>
        </w:numPr>
        <w:rPr>
          <w:rFonts w:ascii="Arial" w:cs="Arial" w:eastAsia="Arial" w:hAnsi="Arial"/>
          <w:sz w:val="16"/>
          <w:szCs w:val="16"/>
          <w:color w:val="auto"/>
        </w:rPr>
      </w:pPr>
      <w:r>
        <w:rPr>
          <w:rFonts w:ascii="Arial" w:cs="Arial" w:eastAsia="Arial" w:hAnsi="Arial"/>
          <w:sz w:val="16"/>
          <w:szCs w:val="16"/>
          <w:color w:val="auto"/>
        </w:rPr>
        <w:t>If any Lender determines in good faith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upon written request of such Lender (with a copy to the Administrative Agent), the Borrowers, jointly and severally, shall pay to such Lender such additional amount or amounts as shall compensate such Lender or such Lender’s holding company for any such reduction suffered.</w:t>
      </w:r>
    </w:p>
    <w:p>
      <w:pPr>
        <w:spacing w:after="0" w:line="164" w:lineRule="exact"/>
        <w:rPr>
          <w:rFonts w:ascii="Arial" w:cs="Arial" w:eastAsia="Arial" w:hAnsi="Arial"/>
          <w:sz w:val="16"/>
          <w:szCs w:val="16"/>
          <w:color w:val="auto"/>
        </w:rPr>
      </w:pPr>
    </w:p>
    <w:p>
      <w:pPr>
        <w:ind w:right="60" w:firstLine="1305"/>
        <w:spacing w:after="0" w:line="284" w:lineRule="auto"/>
        <w:tabs>
          <w:tab w:leader="none" w:pos="1955" w:val="left"/>
        </w:tabs>
        <w:numPr>
          <w:ilvl w:val="0"/>
          <w:numId w:val="355"/>
        </w:numPr>
        <w:rPr>
          <w:rFonts w:ascii="Arial" w:cs="Arial" w:eastAsia="Arial" w:hAnsi="Arial"/>
          <w:sz w:val="16"/>
          <w:szCs w:val="16"/>
          <w:color w:val="auto"/>
        </w:rPr>
      </w:pPr>
      <w:r>
        <w:rPr>
          <w:rFonts w:ascii="Arial" w:cs="Arial" w:eastAsia="Arial" w:hAnsi="Arial"/>
          <w:sz w:val="16"/>
          <w:szCs w:val="16"/>
          <w:color w:val="auto"/>
        </w:rPr>
        <w:t xml:space="preserve">A certificate of a Lender setting forth the amount or amounts necessary to compensate such Lender or its holding company, as the case may be, as specified in </w:t>
      </w:r>
      <w:r>
        <w:rPr>
          <w:rFonts w:ascii="Arial" w:cs="Arial" w:eastAsia="Arial" w:hAnsi="Arial"/>
          <w:sz w:val="16"/>
          <w:szCs w:val="16"/>
          <w:u w:val="single" w:color="auto"/>
          <w:color w:val="auto"/>
        </w:rPr>
        <w:t>Section 2.12(a)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along with (i) a calculation of such amount or amounts, (ii) a description of the specific Change in Law that justifies such amounts due and (iii) such other pertinent information related to the foregoing as any Borrower may reasonably request, shall be delivered to the Borrowers and shall be presumed correct absent manifest error. Any Lender’s determination of any such amount or amounts shall be made in good faith (and not on an arbitrary or capricious basis) and substantially consistent with similarly situated customers of such Person under agreements having provisions similar to </w:t>
      </w:r>
      <w:r>
        <w:rPr>
          <w:rFonts w:ascii="Arial" w:cs="Arial" w:eastAsia="Arial" w:hAnsi="Arial"/>
          <w:sz w:val="16"/>
          <w:szCs w:val="16"/>
          <w:u w:val="single" w:color="auto"/>
          <w:color w:val="auto"/>
        </w:rPr>
        <w:t>Section 2.12(a)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2.12(b)</w:t>
      </w:r>
      <w:r>
        <w:rPr>
          <w:rFonts w:ascii="Arial" w:cs="Arial" w:eastAsia="Arial" w:hAnsi="Arial"/>
          <w:sz w:val="16"/>
          <w:szCs w:val="16"/>
          <w:color w:val="auto"/>
        </w:rPr>
        <w:t>, as applicable, after consideration of such factors as such Person then reasonably determines to be relevant. The Borrowers, jointly and severally, shall pay such Lender the correct amount shown as due on any such certificate within</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 days after receipt thereof.</w:t>
      </w:r>
    </w:p>
    <w:p>
      <w:pPr>
        <w:spacing w:after="0" w:line="210" w:lineRule="exact"/>
        <w:rPr>
          <w:rFonts w:ascii="Arial" w:cs="Arial" w:eastAsia="Arial" w:hAnsi="Arial"/>
          <w:sz w:val="16"/>
          <w:szCs w:val="16"/>
          <w:color w:val="auto"/>
        </w:rPr>
      </w:pPr>
    </w:p>
    <w:p>
      <w:pPr>
        <w:ind w:right="20" w:firstLine="1305"/>
        <w:spacing w:after="0" w:line="297" w:lineRule="auto"/>
        <w:tabs>
          <w:tab w:leader="none" w:pos="1952" w:val="left"/>
        </w:tabs>
        <w:numPr>
          <w:ilvl w:val="0"/>
          <w:numId w:val="355"/>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to demand compensation pursuant to this Section shall not constitute a waiver of such Lender’s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Borrower shall be required to compensate a Lender pursuant to this Section for any increased costs or reductions incurred more than 120 days prior to the date that such Lender delivers written notice to the Borrowers of the Change in Law giving rise to such increased costs or reductions and of such Lender’s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120-day period referred to above shall be extended to include the period of retroactive effect thereof.</w:t>
      </w:r>
    </w:p>
    <w:p>
      <w:pPr>
        <w:spacing w:after="0" w:line="158" w:lineRule="exact"/>
        <w:rPr>
          <w:rFonts w:ascii="Arial" w:cs="Arial" w:eastAsia="Arial" w:hAnsi="Arial"/>
          <w:sz w:val="16"/>
          <w:szCs w:val="16"/>
          <w:color w:val="auto"/>
        </w:rPr>
      </w:pPr>
    </w:p>
    <w:p>
      <w:pPr>
        <w:ind w:left="1960" w:hanging="655"/>
        <w:spacing w:after="0"/>
        <w:tabs>
          <w:tab w:leader="none" w:pos="19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Each Lender requesting compensation under this Section shall comply with </w:t>
      </w:r>
      <w:r>
        <w:rPr>
          <w:rFonts w:ascii="Arial" w:cs="Arial" w:eastAsia="Arial" w:hAnsi="Arial"/>
          <w:sz w:val="18"/>
          <w:szCs w:val="18"/>
          <w:u w:val="single" w:color="auto"/>
          <w:color w:val="auto"/>
        </w:rPr>
        <w:t>Section 4.03(a)</w:t>
      </w:r>
      <w:r>
        <w:rPr>
          <w:rFonts w:ascii="Arial" w:cs="Arial" w:eastAsia="Arial" w:hAnsi="Arial"/>
          <w:sz w:val="18"/>
          <w:szCs w:val="18"/>
          <w:color w:val="auto"/>
        </w:rPr>
        <w:t>.</w:t>
      </w:r>
    </w:p>
    <w:p>
      <w:pPr>
        <w:sectPr>
          <w:pgSz w:w="11900" w:h="16838" w:orient="portrait"/>
          <w:cols w:equalWidth="0" w:num="1">
            <w:col w:w="11420"/>
          </w:cols>
          <w:pgMar w:left="240" w:top="125" w:right="239" w:bottom="32" w:gutter="0" w:footer="0" w:header="0"/>
        </w:sectPr>
      </w:pPr>
    </w:p>
    <w:bookmarkStart w:id="158" w:name="page159"/>
    <w:bookmarkEnd w:id="158"/>
    <w:p>
      <w:pPr>
        <w:ind w:right="160" w:firstLine="648"/>
        <w:spacing w:after="0" w:line="312"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xml:space="preserve">. In the event of (a) the payment of any principal of any Eurodollar Loan other than on the last day of an Interest Period applicable thereto (including as a result of an Event of Default or as a result of any prepayment or reallocation of Revolving Credit Exposures pursuant to or as a result of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2.08</w:t>
      </w:r>
      <w:r>
        <w:rPr>
          <w:rFonts w:ascii="Arial" w:cs="Arial" w:eastAsia="Arial" w:hAnsi="Arial"/>
          <w:sz w:val="16"/>
          <w:szCs w:val="16"/>
          <w:color w:val="auto"/>
        </w:rPr>
        <w:t>), (b) the conversion of any Eurodollar Loan other than on the last day of the Interest Period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applicable thereto, (c) the failure (for a reason other than the failure of a Lender to fund a Loan or a portion thereof required to be funded hereunder) to borrow, convert, continue or prepay any Eurodollar Loan on the date specified in any notice delivered pursuant hereto (regardless of whether such notice may be revoked under </w:t>
      </w:r>
      <w:r>
        <w:rPr>
          <w:rFonts w:ascii="Arial" w:cs="Arial" w:eastAsia="Arial" w:hAnsi="Arial"/>
          <w:sz w:val="16"/>
          <w:szCs w:val="16"/>
          <w:u w:val="single" w:color="auto"/>
          <w:color w:val="auto"/>
        </w:rPr>
        <w:t>Section 2.08(b)</w:t>
      </w:r>
      <w:r>
        <w:rPr>
          <w:rFonts w:ascii="Arial" w:cs="Arial" w:eastAsia="Arial" w:hAnsi="Arial"/>
          <w:sz w:val="16"/>
          <w:szCs w:val="16"/>
          <w:color w:val="auto"/>
        </w:rPr>
        <w:t xml:space="preserve"> and is revoked in accordance therewith), or (d) the assignment of any Eurodollar Loan other than on the last day of the Interest Period applicable thereto as a result of an assignment required by the Borrowers pursuant to </w:t>
      </w:r>
      <w:r>
        <w:rPr>
          <w:rFonts w:ascii="Arial" w:cs="Arial" w:eastAsia="Arial" w:hAnsi="Arial"/>
          <w:sz w:val="16"/>
          <w:szCs w:val="16"/>
          <w:u w:val="single" w:color="auto"/>
          <w:color w:val="auto"/>
        </w:rPr>
        <w:t>Section 4.03(b)</w:t>
      </w:r>
      <w:r>
        <w:rPr>
          <w:rFonts w:ascii="Arial" w:cs="Arial" w:eastAsia="Arial" w:hAnsi="Arial"/>
          <w:sz w:val="16"/>
          <w:szCs w:val="16"/>
          <w:color w:val="auto"/>
        </w:rPr>
        <w:t>, then, in any such event, upon written demand by a Lender (with a copy to the Administrative Agent) the Borrowers, jointly and severally, shall compensate each Lender for the loss, cost and expense attributable to such event. In the case of a Eurodollar Loan, such loss, cost or expense to any Lender shall be deemed to include an amount reasonably determined by such Lender to be the excess, if any, of (i) the amount of interest which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applicable currency of a comparable amount and period from other banks in the eurodollar market. A certificate of any Lender setting forth in reasonable detail any amount or amounts that such Lender is entitled to receive pursuant to this Section shall be delivered to the Borrowers (with a copy to the Administrative Agent) and shall be presumed correct absent manifest error, and shall set forth a calculation of such amounts and such other information as any Borrower may reasonably request. The Borrowers, jointly and severally, shall pay such Lender the amount shown as due on any such certificate within 10 days after receipt thereof.</w:t>
      </w:r>
    </w:p>
    <w:p>
      <w:pPr>
        <w:spacing w:after="0" w:line="16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Agreement to Defer Exercise of Right of Contribution, Etc.</w:t>
      </w:r>
      <w:r>
        <w:rPr>
          <w:rFonts w:ascii="Arial" w:cs="Arial" w:eastAsia="Arial" w:hAnsi="Arial"/>
          <w:sz w:val="17"/>
          <w:szCs w:val="17"/>
          <w:color w:val="auto"/>
        </w:rPr>
        <w:t xml:space="preserve"> Notwithstanding any payment or payments made by a Borrower (a “</w:t>
      </w:r>
      <w:r>
        <w:rPr>
          <w:rFonts w:ascii="Arial" w:cs="Arial" w:eastAsia="Arial" w:hAnsi="Arial"/>
          <w:sz w:val="17"/>
          <w:szCs w:val="17"/>
          <w:u w:val="single" w:color="auto"/>
          <w:color w:val="auto"/>
        </w:rPr>
        <w:t>Paying Borrower</w:t>
      </w:r>
      <w:r>
        <w:rPr>
          <w:rFonts w:ascii="Arial" w:cs="Arial" w:eastAsia="Arial" w:hAnsi="Arial"/>
          <w:sz w:val="17"/>
          <w:szCs w:val="17"/>
          <w:color w:val="auto"/>
        </w:rPr>
        <w:t xml:space="preserve">”) hereunder, or any setoff or application by the Administrative Agent or any Lender of any security furnished by, or of any credits or claims against, such Paying Borrower, if an Event of Default has occurred and is continuing, such Paying Borrower will not assert or exercise any rights of the Administrative Agent or any Lender or of its own, against any other Borrower to recover the amount of any such payment, setoff or application by the Administrative Agent or any Lender, whether by way of assertion of any claim, or exercise of any remedy or right of subrogation, reimbursement, exoneration, contribution, indemnification, participation or otherwise, and whether arising by contract, by statute, under common law or otherwise, and, if an Event of Default has occurred and is continuing, such Paying Borrower shall not have any right to exercise any right of recourse to or any claim against assets or property of the other Borrowers for such amounts, in each case unless and until all of the Obligations of the Borrowers have been fully and finally satisfied. If any amount shall be paid to a Paying Borrower by any other Borrower after payment in full of the Obligations, and the Obligations shall thereafter be reinstated in whole or in part and the Administrative Agent or any Lender is forced to repay to any Borrower any sums received in payment of the Obligations, the obligations of each Borrower hereunder shall be automatically </w:t>
      </w:r>
      <w:r>
        <w:rPr>
          <w:rFonts w:ascii="Arial" w:cs="Arial" w:eastAsia="Arial" w:hAnsi="Arial"/>
          <w:sz w:val="17"/>
          <w:szCs w:val="17"/>
          <w:i w:val="1"/>
          <w:iCs w:val="1"/>
          <w:color w:val="auto"/>
        </w:rPr>
        <w:t>pro tanto</w:t>
      </w:r>
      <w:r>
        <w:rPr>
          <w:rFonts w:ascii="Arial" w:cs="Arial" w:eastAsia="Arial" w:hAnsi="Arial"/>
          <w:sz w:val="17"/>
          <w:szCs w:val="17"/>
          <w:color w:val="auto"/>
        </w:rPr>
        <w:t xml:space="preserve"> reinstated and such amount shall be held in trust by the payee thereof for the benefit of the Administrative Agent and the Lenders and shall forthwith be paid to the Administrative Agent to be credited and applied to the Obligations, whether matured or unmatured.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Arial" w:cs="Arial" w:eastAsia="Arial" w:hAnsi="Arial"/>
                <w:sz w:val="18"/>
                <w:szCs w:val="18"/>
                <w:color w:val="auto"/>
              </w:rPr>
              <w:t>SECTION 2.15</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RESERVED</w:t>
            </w: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0"/>
        </w:trPr>
        <w:tc>
          <w:tcPr>
            <w:tcW w:w="1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620" w:type="dxa"/>
            <w:vAlign w:val="bottom"/>
          </w:tcPr>
          <w:p>
            <w:pPr>
              <w:spacing w:after="0"/>
              <w:rPr>
                <w:sz w:val="20"/>
                <w:szCs w:val="20"/>
                <w:color w:val="auto"/>
              </w:rPr>
            </w:pPr>
            <w:r>
              <w:rPr>
                <w:rFonts w:ascii="Arial" w:cs="Arial" w:eastAsia="Arial" w:hAnsi="Arial"/>
                <w:sz w:val="18"/>
                <w:szCs w:val="18"/>
                <w:color w:val="auto"/>
              </w:rPr>
              <w:t>SECTION 2.16</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RESERVED</w:t>
            </w: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0"/>
        </w:trPr>
        <w:tc>
          <w:tcPr>
            <w:tcW w:w="1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620" w:type="dxa"/>
            <w:vAlign w:val="bottom"/>
          </w:tcPr>
          <w:p>
            <w:pPr>
              <w:spacing w:after="0"/>
              <w:rPr>
                <w:sz w:val="20"/>
                <w:szCs w:val="20"/>
                <w:color w:val="auto"/>
              </w:rPr>
            </w:pPr>
            <w:r>
              <w:rPr>
                <w:rFonts w:ascii="Arial" w:cs="Arial" w:eastAsia="Arial" w:hAnsi="Arial"/>
                <w:sz w:val="18"/>
                <w:szCs w:val="18"/>
                <w:color w:val="auto"/>
              </w:rPr>
              <w:t>SECTION 2.17</w:t>
            </w:r>
          </w:p>
        </w:tc>
        <w:tc>
          <w:tcPr>
            <w:tcW w:w="1440" w:type="dxa"/>
            <w:vAlign w:val="bottom"/>
            <w:gridSpan w:val="3"/>
          </w:tcPr>
          <w:p>
            <w:pPr>
              <w:spacing w:after="0"/>
              <w:rPr>
                <w:sz w:val="20"/>
                <w:szCs w:val="20"/>
                <w:color w:val="auto"/>
              </w:rPr>
            </w:pPr>
            <w:r>
              <w:rPr>
                <w:rFonts w:ascii="Arial" w:cs="Arial" w:eastAsia="Arial" w:hAnsi="Arial"/>
                <w:sz w:val="18"/>
                <w:szCs w:val="18"/>
                <w:color w:val="auto"/>
                <w:w w:val="90"/>
              </w:rPr>
              <w:t>Defaulting Lenders.</w:t>
            </w:r>
          </w:p>
        </w:tc>
      </w:tr>
      <w:tr>
        <w:trPr>
          <w:trHeight w:val="20"/>
        </w:trPr>
        <w:tc>
          <w:tcPr>
            <w:tcW w:w="1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40" w:firstLine="1305"/>
        <w:spacing w:after="0" w:line="277" w:lineRule="auto"/>
        <w:tabs>
          <w:tab w:leader="none" w:pos="1942" w:val="left"/>
        </w:tabs>
        <w:numPr>
          <w:ilvl w:val="0"/>
          <w:numId w:val="356"/>
        </w:numPr>
        <w:rPr>
          <w:rFonts w:ascii="Arial" w:cs="Arial" w:eastAsia="Arial" w:hAnsi="Arial"/>
          <w:sz w:val="18"/>
          <w:szCs w:val="18"/>
          <w:color w:val="auto"/>
        </w:rPr>
      </w:pPr>
      <w:r>
        <w:rPr>
          <w:rFonts w:ascii="Arial" w:cs="Arial" w:eastAsia="Arial" w:hAnsi="Arial"/>
          <w:sz w:val="18"/>
          <w:szCs w:val="18"/>
          <w:color w:val="auto"/>
        </w:rPr>
        <w:t>Notwithstanding any provision of any Loan Document to the contrary, if any Lender becomes a Defaulting Lender, then the following provisions shall apply for so long as such Lender is a Defaulting Lender: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356"/>
        </w:numPr>
        <w:rPr>
          <w:rFonts w:ascii="Arial" w:cs="Arial" w:eastAsia="Arial" w:hAnsi="Arial"/>
          <w:sz w:val="17"/>
          <w:szCs w:val="17"/>
          <w:color w:val="auto"/>
        </w:rPr>
      </w:pPr>
      <w:r>
        <w:rPr>
          <w:rFonts w:ascii="Arial" w:cs="Arial" w:eastAsia="Arial" w:hAnsi="Arial"/>
          <w:sz w:val="17"/>
          <w:szCs w:val="17"/>
          <w:color w:val="auto"/>
        </w:rPr>
        <w:t>facility fees shall cease to accrue on the unfunded portion of the Commitment of such Defaulting Lender pursuant to</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jc w:val="both"/>
        <w:ind w:left="660" w:right="40" w:firstLine="1293"/>
        <w:spacing w:after="0" w:line="302" w:lineRule="auto"/>
        <w:tabs>
          <w:tab w:leader="none" w:pos="2636" w:val="left"/>
        </w:tabs>
        <w:numPr>
          <w:ilvl w:val="1"/>
          <w:numId w:val="356"/>
        </w:numPr>
        <w:rPr>
          <w:rFonts w:ascii="Arial" w:cs="Arial" w:eastAsia="Arial" w:hAnsi="Arial"/>
          <w:sz w:val="16"/>
          <w:szCs w:val="16"/>
          <w:color w:val="auto"/>
        </w:rPr>
      </w:pPr>
      <w:r>
        <w:rPr>
          <w:rFonts w:ascii="Arial" w:cs="Arial" w:eastAsia="Arial" w:hAnsi="Arial"/>
          <w:sz w:val="16"/>
          <w:szCs w:val="16"/>
          <w:color w:val="auto"/>
        </w:rPr>
        <w:t xml:space="preserve">the Commitment and Revolving Credit Exposure of such Defaulting Lender shall not be included in determining whether the Required Lenders have taken or may take any action hereunder (including any consent to any amendment, waiver or other modification pursuant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this clause (ii) shall not apply to the vote of a Defaulting Lender in the case of an amendment, waiver or other modification described in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for which such Defaulting Lender’s consent is expressly required;</w:t>
      </w:r>
    </w:p>
    <w:p>
      <w:pPr>
        <w:spacing w:after="0" w:line="154" w:lineRule="exact"/>
        <w:rPr>
          <w:rFonts w:ascii="Arial" w:cs="Arial" w:eastAsia="Arial" w:hAnsi="Arial"/>
          <w:sz w:val="16"/>
          <w:szCs w:val="16"/>
          <w:color w:val="auto"/>
        </w:rPr>
      </w:pPr>
    </w:p>
    <w:p>
      <w:pPr>
        <w:ind w:left="2640" w:hanging="687"/>
        <w:spacing w:after="0"/>
        <w:tabs>
          <w:tab w:leader="none" w:pos="264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if any Swingline Exposure exists at the time such Lender becomes a Defaulting Lender, then:</w:t>
      </w:r>
    </w:p>
    <w:p>
      <w:pPr>
        <w:spacing w:after="0" w:line="225" w:lineRule="exact"/>
        <w:rPr>
          <w:sz w:val="20"/>
          <w:szCs w:val="20"/>
          <w:color w:val="auto"/>
        </w:rPr>
      </w:pPr>
    </w:p>
    <w:p>
      <w:pPr>
        <w:ind w:left="1300" w:right="40" w:firstLine="653"/>
        <w:spacing w:after="0" w:line="255" w:lineRule="auto"/>
        <w:tabs>
          <w:tab w:leader="none" w:pos="2617"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all or any part of the Swingline Exposure of such Defaulting Lender shall be automatically reallocated (effective as of the date such Lender becomes a Defaulting Lender) among the non-Defaulting Lenders in accordance with their respective Applicable Percentages, but only to the extent that (x) each non-Defaulting Lender’s Revolving Credit Exposure does not exceed the Commitment of such non-Defaulting Lender, (y) the sum of all non-Defaulting Lenders’ Revolving Credit Exposures plus such Defaulting Lender’s Swingline Exposure does not exceed the total of all non-Defaulting Lenders’ Commitments and (z) no Event of Default has occurred and is continuing; and</w:t>
      </w:r>
    </w:p>
    <w:p>
      <w:pPr>
        <w:spacing w:after="0" w:line="193" w:lineRule="exact"/>
        <w:rPr>
          <w:rFonts w:ascii="Arial" w:cs="Arial" w:eastAsia="Arial" w:hAnsi="Arial"/>
          <w:sz w:val="18"/>
          <w:szCs w:val="18"/>
          <w:color w:val="auto"/>
        </w:rPr>
      </w:pPr>
    </w:p>
    <w:p>
      <w:pPr>
        <w:ind w:left="1300" w:right="220" w:firstLine="653"/>
        <w:spacing w:after="0" w:line="264" w:lineRule="auto"/>
        <w:tabs>
          <w:tab w:leader="none" w:pos="2607"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if the reallocation described in clause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above cannot, or can only partially, be effected, the Borrowers shall, within three Business Days following the Borrowers’ receipt of written notice from the Administrative Agent, prepay such Swingline Exposure; and</w:t>
      </w:r>
    </w:p>
    <w:p>
      <w:pPr>
        <w:spacing w:after="0" w:line="181" w:lineRule="exact"/>
        <w:rPr>
          <w:sz w:val="20"/>
          <w:szCs w:val="20"/>
          <w:color w:val="auto"/>
        </w:rPr>
      </w:pPr>
    </w:p>
    <w:p>
      <w:pPr>
        <w:ind w:left="660" w:right="300" w:firstLine="1293"/>
        <w:spacing w:after="0" w:line="264" w:lineRule="auto"/>
        <w:tabs>
          <w:tab w:leader="none" w:pos="2622"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so long as any Lender is a Defaulting Lender, no Swingline Lender shall be required to fund any Swingline Loan, and participating interests in any newly made Swingline Loan shall be allocated among non-Defaulting Lenders in a manner consistent with </w:t>
      </w:r>
      <w:r>
        <w:rPr>
          <w:rFonts w:ascii="Arial" w:cs="Arial" w:eastAsia="Arial" w:hAnsi="Arial"/>
          <w:sz w:val="18"/>
          <w:szCs w:val="18"/>
          <w:u w:val="single" w:color="auto"/>
          <w:color w:val="auto"/>
        </w:rPr>
        <w:t>Section 2.17(a)(iii)(A)</w:t>
      </w:r>
      <w:r>
        <w:rPr>
          <w:rFonts w:ascii="Arial" w:cs="Arial" w:eastAsia="Arial" w:hAnsi="Arial"/>
          <w:sz w:val="18"/>
          <w:szCs w:val="18"/>
          <w:color w:val="auto"/>
        </w:rPr>
        <w:t xml:space="preserve"> (and such Defaulting Lender shall not participate therein);</w:t>
      </w:r>
    </w:p>
    <w:p>
      <w:pPr>
        <w:sectPr>
          <w:pgSz w:w="11900" w:h="16838" w:orient="portrait"/>
          <w:cols w:equalWidth="0" w:num="1">
            <w:col w:w="11400"/>
          </w:cols>
          <w:pgMar w:left="240" w:top="125" w:right="259" w:bottom="0" w:gutter="0" w:footer="0" w:header="0"/>
        </w:sectPr>
      </w:pPr>
    </w:p>
    <w:bookmarkStart w:id="159" w:name="page160"/>
    <w:bookmarkEnd w:id="159"/>
    <w:p>
      <w:pPr>
        <w:ind w:firstLine="1305"/>
        <w:spacing w:after="0" w:line="277" w:lineRule="auto"/>
        <w:tabs>
          <w:tab w:leader="none" w:pos="1952"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The rights and remedies against, and with respect to, a Defaulting Lender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are in addition to, and cumulative and not in limitation of, all other rights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and remedies that the Administrative Agent and each Lender, Swingline Lender, Borrower or any other Obligor may at any time have against, or with respect to, such Defaulting Lender.</w:t>
      </w:r>
    </w:p>
    <w:p>
      <w:pPr>
        <w:spacing w:after="0" w:line="170" w:lineRule="exact"/>
        <w:rPr>
          <w:sz w:val="20"/>
          <w:szCs w:val="20"/>
          <w:color w:val="auto"/>
        </w:rPr>
      </w:pPr>
    </w:p>
    <w:p>
      <w:pPr>
        <w:ind w:right="60" w:firstLine="1305"/>
        <w:spacing w:after="0" w:line="257" w:lineRule="auto"/>
        <w:tabs>
          <w:tab w:leader="none" w:pos="1955"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In the event that the Administrative Agent, the Borrowers and the Swingline Lender agree in writing that a Defaulting Lender has adequately remedied all matters that caused such Lender to be a Defaulting Lender, then the Swingline Exposures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88"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2.18</w:t>
      </w:r>
      <w:r>
        <w:rPr>
          <w:sz w:val="20"/>
          <w:szCs w:val="20"/>
          <w:color w:val="auto"/>
        </w:rPr>
        <w:tab/>
      </w:r>
      <w:r>
        <w:rPr>
          <w:rFonts w:ascii="Arial" w:cs="Arial" w:eastAsia="Arial" w:hAnsi="Arial"/>
          <w:sz w:val="16"/>
          <w:szCs w:val="16"/>
          <w:u w:val="single" w:color="auto"/>
          <w:color w:val="auto"/>
        </w:rPr>
        <w:t>Increase in Commitments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7" w:lineRule="auto"/>
        <w:tabs>
          <w:tab w:leader="none" w:pos="1942" w:val="left"/>
        </w:tabs>
        <w:numPr>
          <w:ilvl w:val="0"/>
          <w:numId w:val="361"/>
        </w:numPr>
        <w:rPr>
          <w:rFonts w:ascii="Arial" w:cs="Arial" w:eastAsia="Arial" w:hAnsi="Arial"/>
          <w:sz w:val="17"/>
          <w:szCs w:val="17"/>
          <w:color w:val="auto"/>
        </w:rPr>
      </w:pPr>
      <w:r>
        <w:rPr>
          <w:rFonts w:ascii="Arial" w:cs="Arial" w:eastAsia="Arial" w:hAnsi="Arial"/>
          <w:sz w:val="17"/>
          <w:szCs w:val="17"/>
          <w:u w:val="single" w:color="auto"/>
          <w:color w:val="auto"/>
        </w:rPr>
        <w:t>Borrowers’ Request</w:t>
      </w:r>
      <w:r>
        <w:rPr>
          <w:rFonts w:ascii="Arial" w:cs="Arial" w:eastAsia="Arial" w:hAnsi="Arial"/>
          <w:sz w:val="17"/>
          <w:szCs w:val="17"/>
          <w:color w:val="auto"/>
        </w:rPr>
        <w:t>. Subject to the terms and conditions set forth herein, the Borrowers may by written notice to the Administrative Agent elect to request at any time and from time to time (but not more than twice) prior to the Maturity Date an increase to the aggregate Commitments (each such increase, a “</w:t>
      </w:r>
      <w:r>
        <w:rPr>
          <w:rFonts w:ascii="Arial" w:cs="Arial" w:eastAsia="Arial" w:hAnsi="Arial"/>
          <w:sz w:val="17"/>
          <w:szCs w:val="17"/>
          <w:u w:val="single" w:color="auto"/>
          <w:color w:val="auto"/>
        </w:rPr>
        <w:t>Commitment Increase</w:t>
      </w:r>
      <w:r>
        <w:rPr>
          <w:rFonts w:ascii="Arial" w:cs="Arial" w:eastAsia="Arial" w:hAnsi="Arial"/>
          <w:sz w:val="17"/>
          <w:szCs w:val="17"/>
          <w:color w:val="auto"/>
        </w:rPr>
        <w:t>”, and each additional commitment provided pursuant to a Commitment Increase, an “</w:t>
      </w:r>
      <w:r>
        <w:rPr>
          <w:rFonts w:ascii="Arial" w:cs="Arial" w:eastAsia="Arial" w:hAnsi="Arial"/>
          <w:sz w:val="17"/>
          <w:szCs w:val="17"/>
          <w:u w:val="single" w:color="auto"/>
          <w:color w:val="auto"/>
        </w:rPr>
        <w:t>Incremental Commitment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aggregate amount of (A) all Incremental Commitments and (B) all RCF Incremental Commitments provided after the Effective Date shall not exceed $250,000,000 (such amount, the “</w:t>
      </w:r>
      <w:r>
        <w:rPr>
          <w:rFonts w:ascii="Arial" w:cs="Arial" w:eastAsia="Arial" w:hAnsi="Arial"/>
          <w:sz w:val="17"/>
          <w:szCs w:val="17"/>
          <w:u w:val="single" w:color="auto"/>
          <w:color w:val="auto"/>
        </w:rPr>
        <w:t>Incremental Commitment Cap</w:t>
      </w:r>
      <w:r>
        <w:rPr>
          <w:rFonts w:ascii="Arial" w:cs="Arial" w:eastAsia="Arial" w:hAnsi="Arial"/>
          <w:sz w:val="17"/>
          <w:szCs w:val="17"/>
          <w:color w:val="auto"/>
        </w:rPr>
        <w:t xml:space="preserve">”) and (ii) no such Commitment Increase may be made unless the RCF Commitments are increased concurrently by an amount that is at least equal to the amount of the Incremental Commitments being provided pursuant to such Commitment Increase. Each such notice shall specify (i) the date on which the Borrowers propose that the applicable Incremental Commitments shall be effective, which shall be a date not less than ten (10) Business Days (or such shorter period as may be agreed by the Administrative Agent) after the date on which such notice is delivered to the Administrative Agent and (ii) the identity of each Person to whom the Borrowers propose any portion of such Incremental Commitments be allocated and the amounts of such allocations;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any existing Lender approached to provide an Incremental Commitment may elect or decline, in its sole discretion, to provide such Incremental Commitment (any existing Lender electing to provide an Incremental Commitment, an “</w:t>
      </w:r>
      <w:r>
        <w:rPr>
          <w:rFonts w:ascii="Arial" w:cs="Arial" w:eastAsia="Arial" w:hAnsi="Arial"/>
          <w:sz w:val="17"/>
          <w:szCs w:val="17"/>
          <w:u w:val="single" w:color="auto"/>
          <w:color w:val="auto"/>
        </w:rPr>
        <w:t>Increasing Lender</w:t>
      </w:r>
      <w:r>
        <w:rPr>
          <w:rFonts w:ascii="Arial" w:cs="Arial" w:eastAsia="Arial" w:hAnsi="Arial"/>
          <w:sz w:val="17"/>
          <w:szCs w:val="17"/>
          <w:color w:val="auto"/>
        </w:rPr>
        <w:t xml:space="preserve">”), (B) any Person approached to provide an Incremental Commitment that is not already a Lender shall meet the requirements to be an assignee under </w:t>
      </w:r>
      <w:r>
        <w:rPr>
          <w:rFonts w:ascii="Arial" w:cs="Arial" w:eastAsia="Arial" w:hAnsi="Arial"/>
          <w:sz w:val="17"/>
          <w:szCs w:val="17"/>
          <w:u w:val="single" w:color="auto"/>
          <w:color w:val="auto"/>
        </w:rPr>
        <w:t>Section 11.05(b)</w:t>
      </w:r>
      <w:r>
        <w:rPr>
          <w:rFonts w:ascii="Arial" w:cs="Arial" w:eastAsia="Arial" w:hAnsi="Arial"/>
          <w:sz w:val="17"/>
          <w:szCs w:val="17"/>
          <w:color w:val="auto"/>
        </w:rPr>
        <w:t xml:space="preserve"> (subject to such consents, if any, as may be required under </w:t>
      </w:r>
      <w:r>
        <w:rPr>
          <w:rFonts w:ascii="Arial" w:cs="Arial" w:eastAsia="Arial" w:hAnsi="Arial"/>
          <w:sz w:val="17"/>
          <w:szCs w:val="17"/>
          <w:u w:val="single" w:color="auto"/>
          <w:color w:val="auto"/>
        </w:rPr>
        <w:t>Section 11.05(b)</w:t>
      </w:r>
      <w:r>
        <w:rPr>
          <w:rFonts w:ascii="Arial" w:cs="Arial" w:eastAsia="Arial" w:hAnsi="Arial"/>
          <w:sz w:val="17"/>
          <w:szCs w:val="17"/>
          <w:color w:val="auto"/>
        </w:rPr>
        <w:t xml:space="preserve">) and shall deliver all applicable forms and documents required by clauses (D), (E), (F) and (H) of </w:t>
      </w:r>
      <w:r>
        <w:rPr>
          <w:rFonts w:ascii="Arial" w:cs="Arial" w:eastAsia="Arial" w:hAnsi="Arial"/>
          <w:sz w:val="17"/>
          <w:szCs w:val="17"/>
          <w:u w:val="single" w:color="auto"/>
          <w:color w:val="auto"/>
        </w:rPr>
        <w:t>Section 11.05(b)(ii)</w:t>
      </w:r>
      <w:r>
        <w:rPr>
          <w:rFonts w:ascii="Arial" w:cs="Arial" w:eastAsia="Arial" w:hAnsi="Arial"/>
          <w:sz w:val="17"/>
          <w:szCs w:val="17"/>
          <w:color w:val="auto"/>
        </w:rPr>
        <w:t xml:space="preserve"> (any such Person agreeing to provide all or any portion of an Incremental Commitment that is not already a Lender, an “</w:t>
      </w:r>
      <w:r>
        <w:rPr>
          <w:rFonts w:ascii="Arial" w:cs="Arial" w:eastAsia="Arial" w:hAnsi="Arial"/>
          <w:sz w:val="17"/>
          <w:szCs w:val="17"/>
          <w:u w:val="single" w:color="auto"/>
          <w:color w:val="auto"/>
        </w:rPr>
        <w:t>Additional Lender</w:t>
      </w:r>
      <w:r>
        <w:rPr>
          <w:rFonts w:ascii="Arial" w:cs="Arial" w:eastAsia="Arial" w:hAnsi="Arial"/>
          <w:sz w:val="17"/>
          <w:szCs w:val="17"/>
          <w:color w:val="auto"/>
        </w:rPr>
        <w:t xml:space="preserve">”), (C) if any Increasing Lender is providing an Incremental Commitment, then the Borrowers and such Increasing Lender shall execute an Increasing Lender Supplement, (D) if any Additional Lender is providing an Incremental Commitment, then the Borrowers and such Additional Lender shall execute an Additional Lender Supplement and (E) the Lenders’ Commitments shall be reduced in accordance with the provisions of </w:t>
      </w:r>
      <w:r>
        <w:rPr>
          <w:rFonts w:ascii="Arial" w:cs="Arial" w:eastAsia="Arial" w:hAnsi="Arial"/>
          <w:sz w:val="17"/>
          <w:szCs w:val="17"/>
          <w:u w:val="single" w:color="auto"/>
          <w:color w:val="auto"/>
        </w:rPr>
        <w:t>Section 2.06(b)</w:t>
      </w:r>
      <w:r>
        <w:rPr>
          <w:rFonts w:ascii="Arial" w:cs="Arial" w:eastAsia="Arial" w:hAnsi="Arial"/>
          <w:sz w:val="17"/>
          <w:szCs w:val="17"/>
          <w:color w:val="auto"/>
        </w:rPr>
        <w:t>. Each Commitment Increase shall be in an aggregate amount of $10,000,000 or any whole multiple of $1,000,000 in excess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a Commitment Increase may be less than $10,000,000 if such amount represents all remaining availability under the Incremental Commitment Cap).</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firstLine="1305"/>
        <w:spacing w:after="0" w:line="264" w:lineRule="auto"/>
        <w:tabs>
          <w:tab w:leader="none" w:pos="1952"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Conditions</w:t>
      </w:r>
      <w:r>
        <w:rPr>
          <w:rFonts w:ascii="Arial" w:cs="Arial" w:eastAsia="Arial" w:hAnsi="Arial"/>
          <w:sz w:val="18"/>
          <w:szCs w:val="18"/>
          <w:color w:val="auto"/>
        </w:rPr>
        <w:t>. Each Commitment Increase shall become effective on the proposed effective date set forth in the Borrowers’ request for a Commitment Increase or such later date as the Administrative Agent and the Borrowers agree (the “</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which in any event shall be on or after the date on which the Administrative Agent shall have received:</w:t>
      </w:r>
    </w:p>
    <w:p>
      <w:pPr>
        <w:spacing w:after="0" w:line="181" w:lineRule="exact"/>
        <w:rPr>
          <w:rFonts w:ascii="Arial" w:cs="Arial" w:eastAsia="Arial" w:hAnsi="Arial"/>
          <w:sz w:val="18"/>
          <w:szCs w:val="18"/>
          <w:color w:val="auto"/>
        </w:rPr>
      </w:pPr>
    </w:p>
    <w:p>
      <w:pPr>
        <w:ind w:left="660" w:right="440" w:firstLine="1293"/>
        <w:spacing w:after="0" w:line="264" w:lineRule="auto"/>
        <w:tabs>
          <w:tab w:leader="none" w:pos="2626" w:val="left"/>
        </w:tabs>
        <w:numPr>
          <w:ilvl w:val="1"/>
          <w:numId w:val="362"/>
        </w:numPr>
        <w:rPr>
          <w:rFonts w:ascii="Arial" w:cs="Arial" w:eastAsia="Arial" w:hAnsi="Arial"/>
          <w:sz w:val="18"/>
          <w:szCs w:val="18"/>
          <w:color w:val="auto"/>
        </w:rPr>
      </w:pPr>
      <w:r>
        <w:rPr>
          <w:rFonts w:ascii="Arial" w:cs="Arial" w:eastAsia="Arial" w:hAnsi="Arial"/>
          <w:sz w:val="18"/>
          <w:szCs w:val="18"/>
          <w:color w:val="auto"/>
        </w:rPr>
        <w:t>an Additional Lender Supplement for each Additional Lender participating in such Commitment Increase and an Increasing Lender Supplement for each Increasing Lender participating in such Commitment Increase, in each case duly executed by all parties thereto;</w:t>
      </w:r>
    </w:p>
    <w:p>
      <w:pPr>
        <w:spacing w:after="0" w:line="181" w:lineRule="exact"/>
        <w:rPr>
          <w:rFonts w:ascii="Arial" w:cs="Arial" w:eastAsia="Arial" w:hAnsi="Arial"/>
          <w:sz w:val="18"/>
          <w:szCs w:val="18"/>
          <w:color w:val="auto"/>
        </w:rPr>
      </w:pPr>
    </w:p>
    <w:p>
      <w:pPr>
        <w:jc w:val="both"/>
        <w:ind w:left="660" w:right="100" w:firstLine="1293"/>
        <w:spacing w:after="0" w:line="264" w:lineRule="auto"/>
        <w:tabs>
          <w:tab w:leader="none" w:pos="2636" w:val="left"/>
        </w:tabs>
        <w:numPr>
          <w:ilvl w:val="1"/>
          <w:numId w:val="362"/>
        </w:numPr>
        <w:rPr>
          <w:rFonts w:ascii="Arial" w:cs="Arial" w:eastAsia="Arial" w:hAnsi="Arial"/>
          <w:sz w:val="18"/>
          <w:szCs w:val="18"/>
          <w:color w:val="auto"/>
        </w:rPr>
      </w:pPr>
      <w:r>
        <w:rPr>
          <w:rFonts w:ascii="Arial" w:cs="Arial" w:eastAsia="Arial" w:hAnsi="Arial"/>
          <w:sz w:val="18"/>
          <w:szCs w:val="18"/>
          <w:color w:val="auto"/>
        </w:rPr>
        <w:t>a certificate of a Principal Financial Officer dated such date and certifying that, on a pro forma basis (assuming that such Incremental Commitments are fully drawn), WIL-Ireland shall be in compliance with each of the Financial Covenants as of the most recently ended Fiscal Quarter for which financial statements are available;</w:t>
      </w:r>
    </w:p>
    <w:p>
      <w:pPr>
        <w:spacing w:after="0" w:line="181" w:lineRule="exact"/>
        <w:rPr>
          <w:rFonts w:ascii="Arial" w:cs="Arial" w:eastAsia="Arial" w:hAnsi="Arial"/>
          <w:sz w:val="18"/>
          <w:szCs w:val="18"/>
          <w:color w:val="auto"/>
        </w:rPr>
      </w:pPr>
    </w:p>
    <w:p>
      <w:pPr>
        <w:ind w:left="660" w:right="300" w:firstLine="1293"/>
        <w:spacing w:after="0" w:line="264" w:lineRule="auto"/>
        <w:tabs>
          <w:tab w:leader="none" w:pos="2645" w:val="left"/>
        </w:tabs>
        <w:numPr>
          <w:ilvl w:val="1"/>
          <w:numId w:val="362"/>
        </w:numPr>
        <w:rPr>
          <w:rFonts w:ascii="Arial" w:cs="Arial" w:eastAsia="Arial" w:hAnsi="Arial"/>
          <w:sz w:val="18"/>
          <w:szCs w:val="18"/>
          <w:color w:val="auto"/>
        </w:rPr>
      </w:pPr>
      <w:r>
        <w:rPr>
          <w:rFonts w:ascii="Arial" w:cs="Arial" w:eastAsia="Arial" w:hAnsi="Arial"/>
          <w:sz w:val="18"/>
          <w:szCs w:val="18"/>
          <w:color w:val="auto"/>
        </w:rPr>
        <w:t>such documents and opinions consistent with those delivered on the Effective Date as to the organizational power and authority of the Borrowers to borrow hereunder after giving effect to such Commitment Increase as the Administrative Agent may reasonably request;</w:t>
      </w:r>
    </w:p>
    <w:p>
      <w:pPr>
        <w:spacing w:after="0" w:line="181" w:lineRule="exact"/>
        <w:rPr>
          <w:rFonts w:ascii="Arial" w:cs="Arial" w:eastAsia="Arial" w:hAnsi="Arial"/>
          <w:sz w:val="18"/>
          <w:szCs w:val="18"/>
          <w:color w:val="auto"/>
        </w:rPr>
      </w:pPr>
    </w:p>
    <w:p>
      <w:pPr>
        <w:ind w:left="660" w:right="240" w:firstLine="1293"/>
        <w:spacing w:after="0" w:line="277" w:lineRule="auto"/>
        <w:tabs>
          <w:tab w:leader="none" w:pos="2622" w:val="left"/>
        </w:tabs>
        <w:numPr>
          <w:ilvl w:val="1"/>
          <w:numId w:val="362"/>
        </w:numPr>
        <w:rPr>
          <w:rFonts w:ascii="Arial" w:cs="Arial" w:eastAsia="Arial" w:hAnsi="Arial"/>
          <w:sz w:val="18"/>
          <w:szCs w:val="18"/>
          <w:color w:val="auto"/>
        </w:rPr>
      </w:pPr>
      <w:r>
        <w:rPr>
          <w:rFonts w:ascii="Arial" w:cs="Arial" w:eastAsia="Arial" w:hAnsi="Arial"/>
          <w:sz w:val="18"/>
          <w:szCs w:val="18"/>
          <w:color w:val="auto"/>
        </w:rPr>
        <w:t>such evidence of appropriate corporate or other organizational authorization on the part of the Borrowers, WIL-Ireland and the other Obligors with respect to such Commitment Increase as the Administrative Agent may reasonably request;</w:t>
      </w:r>
    </w:p>
    <w:p>
      <w:pPr>
        <w:spacing w:after="0" w:line="170" w:lineRule="exact"/>
        <w:rPr>
          <w:rFonts w:ascii="Arial" w:cs="Arial" w:eastAsia="Arial" w:hAnsi="Arial"/>
          <w:sz w:val="18"/>
          <w:szCs w:val="18"/>
          <w:color w:val="auto"/>
        </w:rPr>
      </w:pPr>
    </w:p>
    <w:p>
      <w:pPr>
        <w:ind w:left="660" w:right="240" w:firstLine="1293"/>
        <w:spacing w:after="0" w:line="286" w:lineRule="auto"/>
        <w:tabs>
          <w:tab w:leader="none" w:pos="2612" w:val="left"/>
        </w:tabs>
        <w:numPr>
          <w:ilvl w:val="1"/>
          <w:numId w:val="362"/>
        </w:numPr>
        <w:rPr>
          <w:rFonts w:ascii="Arial" w:cs="Arial" w:eastAsia="Arial" w:hAnsi="Arial"/>
          <w:sz w:val="17"/>
          <w:szCs w:val="17"/>
          <w:color w:val="auto"/>
        </w:rPr>
      </w:pPr>
      <w:r>
        <w:rPr>
          <w:rFonts w:ascii="Arial" w:cs="Arial" w:eastAsia="Arial" w:hAnsi="Arial"/>
          <w:sz w:val="17"/>
          <w:szCs w:val="17"/>
          <w:color w:val="auto"/>
        </w:rPr>
        <w:t>if requested by the Administrative Agent, an opinion or opinions, in form and substance reasonably satisfactory to the Administrative Agent, from counsel to the Borrowers and the Obligors reasonably satisfactory to the Administrative Agent, covering such matters relating to such Commitment Increase as the Administrative Agent may reasonably request;</w:t>
      </w:r>
    </w:p>
    <w:p>
      <w:pPr>
        <w:spacing w:after="0" w:line="165" w:lineRule="exact"/>
        <w:rPr>
          <w:rFonts w:ascii="Arial" w:cs="Arial" w:eastAsia="Arial" w:hAnsi="Arial"/>
          <w:sz w:val="17"/>
          <w:szCs w:val="17"/>
          <w:color w:val="auto"/>
        </w:rPr>
      </w:pPr>
    </w:p>
    <w:p>
      <w:pPr>
        <w:ind w:left="660" w:right="160" w:firstLine="1293"/>
        <w:spacing w:after="0" w:line="271" w:lineRule="auto"/>
        <w:tabs>
          <w:tab w:leader="none" w:pos="2622" w:val="left"/>
        </w:tabs>
        <w:numPr>
          <w:ilvl w:val="1"/>
          <w:numId w:val="362"/>
        </w:numPr>
        <w:rPr>
          <w:rFonts w:ascii="Arial" w:cs="Arial" w:eastAsia="Arial" w:hAnsi="Arial"/>
          <w:sz w:val="17"/>
          <w:szCs w:val="17"/>
          <w:color w:val="auto"/>
        </w:rPr>
      </w:pPr>
      <w:r>
        <w:rPr>
          <w:rFonts w:ascii="Arial" w:cs="Arial" w:eastAsia="Arial" w:hAnsi="Arial"/>
          <w:sz w:val="17"/>
          <w:szCs w:val="17"/>
          <w:color w:val="auto"/>
        </w:rPr>
        <w:t xml:space="preserve">a certificate of a Responsible Officer of WIL-Ireland, dated such Increase Effective Date, certifying that (A) the representations and warranties set forth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such Increase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 and (B) no Default or Event of Default has occurred and is continuing on such Increase Effective Date; and</w:t>
      </w:r>
    </w:p>
    <w:p>
      <w:pPr>
        <w:sectPr>
          <w:pgSz w:w="11900" w:h="16838" w:orient="portrait"/>
          <w:cols w:equalWidth="0" w:num="1">
            <w:col w:w="11420"/>
          </w:cols>
          <w:pgMar w:left="240" w:top="125" w:right="239" w:bottom="0" w:gutter="0" w:footer="0" w:header="0"/>
        </w:sectPr>
      </w:pPr>
    </w:p>
    <w:bookmarkStart w:id="160" w:name="page161"/>
    <w:bookmarkEnd w:id="160"/>
    <w:p>
      <w:pPr>
        <w:spacing w:after="0" w:line="13" w:lineRule="exact"/>
        <w:rPr>
          <w:sz w:val="20"/>
          <w:szCs w:val="20"/>
          <w:color w:val="auto"/>
        </w:rPr>
      </w:pPr>
    </w:p>
    <w:p>
      <w:pPr>
        <w:ind w:left="660" w:right="400" w:firstLine="1293"/>
        <w:spacing w:after="0" w:line="277" w:lineRule="auto"/>
        <w:tabs>
          <w:tab w:leader="none" w:pos="2631" w:val="left"/>
        </w:tabs>
        <w:numPr>
          <w:ilvl w:val="0"/>
          <w:numId w:val="363"/>
        </w:numPr>
        <w:rPr>
          <w:rFonts w:ascii="Arial" w:cs="Arial" w:eastAsia="Arial" w:hAnsi="Arial"/>
          <w:sz w:val="18"/>
          <w:szCs w:val="18"/>
          <w:color w:val="auto"/>
        </w:rPr>
      </w:pPr>
      <w:r>
        <w:rPr>
          <w:rFonts w:ascii="Arial" w:cs="Arial" w:eastAsia="Arial" w:hAnsi="Arial"/>
          <w:sz w:val="18"/>
          <w:szCs w:val="18"/>
          <w:color w:val="auto"/>
        </w:rPr>
        <w:t xml:space="preserve">other customary closing certificates and documentation (similar to the documentation required to be delivered on the Effective Date under </w:t>
      </w:r>
      <w:r>
        <w:rPr>
          <w:rFonts w:ascii="Arial" w:cs="Arial" w:eastAsia="Arial" w:hAnsi="Arial"/>
          <w:sz w:val="18"/>
          <w:szCs w:val="18"/>
          <w:u w:val="single" w:color="auto"/>
          <w:color w:val="auto"/>
        </w:rPr>
        <w:t>Section 5.01</w:t>
      </w:r>
      <w:r>
        <w:rPr>
          <w:rFonts w:ascii="Arial" w:cs="Arial" w:eastAsia="Arial" w:hAnsi="Arial"/>
          <w:sz w:val="18"/>
          <w:szCs w:val="18"/>
          <w:color w:val="auto"/>
        </w:rPr>
        <w:t>,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extent applicable) relating to such Commitment Increase as the Administrative Agent may reasonably request.</w:t>
      </w:r>
    </w:p>
    <w:p>
      <w:pPr>
        <w:spacing w:after="0" w:line="225" w:lineRule="exact"/>
        <w:rPr>
          <w:sz w:val="20"/>
          <w:szCs w:val="20"/>
          <w:color w:val="auto"/>
        </w:rPr>
      </w:pPr>
    </w:p>
    <w:p>
      <w:pPr>
        <w:ind w:right="40" w:firstLine="1305"/>
        <w:spacing w:after="0" w:line="293" w:lineRule="auto"/>
        <w:tabs>
          <w:tab w:leader="none" w:pos="1955" w:val="left"/>
        </w:tabs>
        <w:numPr>
          <w:ilvl w:val="0"/>
          <w:numId w:val="364"/>
        </w:numPr>
        <w:rPr>
          <w:rFonts w:ascii="Arial" w:cs="Arial" w:eastAsia="Arial" w:hAnsi="Arial"/>
          <w:sz w:val="16"/>
          <w:szCs w:val="16"/>
          <w:color w:val="auto"/>
        </w:rPr>
      </w:pPr>
      <w:r>
        <w:rPr>
          <w:rFonts w:ascii="Arial" w:cs="Arial" w:eastAsia="Arial" w:hAnsi="Arial"/>
          <w:sz w:val="16"/>
          <w:szCs w:val="16"/>
          <w:u w:val="single" w:color="auto"/>
          <w:color w:val="auto"/>
        </w:rPr>
        <w:t>Adjustment of Revolving Credit Loans</w:t>
      </w:r>
      <w:r>
        <w:rPr>
          <w:rFonts w:ascii="Arial" w:cs="Arial" w:eastAsia="Arial" w:hAnsi="Arial"/>
          <w:sz w:val="16"/>
          <w:szCs w:val="16"/>
          <w:color w:val="auto"/>
        </w:rPr>
        <w:t xml:space="preserve">. On the Increase Effective Date for any Commitment Increase, each relevant Increasing Lender and Additional Lender shall make available to the Administrative Agent, for the benefit of the other Lenders, such amounts in immediately available funds as are required to cause (after giving effect to such Commitment Increase, any reduction of the Commitments pursuant to </w:t>
      </w:r>
      <w:r>
        <w:rPr>
          <w:rFonts w:ascii="Arial" w:cs="Arial" w:eastAsia="Arial" w:hAnsi="Arial"/>
          <w:sz w:val="16"/>
          <w:szCs w:val="16"/>
          <w:u w:val="single" w:color="auto"/>
          <w:color w:val="auto"/>
        </w:rPr>
        <w:t>Section 2.06(b)</w:t>
      </w:r>
      <w:r>
        <w:rPr>
          <w:rFonts w:ascii="Arial" w:cs="Arial" w:eastAsia="Arial" w:hAnsi="Arial"/>
          <w:sz w:val="16"/>
          <w:szCs w:val="16"/>
          <w:color w:val="auto"/>
        </w:rPr>
        <w:t xml:space="preserve"> and the use of such amounts to make payments to such other Lenders) each Lender’s portion of the outstanding Revolving Credit Loans of all the Lenders to equal its Applicable Percentage of such outstanding Revolving Credit Loans. If there is a new borrowing of Revolving Credit Loans on such Increase Effective Date, the Lenders shall, after giving effect to such Increase Effective Date, make such Revolving Credit Loans in accordance with </w:t>
      </w:r>
      <w:r>
        <w:rPr>
          <w:rFonts w:ascii="Arial" w:cs="Arial" w:eastAsia="Arial" w:hAnsi="Arial"/>
          <w:sz w:val="16"/>
          <w:szCs w:val="16"/>
          <w:u w:val="single" w:color="auto"/>
          <w:color w:val="auto"/>
        </w:rPr>
        <w:t>Section 2.01</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right="540" w:firstLine="1305"/>
        <w:spacing w:after="0" w:line="264" w:lineRule="auto"/>
        <w:tabs>
          <w:tab w:leader="none" w:pos="1952"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Equal and Ratable Benefit.</w:t>
      </w:r>
      <w:r>
        <w:rPr>
          <w:rFonts w:ascii="Arial" w:cs="Arial" w:eastAsia="Arial" w:hAnsi="Arial"/>
          <w:sz w:val="18"/>
          <w:szCs w:val="18"/>
          <w:color w:val="auto"/>
        </w:rPr>
        <w:t xml:space="preserve"> The Loans and Commitments established pursuant to this paragraph shall constitute Loans and Commitments under, and shall be entitled to all the benefits afforded by, this Agreement and the other Loan Documents, and shall, without limiting the foregoing, benefit equally and ratably from the Guaranty Agreements and the Collateral Documents.</w:t>
      </w:r>
    </w:p>
    <w:p>
      <w:pPr>
        <w:spacing w:after="0" w:line="18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RESERVED</w:t>
      </w:r>
      <w:r>
        <w:rPr>
          <w:rFonts w:ascii="Arial" w:cs="Arial" w:eastAsia="Arial" w:hAnsi="Arial"/>
          <w:sz w:val="18"/>
          <w:szCs w:val="18"/>
          <w:b w:val="1"/>
          <w:bCs w:val="1"/>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PAYMENTS; PRO RATA TREATMENT; TAXES</w:t>
      </w:r>
    </w:p>
    <w:p>
      <w:pPr>
        <w:spacing w:after="0" w:line="211"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9" w:lineRule="auto"/>
        <w:tabs>
          <w:tab w:leader="none" w:pos="1942" w:val="left"/>
        </w:tabs>
        <w:numPr>
          <w:ilvl w:val="0"/>
          <w:numId w:val="365"/>
        </w:numPr>
        <w:rPr>
          <w:rFonts w:ascii="Arial" w:cs="Arial" w:eastAsia="Arial" w:hAnsi="Arial"/>
          <w:sz w:val="17"/>
          <w:szCs w:val="17"/>
          <w:color w:val="auto"/>
        </w:rPr>
      </w:pPr>
      <w:r>
        <w:rPr>
          <w:rFonts w:ascii="Arial" w:cs="Arial" w:eastAsia="Arial" w:hAnsi="Arial"/>
          <w:sz w:val="17"/>
          <w:szCs w:val="17"/>
          <w:color w:val="auto"/>
        </w:rPr>
        <w:t xml:space="preserve">Each Borrower shall make each payment required to be made by it hereunder (whether of principal, interest or fees, or of amounts payable under </w:t>
      </w:r>
      <w:r>
        <w:rPr>
          <w:rFonts w:ascii="Arial" w:cs="Arial" w:eastAsia="Arial" w:hAnsi="Arial"/>
          <w:sz w:val="17"/>
          <w:szCs w:val="17"/>
          <w:u w:val="single" w:color="auto"/>
          <w:color w:val="auto"/>
        </w:rPr>
        <w:t>Sections 2.12</w:t>
      </w:r>
      <w:r>
        <w:rPr>
          <w:rFonts w:ascii="Arial" w:cs="Arial" w:eastAsia="Arial" w:hAnsi="Arial"/>
          <w:sz w:val="17"/>
          <w:szCs w:val="17"/>
          <w:color w:val="auto"/>
        </w:rPr>
        <w:t xml:space="preserve">, </w:t>
      </w:r>
      <w:r>
        <w:rPr>
          <w:rFonts w:ascii="Arial" w:cs="Arial" w:eastAsia="Arial" w:hAnsi="Arial"/>
          <w:sz w:val="17"/>
          <w:szCs w:val="17"/>
          <w:u w:val="single" w:color="auto"/>
          <w:color w:val="auto"/>
        </w:rPr>
        <w:t>2.13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4.02</w:t>
      </w:r>
      <w:r>
        <w:rPr>
          <w:rFonts w:ascii="Arial" w:cs="Arial" w:eastAsia="Arial" w:hAnsi="Arial"/>
          <w:sz w:val="17"/>
          <w:szCs w:val="17"/>
          <w:color w:val="auto"/>
        </w:rPr>
        <w:t xml:space="preserve">, or otherwise) prior to 12:00 noon,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270 Park Avenue, New York, New York;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payments to be made directly to a Swingline Lender as expressly provided herein shall be made directly to such Swingline Lender and (ii) payments pursuant to </w:t>
      </w:r>
      <w:r>
        <w:rPr>
          <w:rFonts w:ascii="Arial" w:cs="Arial" w:eastAsia="Arial" w:hAnsi="Arial"/>
          <w:sz w:val="17"/>
          <w:szCs w:val="17"/>
          <w:u w:val="single" w:color="auto"/>
          <w:color w:val="auto"/>
        </w:rPr>
        <w:t>Sections 2.12</w:t>
      </w:r>
      <w:r>
        <w:rPr>
          <w:rFonts w:ascii="Arial" w:cs="Arial" w:eastAsia="Arial" w:hAnsi="Arial"/>
          <w:sz w:val="17"/>
          <w:szCs w:val="17"/>
          <w:color w:val="auto"/>
        </w:rPr>
        <w:t xml:space="preserve">, </w:t>
      </w:r>
      <w:r>
        <w:rPr>
          <w:rFonts w:ascii="Arial" w:cs="Arial" w:eastAsia="Arial" w:hAnsi="Arial"/>
          <w:sz w:val="17"/>
          <w:szCs w:val="17"/>
          <w:u w:val="single" w:color="auto"/>
          <w:color w:val="auto"/>
        </w:rPr>
        <w:t>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4.02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(or of any breakage indemnity in respect of any Loan) and all other payments hereunder and under each other Loan Document shall be made in Dollars. Any payment required to be made by the Administrative Agent hereunder shall be deemed to have been made by the time required if the Administrative Agent shall, at or before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such time, have taken the necessary steps to make such payment in accordance with the regulations or operating procedures of the clearing or settlement system used by the Administrative Agent to make such payment.</w:t>
      </w:r>
    </w:p>
    <w:p>
      <w:pPr>
        <w:spacing w:after="0" w:line="170" w:lineRule="exact"/>
        <w:rPr>
          <w:sz w:val="20"/>
          <w:szCs w:val="20"/>
          <w:color w:val="auto"/>
        </w:rPr>
      </w:pPr>
    </w:p>
    <w:p>
      <w:pPr>
        <w:ind w:right="140" w:firstLine="1305"/>
        <w:spacing w:after="0" w:line="302" w:lineRule="auto"/>
        <w:tabs>
          <w:tab w:leader="none" w:pos="1952" w:val="left"/>
        </w:tabs>
        <w:numPr>
          <w:ilvl w:val="0"/>
          <w:numId w:val="366"/>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if at any time insufficient funds are received by and available to the Administrative Agent to pay fully all amounts of principal, interest and fees then due hereunder, such funds shall be applied (i)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towards payment of interest and fees then due hereunder, ratably among the parties entitled thereto in accordance with the amounts of interest and fees then due to such parties, and (ii) </w:t>
      </w:r>
      <w:r>
        <w:rPr>
          <w:rFonts w:ascii="Arial" w:cs="Arial" w:eastAsia="Arial" w:hAnsi="Arial"/>
          <w:sz w:val="16"/>
          <w:szCs w:val="16"/>
          <w:i w:val="1"/>
          <w:iCs w:val="1"/>
          <w:color w:val="auto"/>
        </w:rPr>
        <w:t>second</w:t>
      </w:r>
      <w:r>
        <w:rPr>
          <w:rFonts w:ascii="Arial" w:cs="Arial" w:eastAsia="Arial" w:hAnsi="Arial"/>
          <w:sz w:val="16"/>
          <w:szCs w:val="16"/>
          <w:color w:val="auto"/>
        </w:rPr>
        <w:t>, towards payment of principal then due hereunder, ratably among the parties entitled thereto in accordance with the amounts of principal then due to such parties.</w:t>
      </w:r>
    </w:p>
    <w:p>
      <w:pPr>
        <w:spacing w:after="0" w:line="154" w:lineRule="exact"/>
        <w:rPr>
          <w:rFonts w:ascii="Arial" w:cs="Arial" w:eastAsia="Arial" w:hAnsi="Arial"/>
          <w:sz w:val="16"/>
          <w:szCs w:val="16"/>
          <w:color w:val="auto"/>
        </w:rPr>
      </w:pPr>
    </w:p>
    <w:p>
      <w:pPr>
        <w:ind w:firstLine="1305"/>
        <w:spacing w:after="0" w:line="286" w:lineRule="auto"/>
        <w:tabs>
          <w:tab w:leader="none" w:pos="1955" w:val="left"/>
        </w:tabs>
        <w:numPr>
          <w:ilvl w:val="0"/>
          <w:numId w:val="366"/>
        </w:numPr>
        <w:rPr>
          <w:rFonts w:ascii="Arial" w:cs="Arial" w:eastAsia="Arial" w:hAnsi="Arial"/>
          <w:sz w:val="16"/>
          <w:szCs w:val="16"/>
          <w:color w:val="auto"/>
        </w:rPr>
      </w:pPr>
      <w:r>
        <w:rPr>
          <w:rFonts w:ascii="Arial" w:cs="Arial" w:eastAsia="Arial" w:hAnsi="Arial"/>
          <w:sz w:val="16"/>
          <w:szCs w:val="16"/>
          <w:color w:val="auto"/>
        </w:rPr>
        <w:t xml:space="preserve">If any Lender shall, by exercising any right of set-off or counterclaim or otherwise, obtain payment in respect of any principal of or interest on any of its Loans or participations in Swingline Loans resulting in such Lender receiving payment of a greater proportion of the aggregate amount of its Loans and participations in Swingline Loans and accrued interest thereon than the proportion received by any other Lender, then the Lender receiving such greater proportion shall purchase (for cash at face value) participations in the Loans and participations in Swingline Loans of other Lenders to the extent necessary so that the benefit of all such payments shall be shared by the Lenders ratably in accordance with the aggregate amount of principal of and accrued interest on their respective Loans and participations in Swingline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 Borrower pursuant to and in accordance with the express terms of this Agreement or any payment obtained by a Lender as consideration for the assignment of or sale of a participation in any of its Loans or participations in Swingline Loans to any assignee or participant, other than to a Borrower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74" w:lineRule="exact"/>
        <w:rPr>
          <w:rFonts w:ascii="Arial" w:cs="Arial" w:eastAsia="Arial" w:hAnsi="Arial"/>
          <w:sz w:val="16"/>
          <w:szCs w:val="16"/>
          <w:color w:val="auto"/>
        </w:rPr>
      </w:pPr>
    </w:p>
    <w:p>
      <w:pPr>
        <w:ind w:firstLine="1305"/>
        <w:spacing w:after="0" w:line="272" w:lineRule="auto"/>
        <w:tabs>
          <w:tab w:leader="none" w:pos="1952" w:val="left"/>
        </w:tabs>
        <w:numPr>
          <w:ilvl w:val="0"/>
          <w:numId w:val="366"/>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a Borrower prior to the date on which any payment is due to the Administrative Agent for the account of the Lenders hereunder that such Borrower shall not make such payment, the Administrative Agent may assume that such Borrower has made such payment on such date in accordance herewith and may, in reliance upon such assumption, distribute to the Lenders the amount due. In such event, if a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ectPr>
          <w:pgSz w:w="11900" w:h="16851" w:orient="portrait"/>
          <w:cols w:equalWidth="0" w:num="1">
            <w:col w:w="11420"/>
          </w:cols>
          <w:pgMar w:left="240" w:top="125" w:right="239" w:bottom="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51" w:orient="portrait"/>
          <w:cols w:equalWidth="0" w:num="1">
            <w:col w:w="11420"/>
          </w:cols>
          <w:pgMar w:left="240" w:top="125" w:right="239" w:bottom="0" w:gutter="0" w:footer="0" w:header="0"/>
          <w:type w:val="continuous"/>
        </w:sectPr>
      </w:pPr>
    </w:p>
    <w:bookmarkStart w:id="161" w:name="page162"/>
    <w:bookmarkEnd w:id="161"/>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960" w:hanging="655"/>
        <w:spacing w:after="0"/>
        <w:tabs>
          <w:tab w:leader="none" w:pos="19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If any Lender shall fail to make any payment required to be made by it pursuant to Section 2.03(c), Section 2.04(b),</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Section 4.01(d) or Section 11.04(b), then the Administrative Agent may, in its discretion and notwithstanding any contrary provision hereof, (i) apply any amounts thereafter received by the Administrative Agent for the account of such Lender for the benefit of the Administrative Agent or any Swingline Lender to satisfy such Lender’s obligations to the Administrative Agent or such Swingline Lender, as applicable,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194"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Taxes/Additional Payments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73" w:lineRule="auto"/>
        <w:tabs>
          <w:tab w:leader="none" w:pos="1942" w:val="left"/>
        </w:tabs>
        <w:numPr>
          <w:ilvl w:val="0"/>
          <w:numId w:val="368"/>
        </w:numPr>
        <w:rPr>
          <w:rFonts w:ascii="Arial" w:cs="Arial" w:eastAsia="Arial" w:hAnsi="Arial"/>
          <w:sz w:val="17"/>
          <w:szCs w:val="17"/>
          <w:color w:val="auto"/>
        </w:rPr>
      </w:pPr>
      <w:r>
        <w:rPr>
          <w:rFonts w:ascii="Arial" w:cs="Arial" w:eastAsia="Arial" w:hAnsi="Arial"/>
          <w:sz w:val="17"/>
          <w:szCs w:val="17"/>
          <w:color w:val="auto"/>
        </w:rPr>
        <w:t xml:space="preserve">Any and all payments by or on account of any obligation of the Borrowers hereunder shall be made free and clear of and without deduction for any Indemnified Taxes or Other Taxes;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Borrower shall be required to deduct any Indemnified Taxes or Other Taxes from such payments, then (i) the sum payable shall be increased as necessary so that after making all required deductions (including deductions applicable to additional sums payable under this Section) the Administrative Agent or Lender (as the case may be) receives an amount equal to the sum it would have received had no such deductions been made, (ii) such Borrower shall make such deductions and (iii) such Borrower shall pay the full amount deducted to the relevant Governmental Authority in accordance with applicable law.</w:t>
      </w:r>
    </w:p>
    <w:p>
      <w:pPr>
        <w:spacing w:after="0" w:line="178" w:lineRule="exact"/>
        <w:rPr>
          <w:rFonts w:ascii="Arial" w:cs="Arial" w:eastAsia="Arial" w:hAnsi="Arial"/>
          <w:sz w:val="17"/>
          <w:szCs w:val="17"/>
          <w:color w:val="auto"/>
        </w:rPr>
      </w:pPr>
    </w:p>
    <w:p>
      <w:pPr>
        <w:ind w:right="100" w:firstLine="1305"/>
        <w:spacing w:after="0" w:line="270" w:lineRule="auto"/>
        <w:tabs>
          <w:tab w:leader="none" w:pos="1952" w:val="left"/>
        </w:tabs>
        <w:numPr>
          <w:ilvl w:val="0"/>
          <w:numId w:val="368"/>
        </w:numPr>
        <w:rPr>
          <w:rFonts w:ascii="Arial" w:cs="Arial" w:eastAsia="Arial" w:hAnsi="Arial"/>
          <w:sz w:val="17"/>
          <w:szCs w:val="17"/>
          <w:color w:val="auto"/>
        </w:rPr>
      </w:pPr>
      <w:r>
        <w:rPr>
          <w:rFonts w:ascii="Arial" w:cs="Arial" w:eastAsia="Arial" w:hAnsi="Arial"/>
          <w:sz w:val="17"/>
          <w:szCs w:val="17"/>
          <w:color w:val="auto"/>
        </w:rPr>
        <w:t xml:space="preserve">The Borrowers, jointly and severally, shall indemnify the Administrative Agent and each Lender, within 20 days after written demand therefor, for the full amount of any Indemnified Taxes or Other Taxes paid by the Administrative Agent or such Lender on or with respect to any payment by or on account of any obligation of a Borrower hereunder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Borrowers shall not be liable for any penalties, interest or expenses that result from the failure of the Administrative Agent or a Lender to notify the Borrowers of the Indemnified Taxes or Other Taxes within a reasonable period of time after becoming aware of such Indemnified Taxes or Other Taxes. A certificate as to the amount of such payment or liability delivered to the Borrowers by a Lender, or by the Administrative Agent on its own behalf or on behalf of a Lender, shall be presumed correct absent manifest error.</w:t>
      </w:r>
    </w:p>
    <w:p>
      <w:pPr>
        <w:spacing w:after="0" w:line="181" w:lineRule="exact"/>
        <w:rPr>
          <w:rFonts w:ascii="Arial" w:cs="Arial" w:eastAsia="Arial" w:hAnsi="Arial"/>
          <w:sz w:val="17"/>
          <w:szCs w:val="17"/>
          <w:color w:val="auto"/>
        </w:rPr>
      </w:pPr>
    </w:p>
    <w:p>
      <w:pPr>
        <w:ind w:right="100" w:firstLine="1305"/>
        <w:spacing w:after="0" w:line="257" w:lineRule="auto"/>
        <w:tabs>
          <w:tab w:leader="none" w:pos="1955"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Any Lender that is entitled to an exemption from or reduction of withholding tax under the law of the jurisdiction in which a Borrower is organized, tax resident or otherwise located, or any treaty to which any such jurisdiction is a party, with respect to payments under this Agreement shall deliver to such Borrower (with a copy to the Administrative Agent), at the time or times prescribed by applicable law, such properly completed and executed documentation prescribed by applicable law (or otherwise reasonably requested by such Borrower) as shall permit such payments to be made without withholding or at a reduced rate.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68" w:lineRule="auto"/>
        <w:tabs>
          <w:tab w:leader="none" w:pos="1952" w:val="left"/>
        </w:tabs>
        <w:numPr>
          <w:ilvl w:val="1"/>
          <w:numId w:val="369"/>
        </w:numPr>
        <w:rPr>
          <w:rFonts w:ascii="Arial" w:cs="Arial" w:eastAsia="Arial" w:hAnsi="Arial"/>
          <w:sz w:val="17"/>
          <w:szCs w:val="17"/>
          <w:color w:val="auto"/>
        </w:rPr>
      </w:pPr>
      <w:r>
        <w:rPr>
          <w:rFonts w:ascii="Arial" w:cs="Arial" w:eastAsia="Arial" w:hAnsi="Arial"/>
          <w:sz w:val="17"/>
          <w:szCs w:val="17"/>
          <w:color w:val="auto"/>
        </w:rPr>
        <w:t xml:space="preserve">If the Administrative Agent or a Lender determines, in its sole discretion, that it has received a refund of any Taxes paid by a Borrower or with respect to which a Borrower has paid additional amounts pursuant to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it shall pay over such refund to such Borrower (but only to the extent of indemnity payments made, or additional amounts paid, by such Borrower under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with respect to the Taxes giving rise to such refund), net of all out-of-pocket expenses of the Administrative Agent or such Lender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Borrower, upon the request of the Administrative Agent or such Lender, agrees to repay promptly the amount paid over to such Borrower (plus any penalties, interest or other charges imposed by the relevant Governmental Authority with respect to such amount)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Borrower or any other Person. Notwithstanding anything to the contrary in this paragraph (d), in no event will the indemnified party be required to pay any amount to an indemnifying party pursuant to this paragraph (d)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87" w:lineRule="exact"/>
        <w:rPr>
          <w:rFonts w:ascii="Arial" w:cs="Arial" w:eastAsia="Arial" w:hAnsi="Arial"/>
          <w:sz w:val="17"/>
          <w:szCs w:val="17"/>
          <w:color w:val="auto"/>
        </w:rPr>
      </w:pPr>
    </w:p>
    <w:p>
      <w:pPr>
        <w:ind w:right="20" w:firstLine="1305"/>
        <w:spacing w:after="0" w:line="284" w:lineRule="auto"/>
        <w:tabs>
          <w:tab w:leader="none" w:pos="1955" w:val="left"/>
        </w:tabs>
        <w:numPr>
          <w:ilvl w:val="1"/>
          <w:numId w:val="369"/>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the foregoing, each Lender shall deliver to each Borrower and the Administrative Agent on the Effective Date or upon the effectiveness of any Assignment and Assumption by which it becomes a party to this Agreement (unless an Event of Default under </w:t>
      </w:r>
      <w:r>
        <w:rPr>
          <w:rFonts w:ascii="Arial" w:cs="Arial" w:eastAsia="Arial" w:hAnsi="Arial"/>
          <w:sz w:val="16"/>
          <w:szCs w:val="16"/>
          <w:u w:val="single" w:color="auto"/>
          <w:color w:val="auto"/>
        </w:rPr>
        <w:t>Section 9.01(a)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9.01(i)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9.01(j)</w:t>
      </w:r>
      <w:r>
        <w:rPr>
          <w:rFonts w:ascii="Arial" w:cs="Arial" w:eastAsia="Arial" w:hAnsi="Arial"/>
          <w:sz w:val="16"/>
          <w:szCs w:val="16"/>
          <w:color w:val="auto"/>
        </w:rPr>
        <w:t xml:space="preserve"> has occurred and is continuing on the effective date of such Assignment and Assumption) (i) two duly completed copies of United States Internal Revenue Service Form W-8ECI, W-8BEN, W-8BEN-E, W-8EXP, W-8IMY or W-9, or other applicable governmental form, as the case may be, certifying in each case that such Lender is entitled to receive payments under this Agreement and the Notes payable to it without deduction or withholding of any United States federal income Taxes, as if each Borrower were incorporated under the laws of the United States or a State thereof and</w:t>
      </w:r>
    </w:p>
    <w:p>
      <w:pPr>
        <w:spacing w:after="0" w:line="4" w:lineRule="exact"/>
        <w:rPr>
          <w:rFonts w:ascii="Arial" w:cs="Arial" w:eastAsia="Arial" w:hAnsi="Arial"/>
          <w:sz w:val="16"/>
          <w:szCs w:val="16"/>
          <w:color w:val="auto"/>
        </w:rPr>
      </w:pPr>
    </w:p>
    <w:p>
      <w:pPr>
        <w:ind w:right="20" w:firstLine="8"/>
        <w:spacing w:after="0" w:line="268" w:lineRule="auto"/>
        <w:tabs>
          <w:tab w:leader="none" w:pos="31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any other governmental forms (including tax residency certificates) which are necessary or required under an applicable Tax treaty or otherwise by law to eliminate any withholding Tax or which have been reasonably requested by the Borrowers. Each Lender which delivers to the Borrowers and the Administrative Agent a Form W-8ECI, W-8BEN, W-8BEN-E, W-8EXP, W-8IMY or W-9, or other applicable governmental form pursuant to the preceding sentence further undertakes to deliver to the Borrowers and the Administrative Agent two further copies of such form on or before the date that any such form expires (currently, three successive calendar years for Form W-8BEN, W-8BEN-E or Form W-8ECI) or becomes obsolete or after the occurrence of any event requiring a change in the most recent form so delivered by it, and such amendments thereto or extensions or renewals thereof as may reasonably be requested by a Borrower and the Administrative Agent, in each case certifying that such Lender is entitled to receive payments under this Agreement without deduction or withholding of any United States federal income Taxes, unless Change in Law has occurred prior to the date on which any such delivery would otherwise be required which renders all such forms inapplicable or which would prevent such</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Lender from duly completing and delivering any such form with respect to it and such Lender advises the Borrowers and the Administrative Agent that it is not capable of receiving payments without any deduction or withholding of United States federal income Taxes. If a payment made to a Lender under any</w:t>
      </w:r>
    </w:p>
    <w:p>
      <w:pPr>
        <w:sectPr>
          <w:pgSz w:w="11900" w:h="16935" w:orient="portrait"/>
          <w:cols w:equalWidth="0" w:num="1">
            <w:col w:w="11420"/>
          </w:cols>
          <w:pgMar w:left="240" w:top="733" w:right="239" w:bottom="0" w:gutter="0" w:footer="0" w:header="0"/>
        </w:sectPr>
      </w:pPr>
    </w:p>
    <w:bookmarkStart w:id="162" w:name="page163"/>
    <w:bookmarkEnd w:id="162"/>
    <w:p>
      <w:pPr>
        <w:ind w:right="20"/>
        <w:spacing w:after="0" w:line="254" w:lineRule="auto"/>
        <w:rPr>
          <w:sz w:val="20"/>
          <w:szCs w:val="20"/>
          <w:color w:val="auto"/>
        </w:rPr>
      </w:pPr>
      <w:r>
        <w:rPr>
          <w:rFonts w:ascii="Arial" w:cs="Arial" w:eastAsia="Arial" w:hAnsi="Arial"/>
          <w:sz w:val="18"/>
          <w:szCs w:val="18"/>
          <w:color w:val="auto"/>
        </w:rPr>
        <w:t>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and the Administrative Agent such documentation prescribed by applicable law (including as prescribed by Section 1471(b)(3)(C)(i) of the Code) and such additional documentation reasonably requested by the Borrowers and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Section, “FATCA” shall include any amendments made to FATCA after the date of this Agreement.</w:t>
      </w:r>
    </w:p>
    <w:p>
      <w:pPr>
        <w:spacing w:after="0" w:line="192" w:lineRule="exact"/>
        <w:rPr>
          <w:sz w:val="20"/>
          <w:szCs w:val="20"/>
          <w:color w:val="auto"/>
        </w:rPr>
      </w:pPr>
    </w:p>
    <w:p>
      <w:pPr>
        <w:ind w:right="80" w:firstLine="1305"/>
        <w:spacing w:after="0" w:line="259" w:lineRule="auto"/>
        <w:tabs>
          <w:tab w:leader="none" w:pos="1949"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Borrowers, jointly and severally, will remit to the appropriate Governmental Authority, prior to delinquency, all Indemnified Taxes and Other Taxes payable in respect of any payment. Within 30 days after the date of any payment of Indemnified Taxes or Other Taxes, the applicable Borrower will furnish to the Administrative Agent the original or a certified copy of a receipt evidencing payment of such Indemnified Taxes or Other Taxes or such other evidence thereof as may be reasonably satisfactory to the Administrative Agent.</w:t>
      </w:r>
    </w:p>
    <w:p>
      <w:pPr>
        <w:spacing w:after="0" w:line="182" w:lineRule="exact"/>
        <w:rPr>
          <w:rFonts w:ascii="Arial" w:cs="Arial" w:eastAsia="Arial" w:hAnsi="Arial"/>
          <w:sz w:val="18"/>
          <w:szCs w:val="18"/>
          <w:color w:val="auto"/>
        </w:rPr>
      </w:pPr>
    </w:p>
    <w:p>
      <w:pPr>
        <w:ind w:left="1980" w:hanging="675"/>
        <w:spacing w:after="0"/>
        <w:tabs>
          <w:tab w:leader="none" w:pos="1980" w:val="left"/>
        </w:tabs>
        <w:numPr>
          <w:ilvl w:val="0"/>
          <w:numId w:val="371"/>
        </w:numPr>
        <w:rPr>
          <w:rFonts w:ascii="Arial" w:cs="Arial" w:eastAsia="Arial" w:hAnsi="Arial"/>
          <w:sz w:val="18"/>
          <w:szCs w:val="18"/>
          <w:color w:val="auto"/>
        </w:rPr>
      </w:pPr>
      <w:r>
        <w:rPr>
          <w:rFonts w:ascii="Arial" w:cs="Arial" w:eastAsia="Arial" w:hAnsi="Arial"/>
          <w:sz w:val="18"/>
          <w:szCs w:val="18"/>
          <w:b w:val="1"/>
          <w:bCs w:val="1"/>
          <w:u w:val="single" w:color="auto"/>
          <w:color w:val="auto"/>
        </w:rPr>
        <w:t>[</w:t>
      </w:r>
      <w:r>
        <w:rPr>
          <w:rFonts w:ascii="Arial" w:cs="Arial" w:eastAsia="Arial" w:hAnsi="Arial"/>
          <w:sz w:val="18"/>
          <w:szCs w:val="18"/>
          <w:color w:val="auto"/>
        </w:rPr>
        <w:t>Reserved.</w:t>
      </w:r>
      <w:r>
        <w:rPr>
          <w:rFonts w:ascii="Arial" w:cs="Arial" w:eastAsia="Arial" w:hAnsi="Arial"/>
          <w:sz w:val="18"/>
          <w:szCs w:val="18"/>
          <w:b w:val="1"/>
          <w:bCs w:val="1"/>
          <w:u w:val="single" w:color="auto"/>
          <w:color w:val="auto"/>
        </w:rPr>
        <w:t>]</w:t>
      </w:r>
    </w:p>
    <w:p>
      <w:pPr>
        <w:spacing w:after="0" w:line="229" w:lineRule="exact"/>
        <w:rPr>
          <w:rFonts w:ascii="Arial" w:cs="Arial" w:eastAsia="Arial" w:hAnsi="Arial"/>
          <w:sz w:val="18"/>
          <w:szCs w:val="18"/>
          <w:color w:val="auto"/>
        </w:rPr>
      </w:pPr>
    </w:p>
    <w:p>
      <w:pPr>
        <w:ind w:right="40" w:firstLine="1305"/>
        <w:spacing w:after="0" w:line="271" w:lineRule="auto"/>
        <w:tabs>
          <w:tab w:leader="none" w:pos="1952" w:val="left"/>
        </w:tabs>
        <w:numPr>
          <w:ilvl w:val="0"/>
          <w:numId w:val="371"/>
        </w:numPr>
        <w:rPr>
          <w:rFonts w:ascii="Arial" w:cs="Arial" w:eastAsia="Arial" w:hAnsi="Arial"/>
          <w:sz w:val="17"/>
          <w:szCs w:val="17"/>
          <w:color w:val="auto"/>
        </w:rPr>
      </w:pPr>
      <w:r>
        <w:rPr>
          <w:rFonts w:ascii="Arial" w:cs="Arial" w:eastAsia="Arial" w:hAnsi="Arial"/>
          <w:sz w:val="17"/>
          <w:szCs w:val="17"/>
          <w:color w:val="auto"/>
        </w:rPr>
        <w:t>Each Lender shall severally indemnify the Administrative Agent, within 10 days after demand therefor, for (i) any Indemnified Taxes attributable to such Lender (but only to the extent that the Borrowers has not already indemnified the Administrative Agent for such Indemnified Taxes and without limiting the obligation of the Borrowers to do so), (ii) any Taxes attributable to such Lender’s failure to comply with the provisions of</w:t>
      </w:r>
    </w:p>
    <w:p>
      <w:pPr>
        <w:ind w:right="100"/>
        <w:spacing w:after="0" w:line="290" w:lineRule="auto"/>
        <w:rPr>
          <w:rFonts w:ascii="Arial" w:cs="Arial" w:eastAsia="Arial" w:hAnsi="Arial"/>
          <w:sz w:val="17"/>
          <w:szCs w:val="17"/>
          <w:color w:val="auto"/>
        </w:rPr>
      </w:pPr>
      <w:r>
        <w:rPr>
          <w:rFonts w:ascii="Arial" w:cs="Arial" w:eastAsia="Arial" w:hAnsi="Arial"/>
          <w:sz w:val="16"/>
          <w:szCs w:val="16"/>
          <w:u w:val="single" w:color="auto"/>
          <w:color w:val="auto"/>
        </w:rPr>
        <w:t>Section 11.05(c)</w:t>
      </w:r>
      <w:r>
        <w:rPr>
          <w:rFonts w:ascii="Arial" w:cs="Arial" w:eastAsia="Arial" w:hAnsi="Arial"/>
          <w:sz w:val="16"/>
          <w:szCs w:val="16"/>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(h).</w:t>
      </w:r>
    </w:p>
    <w:p>
      <w:pPr>
        <w:spacing w:after="0" w:line="164" w:lineRule="exact"/>
        <w:rPr>
          <w:rFonts w:ascii="Arial" w:cs="Arial" w:eastAsia="Arial" w:hAnsi="Arial"/>
          <w:sz w:val="17"/>
          <w:szCs w:val="17"/>
          <w:color w:val="auto"/>
        </w:rPr>
      </w:pPr>
    </w:p>
    <w:p>
      <w:pPr>
        <w:jc w:val="both"/>
        <w:ind w:right="520" w:firstLine="1305"/>
        <w:spacing w:after="0" w:line="264" w:lineRule="auto"/>
        <w:tabs>
          <w:tab w:leader="none" w:pos="1966" w:val="left"/>
        </w:tabs>
        <w:numPr>
          <w:ilvl w:val="0"/>
          <w:numId w:val="371"/>
        </w:numPr>
        <w:rPr>
          <w:rFonts w:ascii="Arial" w:cs="Arial" w:eastAsia="Arial" w:hAnsi="Arial"/>
          <w:sz w:val="18"/>
          <w:szCs w:val="18"/>
          <w:color w:val="auto"/>
        </w:rPr>
      </w:pPr>
      <w:r>
        <w:rPr>
          <w:rFonts w:ascii="Arial" w:cs="Arial" w:eastAsia="Arial" w:hAnsi="Arial"/>
          <w:sz w:val="18"/>
          <w:szCs w:val="18"/>
          <w:color w:val="auto"/>
        </w:rPr>
        <w:t xml:space="preserve">Notwithstanding any provision of this Agreement to the contrary (including </w:t>
      </w:r>
      <w:r>
        <w:rPr>
          <w:rFonts w:ascii="Arial" w:cs="Arial" w:eastAsia="Arial" w:hAnsi="Arial"/>
          <w:sz w:val="18"/>
          <w:szCs w:val="18"/>
          <w:u w:val="single" w:color="auto"/>
          <w:color w:val="auto"/>
        </w:rPr>
        <w:t>Section 2.10(g)</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4.02</w:t>
      </w:r>
      <w:r>
        <w:rPr>
          <w:rFonts w:ascii="Arial" w:cs="Arial" w:eastAsia="Arial" w:hAnsi="Arial"/>
          <w:sz w:val="18"/>
          <w:szCs w:val="18"/>
          <w:color w:val="auto"/>
        </w:rPr>
        <w:t>), a Swiss Obligor shall not be required to make a tax gross up, a tax indemnity payment or an increased interest payment under any Loan Document to a specific Lender or Participant (but, for the avoidance of doubt, shall remain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required to make a tax gross up, a tax indemnity payment, or an increased interest payment to all other Lenders) in respect of Swiss Withholding Tax due on interest payments by a Swiss Obligor under this Agreement as a direct result of such Lender or Participant (i) making an incorrect declaration of its status as to whether or not it is a Swiss Qualifying Lender or a single Swiss Non-Qualifying Lender, (ii) breaching the restrictions regarding transfers, assignments, participations, sub-participation and exposure transfers set forth in </w:t>
      </w:r>
      <w:r>
        <w:rPr>
          <w:rFonts w:ascii="Arial" w:cs="Arial" w:eastAsia="Arial" w:hAnsi="Arial"/>
          <w:sz w:val="17"/>
          <w:szCs w:val="17"/>
          <w:u w:val="single" w:color="auto"/>
          <w:color w:val="auto"/>
        </w:rPr>
        <w:t>Section 11.05</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Specified Event of Default occurs within 90 days following any such transfer, assignment, participation or sub-participation, the Swiss Obligors shall be required to make such tax gross up, tax indemnity payment or increased interest payment) or (iii) ceasing to be a Swiss Qualifying Lender other than as a result of any change after the date it became a Lender or Participant under this Agreement in (or in the interpretation, administration or application of) any law or double taxation treaty, or any published practice or published concession of any relevant taxing authority.</w:t>
      </w:r>
    </w:p>
    <w:p>
      <w:pPr>
        <w:spacing w:after="0" w:line="179"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5" w:lineRule="auto"/>
        <w:tabs>
          <w:tab w:leader="none" w:pos="1942" w:val="left"/>
        </w:tabs>
        <w:numPr>
          <w:ilvl w:val="1"/>
          <w:numId w:val="372"/>
        </w:numPr>
        <w:rPr>
          <w:rFonts w:ascii="Arial" w:cs="Arial" w:eastAsia="Arial" w:hAnsi="Arial"/>
          <w:sz w:val="18"/>
          <w:szCs w:val="18"/>
          <w:color w:val="auto"/>
        </w:rPr>
      </w:pPr>
      <w:r>
        <w:rPr>
          <w:rFonts w:ascii="Arial" w:cs="Arial" w:eastAsia="Arial" w:hAnsi="Arial"/>
          <w:sz w:val="18"/>
          <w:szCs w:val="18"/>
          <w:color w:val="auto"/>
        </w:rPr>
        <w:t xml:space="preserve">If any Lender requests compensation under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or if a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4.02</w:t>
      </w:r>
      <w:r>
        <w:rPr>
          <w:rFonts w:ascii="Arial" w:cs="Arial" w:eastAsia="Arial" w:hAnsi="Arial"/>
          <w:sz w:val="18"/>
          <w:szCs w:val="18"/>
          <w:color w:val="auto"/>
        </w:rPr>
        <w:t>, as the case may be, in the future and (ii) would not subject such Lender to any unreimbursed cost or expense and would not otherwise be disadvantageous to such Lender. The Borrowers hereby, jointly and severally, agree to pay all reasonable costs and expenses incurred by any Lender in connection with any such designation or assignment.</w:t>
      </w:r>
    </w:p>
    <w:p>
      <w:pPr>
        <w:spacing w:after="0" w:line="189" w:lineRule="exact"/>
        <w:rPr>
          <w:rFonts w:ascii="Arial" w:cs="Arial" w:eastAsia="Arial" w:hAnsi="Arial"/>
          <w:sz w:val="18"/>
          <w:szCs w:val="18"/>
          <w:color w:val="auto"/>
        </w:rPr>
      </w:pPr>
    </w:p>
    <w:p>
      <w:pPr>
        <w:ind w:right="40" w:firstLine="1305"/>
        <w:spacing w:after="0" w:line="284" w:lineRule="auto"/>
        <w:tabs>
          <w:tab w:leader="none" w:pos="1952" w:val="left"/>
        </w:tabs>
        <w:numPr>
          <w:ilvl w:val="1"/>
          <w:numId w:val="372"/>
        </w:numPr>
        <w:rPr>
          <w:rFonts w:ascii="Arial" w:cs="Arial" w:eastAsia="Arial" w:hAnsi="Arial"/>
          <w:sz w:val="16"/>
          <w:szCs w:val="16"/>
          <w:color w:val="auto"/>
        </w:rPr>
      </w:pPr>
      <w:r>
        <w:rPr>
          <w:rFonts w:ascii="Arial" w:cs="Arial" w:eastAsia="Arial" w:hAnsi="Arial"/>
          <w:sz w:val="16"/>
          <w:szCs w:val="16"/>
          <w:color w:val="auto"/>
        </w:rPr>
        <w:t xml:space="preserve">If (i) any Lender requests compensation under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(including for Taxes under </w:t>
      </w:r>
      <w:r>
        <w:rPr>
          <w:rFonts w:ascii="Arial" w:cs="Arial" w:eastAsia="Arial" w:hAnsi="Arial"/>
          <w:sz w:val="16"/>
          <w:szCs w:val="16"/>
          <w:u w:val="single" w:color="auto"/>
          <w:color w:val="auto"/>
        </w:rPr>
        <w:t>Section 2.12(a)(iii)</w:t>
      </w:r>
      <w:r>
        <w:rPr>
          <w:rFonts w:ascii="Arial" w:cs="Arial" w:eastAsia="Arial" w:hAnsi="Arial"/>
          <w:sz w:val="16"/>
          <w:szCs w:val="16"/>
          <w:color w:val="auto"/>
        </w:rPr>
        <w:t xml:space="preserve">), or (ii) a Borrower is required to pay any Indemnified Taxes or additional amounts to any Lender or any Governmental Authority for the account of any Lender pursuant to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or (iii) any Lender becomes a Defaulting Lender, or (iv) any Lender becomes a Swiss Non-Qualifying Lender (but only if such event causes a breach of the Swiss Non-Bank Rules), or (v) any Lender fails to provide its consent to a Redomestication under the laws of a jurisdiction (other than the United Kingdom, The Kingdom of the Netherlands, Luxembourg or Switzerland) outside of the United States, or (vi) any Lender is a Non-Consenting Lender, then the Borrowers may, at their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ind w:firstLine="8"/>
        <w:spacing w:after="0" w:line="302" w:lineRule="auto"/>
        <w:tabs>
          <w:tab w:leader="none" w:pos="255" w:val="left"/>
        </w:tabs>
        <w:numPr>
          <w:ilvl w:val="0"/>
          <w:numId w:val="373"/>
        </w:numPr>
        <w:rPr>
          <w:rFonts w:ascii="Arial" w:cs="Arial" w:eastAsia="Arial" w:hAnsi="Arial"/>
          <w:sz w:val="16"/>
          <w:szCs w:val="16"/>
          <w:color w:val="auto"/>
        </w:rPr>
      </w:pPr>
      <w:r>
        <w:rPr>
          <w:rFonts w:ascii="Arial" w:cs="Arial" w:eastAsia="Arial" w:hAnsi="Arial"/>
          <w:sz w:val="16"/>
          <w:szCs w:val="16"/>
          <w:color w:val="auto"/>
        </w:rPr>
        <w:t>if such assignee is not already a Lender hereunder, the Borrowers shall have received the prior written consent of the Administrative Agent, which consent shall not be unreasonably withheld, conditioned or delayed, (2) such Lender shall have received payment of an amount equal to the outstanding principal of its Loans and Swingline Loans, accrued interest thereon, accrued fees and all other amounts payable to it hereunder, from the assignee (to the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extent of such outstanding principal and accrued interest and fees) or the Borrowers (in the case of all other amounts) and (3) in the case of any such assignment resulting from a claim for compensation under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4.02</w:t>
      </w:r>
      <w:r>
        <w:rPr>
          <w:rFonts w:ascii="Arial" w:cs="Arial" w:eastAsia="Arial" w:hAnsi="Arial"/>
          <w:sz w:val="16"/>
          <w:szCs w:val="16"/>
          <w:color w:val="auto"/>
        </w:rPr>
        <w:t>, such assignment shall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and such Lender neither received nor continued to claim any such compensation or payment. Notwithstanding anything to the contrary herein, any Non-Consenting Lender shall be deemed to have consented to the assignment and delegation of its interests, rights and obligations to any proposed assignee pursuant to this</w:t>
      </w:r>
    </w:p>
    <w:p>
      <w:pPr>
        <w:sectPr>
          <w:pgSz w:w="11900" w:h="16838" w:orient="portrait"/>
          <w:cols w:equalWidth="0" w:num="1">
            <w:col w:w="11400"/>
          </w:cols>
          <w:pgMar w:left="240" w:top="125" w:right="259" w:bottom="0" w:gutter="0" w:footer="0" w:header="0"/>
        </w:sectPr>
      </w:pPr>
    </w:p>
    <w:bookmarkStart w:id="163" w:name="page164"/>
    <w:bookmarkEnd w:id="163"/>
    <w:p>
      <w:pPr>
        <w:ind w:right="80"/>
        <w:spacing w:after="0" w:line="277" w:lineRule="auto"/>
        <w:rPr>
          <w:sz w:val="20"/>
          <w:szCs w:val="20"/>
          <w:color w:val="auto"/>
        </w:rPr>
      </w:pPr>
      <w:r>
        <w:rPr>
          <w:rFonts w:ascii="Arial" w:cs="Arial" w:eastAsia="Arial" w:hAnsi="Arial"/>
          <w:sz w:val="18"/>
          <w:szCs w:val="18"/>
          <w:u w:val="single" w:color="auto"/>
          <w:color w:val="auto"/>
        </w:rPr>
        <w:t>Section 4.03(b)</w:t>
      </w:r>
      <w:r>
        <w:rPr>
          <w:rFonts w:ascii="Arial" w:cs="Arial" w:eastAsia="Arial" w:hAnsi="Arial"/>
          <w:sz w:val="18"/>
          <w:szCs w:val="18"/>
          <w:color w:val="auto"/>
        </w:rPr>
        <w:t xml:space="preserve"> if it does not execute and deliver an Assignment and Assumption to the Administrative Agent within one Business Day after having received a written request therefor.</w:t>
      </w:r>
    </w:p>
    <w:p>
      <w:pPr>
        <w:spacing w:after="0" w:line="170"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u w:val="single" w:color="auto"/>
          <w:color w:val="auto"/>
        </w:rPr>
        <w:t>Financial Assistance</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70" w:lineRule="auto"/>
        <w:tabs>
          <w:tab w:leader="none" w:pos="1942" w:val="left"/>
        </w:tabs>
        <w:numPr>
          <w:ilvl w:val="0"/>
          <w:numId w:val="374"/>
        </w:numPr>
        <w:rPr>
          <w:rFonts w:ascii="Arial" w:cs="Arial" w:eastAsia="Arial" w:hAnsi="Arial"/>
          <w:sz w:val="17"/>
          <w:szCs w:val="17"/>
          <w:color w:val="auto"/>
        </w:rPr>
      </w:pPr>
      <w:r>
        <w:rPr>
          <w:rFonts w:ascii="Arial" w:cs="Arial" w:eastAsia="Arial" w:hAnsi="Arial"/>
          <w:sz w:val="17"/>
          <w:szCs w:val="17"/>
          <w:color w:val="auto"/>
        </w:rPr>
        <w:t>If and to the extent that a payment in fulfilling a liability of any Swiss Obligor under this Agreement other than such Swiss Obligor’s own liabilities or liabilities of one of its Wholly-Owned Subsidiaries would, at the time payment is due, under Swiss law and practice (inter alia, prohibiting capital repayments or restricting profit distributions) not be permitted (such obligations, “</w:t>
      </w:r>
      <w:r>
        <w:rPr>
          <w:rFonts w:ascii="Arial" w:cs="Arial" w:eastAsia="Arial" w:hAnsi="Arial"/>
          <w:sz w:val="17"/>
          <w:szCs w:val="17"/>
          <w:u w:val="single" w:color="auto"/>
          <w:color w:val="auto"/>
        </w:rPr>
        <w:t>Restricted Obligations</w:t>
      </w:r>
      <w:r>
        <w:rPr>
          <w:rFonts w:ascii="Arial" w:cs="Arial" w:eastAsia="Arial" w:hAnsi="Arial"/>
          <w:sz w:val="17"/>
          <w:szCs w:val="17"/>
          <w:color w:val="auto"/>
        </w:rPr>
        <w:t xml:space="preserve">”), then such obligations and payment amount shall from time to time be limited to the amount permitted to be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limited amount shall at no time be less than such Swiss Obligor’s profits and reserves available for distribution as dividends (being the balance sheet profits and any reserves available for this purpose, in each case in accordance with Article 798 of the Swiss Federal Code of Obligations) at the time or times the relevant payment is requested from such Swiss Obligor;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such limitation (as may apply from time to time or not) shall not (generally or definitively) free such Swiss Obligor from payment obligations hereunder in excess thereof, but merely postpone the payment date therefor until such times as payment is again permitted notwithstanding such limitation. Any and all indemnities and guarantees contained in the Loan Documents including, in particular, </w:t>
      </w:r>
      <w:r>
        <w:rPr>
          <w:rFonts w:ascii="Arial" w:cs="Arial" w:eastAsia="Arial" w:hAnsi="Arial"/>
          <w:sz w:val="17"/>
          <w:szCs w:val="17"/>
          <w:u w:val="single" w:color="auto"/>
          <w:color w:val="auto"/>
        </w:rPr>
        <w:t>Sections 4.02(b)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9.02</w:t>
      </w:r>
      <w:r>
        <w:rPr>
          <w:rFonts w:ascii="Arial" w:cs="Arial" w:eastAsia="Arial" w:hAnsi="Arial"/>
          <w:sz w:val="17"/>
          <w:szCs w:val="17"/>
          <w:color w:val="auto"/>
        </w:rPr>
        <w:t xml:space="preserve"> shall be construed in a manner consistent with the provisions herein contained.</w:t>
      </w:r>
    </w:p>
    <w:p>
      <w:pPr>
        <w:spacing w:after="0" w:line="177" w:lineRule="exact"/>
        <w:rPr>
          <w:rFonts w:ascii="Arial" w:cs="Arial" w:eastAsia="Arial" w:hAnsi="Arial"/>
          <w:sz w:val="17"/>
          <w:szCs w:val="17"/>
          <w:color w:val="auto"/>
        </w:rPr>
      </w:pPr>
    </w:p>
    <w:p>
      <w:pPr>
        <w:ind w:left="1960" w:hanging="655"/>
        <w:spacing w:after="0"/>
        <w:tabs>
          <w:tab w:leader="none" w:pos="19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 respect of Restricted Obligations, each Swiss Obligor shall:</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if and to the extent required by applicable law in force at the relevant time:</w:t>
      </w:r>
    </w:p>
    <w:p>
      <w:pPr>
        <w:spacing w:after="0" w:line="225" w:lineRule="exact"/>
        <w:rPr>
          <w:rFonts w:ascii="Arial" w:cs="Arial" w:eastAsia="Arial" w:hAnsi="Arial"/>
          <w:sz w:val="18"/>
          <w:szCs w:val="18"/>
          <w:color w:val="auto"/>
        </w:rPr>
      </w:pPr>
    </w:p>
    <w:p>
      <w:pPr>
        <w:ind w:left="1960" w:firstLine="641"/>
        <w:spacing w:after="0" w:line="342" w:lineRule="auto"/>
        <w:tabs>
          <w:tab w:leader="none" w:pos="3281" w:val="left"/>
        </w:tabs>
        <w:numPr>
          <w:ilvl w:val="2"/>
          <w:numId w:val="374"/>
        </w:numPr>
        <w:rPr>
          <w:rFonts w:ascii="Arial" w:cs="Arial" w:eastAsia="Arial" w:hAnsi="Arial"/>
          <w:sz w:val="16"/>
          <w:szCs w:val="16"/>
          <w:color w:val="auto"/>
        </w:rPr>
      </w:pPr>
      <w:r>
        <w:rPr>
          <w:rFonts w:ascii="Arial" w:cs="Arial" w:eastAsia="Arial" w:hAnsi="Arial"/>
          <w:sz w:val="16"/>
          <w:szCs w:val="16"/>
          <w:color w:val="auto"/>
        </w:rPr>
        <w:t>subject to any applicable double taxation treaty, deduct Swiss anticipatory tax (</w:t>
      </w:r>
      <w:r>
        <w:rPr>
          <w:rFonts w:ascii="Arial" w:cs="Arial" w:eastAsia="Arial" w:hAnsi="Arial"/>
          <w:sz w:val="16"/>
          <w:szCs w:val="16"/>
          <w:i w:val="1"/>
          <w:iCs w:val="1"/>
          <w:color w:val="auto"/>
        </w:rPr>
        <w:t>Verrechnungssteuer</w:t>
      </w:r>
      <w:r>
        <w:rPr>
          <w:rFonts w:ascii="Arial" w:cs="Arial" w:eastAsia="Arial" w:hAnsi="Arial"/>
          <w:sz w:val="16"/>
          <w:szCs w:val="16"/>
          <w:color w:val="auto"/>
        </w:rPr>
        <w:t>) at the rate of 35% (or such other rate as in force from time to time) from any payment made by it in respect of Restricted Obligations;</w:t>
      </w:r>
    </w:p>
    <w:p>
      <w:pPr>
        <w:spacing w:after="0" w:line="123" w:lineRule="exact"/>
        <w:rPr>
          <w:rFonts w:ascii="Arial" w:cs="Arial" w:eastAsia="Arial" w:hAnsi="Arial"/>
          <w:sz w:val="16"/>
          <w:szCs w:val="16"/>
          <w:color w:val="auto"/>
        </w:rPr>
      </w:pPr>
    </w:p>
    <w:p>
      <w:pPr>
        <w:ind w:left="3260" w:hanging="659"/>
        <w:spacing w:after="0"/>
        <w:tabs>
          <w:tab w:leader="none" w:pos="3260" w:val="left"/>
        </w:tabs>
        <w:numPr>
          <w:ilvl w:val="2"/>
          <w:numId w:val="374"/>
        </w:numPr>
        <w:rPr>
          <w:rFonts w:ascii="Arial" w:cs="Arial" w:eastAsia="Arial" w:hAnsi="Arial"/>
          <w:sz w:val="18"/>
          <w:szCs w:val="18"/>
          <w:color w:val="auto"/>
        </w:rPr>
      </w:pPr>
      <w:r>
        <w:rPr>
          <w:rFonts w:ascii="Arial" w:cs="Arial" w:eastAsia="Arial" w:hAnsi="Arial"/>
          <w:sz w:val="18"/>
          <w:szCs w:val="18"/>
          <w:color w:val="auto"/>
        </w:rPr>
        <w:t>pay any such deduction to the Swiss Federal Tax Administration; and</w:t>
      </w:r>
    </w:p>
    <w:p>
      <w:pPr>
        <w:spacing w:after="0" w:line="225" w:lineRule="exact"/>
        <w:rPr>
          <w:rFonts w:ascii="Arial" w:cs="Arial" w:eastAsia="Arial" w:hAnsi="Arial"/>
          <w:sz w:val="18"/>
          <w:szCs w:val="18"/>
          <w:color w:val="auto"/>
        </w:rPr>
      </w:pPr>
    </w:p>
    <w:p>
      <w:pPr>
        <w:ind w:left="1960" w:right="20" w:firstLine="641"/>
        <w:spacing w:after="0" w:line="277" w:lineRule="auto"/>
        <w:tabs>
          <w:tab w:leader="none" w:pos="3271" w:val="left"/>
        </w:tabs>
        <w:numPr>
          <w:ilvl w:val="2"/>
          <w:numId w:val="374"/>
        </w:numPr>
        <w:rPr>
          <w:rFonts w:ascii="Arial" w:cs="Arial" w:eastAsia="Arial" w:hAnsi="Arial"/>
          <w:sz w:val="18"/>
          <w:szCs w:val="18"/>
          <w:color w:val="auto"/>
        </w:rPr>
      </w:pPr>
      <w:r>
        <w:rPr>
          <w:rFonts w:ascii="Arial" w:cs="Arial" w:eastAsia="Arial" w:hAnsi="Arial"/>
          <w:sz w:val="18"/>
          <w:szCs w:val="18"/>
          <w:color w:val="auto"/>
        </w:rPr>
        <w:t>notify the Administrative Agent that such a deduction has been made and provide the Administrative Agent with evidence that such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 xml:space="preserve">a deduction has been paid to the Swiss Federal Tax Administration, all in accordance with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4.02(f)</w:t>
      </w:r>
      <w:r>
        <w:rPr>
          <w:rFonts w:ascii="Arial" w:cs="Arial" w:eastAsia="Arial" w:hAnsi="Arial"/>
          <w:sz w:val="16"/>
          <w:szCs w:val="16"/>
          <w:color w:val="auto"/>
        </w:rPr>
        <w:t>; and</w:t>
      </w:r>
    </w:p>
    <w:p>
      <w:pPr>
        <w:spacing w:after="0" w:line="248" w:lineRule="exact"/>
        <w:rPr>
          <w:sz w:val="20"/>
          <w:szCs w:val="20"/>
          <w:color w:val="auto"/>
        </w:rPr>
      </w:pPr>
    </w:p>
    <w:p>
      <w:pPr>
        <w:ind w:left="660" w:right="80" w:firstLine="1293"/>
        <w:spacing w:after="0" w:line="264" w:lineRule="auto"/>
        <w:tabs>
          <w:tab w:leader="none" w:pos="2636" w:val="left"/>
        </w:tabs>
        <w:numPr>
          <w:ilvl w:val="1"/>
          <w:numId w:val="375"/>
        </w:numPr>
        <w:rPr>
          <w:rFonts w:ascii="Arial" w:cs="Arial" w:eastAsia="Arial" w:hAnsi="Arial"/>
          <w:sz w:val="18"/>
          <w:szCs w:val="18"/>
          <w:color w:val="auto"/>
        </w:rPr>
      </w:pPr>
      <w:r>
        <w:rPr>
          <w:rFonts w:ascii="Arial" w:cs="Arial" w:eastAsia="Arial" w:hAnsi="Arial"/>
          <w:sz w:val="18"/>
          <w:szCs w:val="18"/>
          <w:color w:val="auto"/>
        </w:rPr>
        <w:t xml:space="preserve">to the extent such a deduction is made, not be obliged to either gross-up in accordance with </w:t>
      </w:r>
      <w:r>
        <w:rPr>
          <w:rFonts w:ascii="Arial" w:cs="Arial" w:eastAsia="Arial" w:hAnsi="Arial"/>
          <w:sz w:val="18"/>
          <w:szCs w:val="18"/>
          <w:u w:val="single" w:color="auto"/>
          <w:color w:val="auto"/>
        </w:rPr>
        <w:t>Section 4.02(a)</w:t>
      </w:r>
      <w:r>
        <w:rPr>
          <w:rFonts w:ascii="Arial" w:cs="Arial" w:eastAsia="Arial" w:hAnsi="Arial"/>
          <w:sz w:val="18"/>
          <w:szCs w:val="18"/>
          <w:color w:val="auto"/>
        </w:rPr>
        <w:t xml:space="preserve"> or indemnify the Administrative Agent and each Lender in accordance with </w:t>
      </w:r>
      <w:r>
        <w:rPr>
          <w:rFonts w:ascii="Arial" w:cs="Arial" w:eastAsia="Arial" w:hAnsi="Arial"/>
          <w:sz w:val="18"/>
          <w:szCs w:val="18"/>
          <w:u w:val="single" w:color="auto"/>
          <w:color w:val="auto"/>
        </w:rPr>
        <w:t>Section 4.02(b)</w:t>
      </w:r>
      <w:r>
        <w:rPr>
          <w:rFonts w:ascii="Arial" w:cs="Arial" w:eastAsia="Arial" w:hAnsi="Arial"/>
          <w:sz w:val="18"/>
          <w:szCs w:val="18"/>
          <w:color w:val="auto"/>
        </w:rPr>
        <w:t xml:space="preserve"> in relation to any such payment made by it in respect of Restricted Obligations unless grossing-up is permitted under the laws of Switzerland then in force.</w:t>
      </w:r>
    </w:p>
    <w:p>
      <w:pPr>
        <w:spacing w:after="0" w:line="181" w:lineRule="exact"/>
        <w:rPr>
          <w:rFonts w:ascii="Arial" w:cs="Arial" w:eastAsia="Arial" w:hAnsi="Arial"/>
          <w:sz w:val="18"/>
          <w:szCs w:val="18"/>
          <w:color w:val="auto"/>
        </w:rPr>
      </w:pPr>
    </w:p>
    <w:p>
      <w:pPr>
        <w:ind w:right="80" w:firstLine="1305"/>
        <w:spacing w:after="0" w:line="279" w:lineRule="auto"/>
        <w:tabs>
          <w:tab w:leader="none" w:pos="1955" w:val="left"/>
        </w:tabs>
        <w:numPr>
          <w:ilvl w:val="0"/>
          <w:numId w:val="376"/>
        </w:numPr>
        <w:rPr>
          <w:rFonts w:ascii="Arial" w:cs="Arial" w:eastAsia="Arial" w:hAnsi="Arial"/>
          <w:sz w:val="17"/>
          <w:szCs w:val="17"/>
          <w:color w:val="auto"/>
        </w:rPr>
      </w:pPr>
      <w:r>
        <w:rPr>
          <w:rFonts w:ascii="Arial" w:cs="Arial" w:eastAsia="Arial" w:hAnsi="Arial"/>
          <w:sz w:val="17"/>
          <w:szCs w:val="17"/>
          <w:color w:val="auto"/>
        </w:rPr>
        <w:t>If and to the extent requested by the Administrative Agent and if and to the extent this is from time to time required under Swiss law (restricting profit distributions), in order to allow the Administrative Agent and each Lender to obtain a maximum benefit from the relevant Swiss Obligor’s liabilities under this Agreement, each Swiss Obligor undertakes to promptly implement all such measures and/or to promptly obtain the fulfillment of all prerequisites allowing it to promptly make the requested payment(s) hereunder from time to time, including the following:</w:t>
      </w:r>
    </w:p>
    <w:p>
      <w:pPr>
        <w:spacing w:after="0" w:line="171" w:lineRule="exact"/>
        <w:rPr>
          <w:rFonts w:ascii="Arial" w:cs="Arial" w:eastAsia="Arial" w:hAnsi="Arial"/>
          <w:sz w:val="17"/>
          <w:szCs w:val="17"/>
          <w:color w:val="auto"/>
        </w:rPr>
      </w:pPr>
    </w:p>
    <w:p>
      <w:pPr>
        <w:ind w:left="2620" w:hanging="667"/>
        <w:spacing w:after="0"/>
        <w:tabs>
          <w:tab w:leader="none" w:pos="262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preparation of an up-to-date audited balance sheet of such Swiss Obligor;</w:t>
      </w:r>
    </w:p>
    <w:p>
      <w:pPr>
        <w:spacing w:after="0" w:line="225" w:lineRule="exact"/>
        <w:rPr>
          <w:sz w:val="20"/>
          <w:szCs w:val="20"/>
          <w:color w:val="auto"/>
        </w:rPr>
      </w:pPr>
    </w:p>
    <w:p>
      <w:pPr>
        <w:ind w:left="2640" w:hanging="687"/>
        <w:spacing w:after="0"/>
        <w:tabs>
          <w:tab w:leader="none" w:pos="264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confirmation of the auditors of such Swiss Obligor that the relevant amount represents the maximum freely distributable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profits;</w:t>
      </w:r>
    </w:p>
    <w:p>
      <w:pPr>
        <w:spacing w:after="0" w:line="211" w:lineRule="exact"/>
        <w:rPr>
          <w:sz w:val="20"/>
          <w:szCs w:val="20"/>
          <w:color w:val="auto"/>
        </w:rPr>
      </w:pPr>
    </w:p>
    <w:p>
      <w:pPr>
        <w:ind w:left="2640" w:hanging="687"/>
        <w:spacing w:after="0"/>
        <w:tabs>
          <w:tab w:leader="none" w:pos="264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approval by a quotaholders’ meeting of the relevant Swiss Obligor of the resulting profit distribution; and</w:t>
      </w:r>
    </w:p>
    <w:p>
      <w:pPr>
        <w:spacing w:after="0" w:line="225" w:lineRule="exact"/>
        <w:rPr>
          <w:rFonts w:ascii="Arial" w:cs="Arial" w:eastAsia="Arial" w:hAnsi="Arial"/>
          <w:sz w:val="18"/>
          <w:szCs w:val="18"/>
          <w:color w:val="auto"/>
        </w:rPr>
      </w:pPr>
    </w:p>
    <w:p>
      <w:pPr>
        <w:ind w:left="660" w:right="300" w:firstLine="1293"/>
        <w:spacing w:after="0" w:line="264" w:lineRule="auto"/>
        <w:tabs>
          <w:tab w:leader="none" w:pos="2622"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to the extent permitted by applicable law, write up any of the assets of the relevant Swiss Obligor that are shown in its balance sheet with a book value that is significantly lower than the market value of the assets and provided that such write up would not have materially adverse tax consequences for such Swiss Obligor or any of its Affiliates.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PRECEDENT</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Conditions Precedent to the Effective Date</w:t>
      </w:r>
      <w:r>
        <w:rPr>
          <w:rFonts w:ascii="Arial" w:cs="Arial" w:eastAsia="Arial" w:hAnsi="Arial"/>
          <w:sz w:val="18"/>
          <w:szCs w:val="18"/>
          <w:color w:val="auto"/>
        </w:rPr>
        <w:t>. The obligation of each Lender to make any Loan on or after Effective Date is subject to satisfaction of the following conditions:</w:t>
      </w:r>
    </w:p>
    <w:p>
      <w:pPr>
        <w:spacing w:after="0" w:line="170" w:lineRule="exact"/>
        <w:rPr>
          <w:sz w:val="20"/>
          <w:szCs w:val="20"/>
          <w:color w:val="auto"/>
        </w:rPr>
      </w:pPr>
    </w:p>
    <w:p>
      <w:pPr>
        <w:ind w:left="1940" w:hanging="635"/>
        <w:spacing w:after="0"/>
        <w:tabs>
          <w:tab w:leader="none" w:pos="19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Administrative Agent shall have received the following, all in form and substance reasonably satisfactory to the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Administrative Agent:</w:t>
      </w:r>
    </w:p>
    <w:p>
      <w:pPr>
        <w:spacing w:after="0" w:line="210" w:lineRule="exact"/>
        <w:rPr>
          <w:rFonts w:ascii="Arial" w:cs="Arial" w:eastAsia="Arial" w:hAnsi="Arial"/>
          <w:sz w:val="18"/>
          <w:szCs w:val="18"/>
          <w:color w:val="auto"/>
        </w:rPr>
      </w:pPr>
    </w:p>
    <w:p>
      <w:pPr>
        <w:ind w:left="2620" w:hanging="667"/>
        <w:spacing w:after="0"/>
        <w:tabs>
          <w:tab w:leader="none" w:pos="262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this Agreement executed by each Person listed on the signature pages hereto;</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the Affiliate Guaranty executed by each Guarantor existing as of Effective Date;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40" w:hanging="687"/>
        <w:spacing w:after="0"/>
        <w:tabs>
          <w:tab w:leader="none" w:pos="264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the Intercreditor Agreement executed by the Collateral Agent, the Term Loan Agent and each Initial Secured Obligor;</w:t>
      </w:r>
    </w:p>
    <w:p>
      <w:pPr>
        <w:spacing w:after="0" w:line="248" w:lineRule="exact"/>
        <w:rPr>
          <w:rFonts w:ascii="Arial" w:cs="Arial" w:eastAsia="Arial" w:hAnsi="Arial"/>
          <w:sz w:val="16"/>
          <w:szCs w:val="16"/>
          <w:color w:val="auto"/>
        </w:rPr>
      </w:pPr>
    </w:p>
    <w:p>
      <w:pPr>
        <w:ind w:left="660" w:right="500" w:firstLine="1293"/>
        <w:spacing w:after="0" w:line="277" w:lineRule="auto"/>
        <w:tabs>
          <w:tab w:leader="none" w:pos="2622" w:val="left"/>
        </w:tabs>
        <w:numPr>
          <w:ilvl w:val="0"/>
          <w:numId w:val="380"/>
        </w:numPr>
        <w:rPr>
          <w:rFonts w:ascii="Arial" w:cs="Arial" w:eastAsia="Arial" w:hAnsi="Arial"/>
          <w:sz w:val="18"/>
          <w:szCs w:val="18"/>
          <w:color w:val="auto"/>
        </w:rPr>
      </w:pPr>
      <w:r>
        <w:rPr>
          <w:rFonts w:ascii="Arial" w:cs="Arial" w:eastAsia="Arial" w:hAnsi="Arial"/>
          <w:sz w:val="18"/>
          <w:szCs w:val="18"/>
          <w:color w:val="auto"/>
        </w:rPr>
        <w:t>Revolving Credit Notes payable to each Lender requesting (at least one Business Day prior to the Effective Date) a Revolving Credit Note, duly completed and executed by the Borrowers and dated the Effective Date;</w:t>
      </w:r>
    </w:p>
    <w:p>
      <w:pPr>
        <w:sectPr>
          <w:pgSz w:w="11900" w:h="16838" w:orient="portrait"/>
          <w:cols w:equalWidth="0" w:num="1">
            <w:col w:w="11400"/>
          </w:cols>
          <w:pgMar w:left="240" w:top="125" w:right="259" w:bottom="0" w:gutter="0" w:footer="0" w:header="0"/>
        </w:sectPr>
      </w:pPr>
    </w:p>
    <w:bookmarkStart w:id="164" w:name="page165"/>
    <w:bookmarkEnd w:id="164"/>
    <w:p>
      <w:pPr>
        <w:spacing w:after="0" w:line="82" w:lineRule="exact"/>
        <w:rPr>
          <w:sz w:val="20"/>
          <w:szCs w:val="20"/>
          <w:color w:val="auto"/>
        </w:rPr>
      </w:pPr>
    </w:p>
    <w:p>
      <w:pPr>
        <w:ind w:left="1944" w:hanging="647"/>
        <w:spacing w:after="0"/>
        <w:tabs>
          <w:tab w:leader="none" w:pos="1944"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US Security Agreement executed by each Initial Secured Obligor;</w:t>
      </w:r>
    </w:p>
    <w:p>
      <w:pPr>
        <w:spacing w:after="0" w:line="225" w:lineRule="exact"/>
        <w:rPr>
          <w:rFonts w:ascii="Arial" w:cs="Arial" w:eastAsia="Arial" w:hAnsi="Arial"/>
          <w:sz w:val="18"/>
          <w:szCs w:val="18"/>
          <w:color w:val="auto"/>
        </w:rPr>
      </w:pPr>
    </w:p>
    <w:p>
      <w:pPr>
        <w:ind w:left="4" w:firstLine="1293"/>
        <w:spacing w:after="0" w:line="273" w:lineRule="auto"/>
        <w:tabs>
          <w:tab w:leader="none" w:pos="1965" w:val="left"/>
        </w:tabs>
        <w:numPr>
          <w:ilvl w:val="0"/>
          <w:numId w:val="381"/>
        </w:numPr>
        <w:rPr>
          <w:rFonts w:ascii="Arial" w:cs="Arial" w:eastAsia="Arial" w:hAnsi="Arial"/>
          <w:sz w:val="17"/>
          <w:szCs w:val="17"/>
          <w:color w:val="auto"/>
        </w:rPr>
      </w:pPr>
      <w:r>
        <w:rPr>
          <w:rFonts w:ascii="Arial" w:cs="Arial" w:eastAsia="Arial" w:hAnsi="Arial"/>
          <w:sz w:val="17"/>
          <w:szCs w:val="17"/>
          <w:color w:val="auto"/>
        </w:rPr>
        <w:t>(A) an accounting position paper from the chief accounting officer of WIL-Ireland in form and substance reasonably satisfactory to the Administrative Agent and the Collateral Agent to the effect that (1) the obligations of the Borrowers under the 364-Day Revolving Credit Facility constitute “current liabilities” and (2) the assets compromising the Collateral constitute “current assets”, in each case, as determined in accordance with GAAP and (B) a memorandum or other document from KPMG LLP in form and substance reasonably satisfactory to the Administrative Agent and the Collateral Agent pursuant to which KPMG LLP indicates its concurrence with the accounting classification of the chief accounting officer of WIL-Ireland expressed in the accounting position paper described in the foregoing clause (A);</w:t>
      </w:r>
    </w:p>
    <w:p>
      <w:pPr>
        <w:spacing w:after="0" w:line="178" w:lineRule="exact"/>
        <w:rPr>
          <w:rFonts w:ascii="Arial" w:cs="Arial" w:eastAsia="Arial" w:hAnsi="Arial"/>
          <w:sz w:val="17"/>
          <w:szCs w:val="17"/>
          <w:color w:val="auto"/>
        </w:rPr>
      </w:pPr>
    </w:p>
    <w:p>
      <w:pPr>
        <w:ind w:left="4" w:right="160" w:firstLine="1293"/>
        <w:spacing w:after="0" w:line="264" w:lineRule="auto"/>
        <w:tabs>
          <w:tab w:leader="none" w:pos="1975" w:val="left"/>
        </w:tabs>
        <w:numPr>
          <w:ilvl w:val="0"/>
          <w:numId w:val="381"/>
        </w:numPr>
        <w:rPr>
          <w:rFonts w:ascii="Arial" w:cs="Arial" w:eastAsia="Arial" w:hAnsi="Arial"/>
          <w:sz w:val="18"/>
          <w:szCs w:val="18"/>
          <w:color w:val="auto"/>
        </w:rPr>
      </w:pPr>
      <w:r>
        <w:rPr>
          <w:rFonts w:ascii="Arial" w:cs="Arial" w:eastAsia="Arial" w:hAnsi="Arial"/>
          <w:sz w:val="18"/>
          <w:szCs w:val="18"/>
          <w:color w:val="auto"/>
        </w:rPr>
        <w:t xml:space="preserve">appropriate Lien search results or certificates (including UCC lien searches) as of a recent date reflecting no prior Liens encumbering the assets of the Initial Secured Obligors other than those being released on or prior to the Effective Date or Liens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4" w:firstLine="1293"/>
        <w:spacing w:after="0" w:line="255" w:lineRule="auto"/>
        <w:tabs>
          <w:tab w:leader="none" w:pos="1984"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 certificate of a Responsible Officer of WIL-Ireland, dated the Effective Date and certifying (A) that the representations and warranties made by each Obligor in any Loan Document delivered at or prior to the Effective Date are true and correct in all material respects (except to the extent qualified by materiality or reference to Material Adverse Effect, in which case such applicable representation and warranty shall be true and correct in all respects) as of the Effective Date, except for those that by their express terms apply to an earlier date which shall be true and correct in all material respects as of such earlier date, and (B) as to the absence of the occurrence and continuance of any Default or Event of Default on the Effective Date immediately after giving effect to the making of any Revolving Credit Loans and the application of the proceeds thereof on the Effective Date;</w:t>
      </w:r>
    </w:p>
    <w:p>
      <w:pPr>
        <w:spacing w:after="0" w:line="189" w:lineRule="exact"/>
        <w:rPr>
          <w:rFonts w:ascii="Arial" w:cs="Arial" w:eastAsia="Arial" w:hAnsi="Arial"/>
          <w:sz w:val="18"/>
          <w:szCs w:val="18"/>
          <w:color w:val="auto"/>
        </w:rPr>
      </w:pPr>
    </w:p>
    <w:p>
      <w:pPr>
        <w:ind w:left="4" w:firstLine="1293"/>
        <w:spacing w:after="0" w:line="255" w:lineRule="auto"/>
        <w:tabs>
          <w:tab w:leader="none" w:pos="1965"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 certificate of the secretary or an assistant secretary or other Responsible Officer of each Obligor, dated the Effective Date and certifying (A) true and complete copies of the constitution or memorandum of association and bye-laws, the certificate of incorporation and bylaws or the other organizational documents, each as amended and in effect on the Effective Date, of such Obligor, (B) the resolutions adopted by the Board of Directors of such Obligor (1) authorizing the execution, delivery and performance by such Obligor of the Loan Documents to which it is or shall be a party and, in the case of a Borrower, the borrowing of Loans by such Borrower hereunder and (2) authorizing officers or other representatives of such Obligor to execute and deliver the</w:t>
      </w:r>
    </w:p>
    <w:p>
      <w:pPr>
        <w:spacing w:after="0" w:line="19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60"/>
        <w:spacing w:after="0" w:line="286" w:lineRule="auto"/>
        <w:rPr>
          <w:sz w:val="20"/>
          <w:szCs w:val="20"/>
          <w:color w:val="auto"/>
        </w:rPr>
      </w:pPr>
      <w:r>
        <w:rPr>
          <w:rFonts w:ascii="Arial" w:cs="Arial" w:eastAsia="Arial" w:hAnsi="Arial"/>
          <w:sz w:val="17"/>
          <w:szCs w:val="17"/>
          <w:color w:val="auto"/>
        </w:rPr>
        <w:t>Loan Documents to which it is or shall be a party and any related documents, including any agreement contemplated by this Agreement, (C) the absence of any proceedings for the dissolution, liquidation or winding up of such Obligor and (D) the incumbency and specimen signatures of the officers or other authorized representatives of such Obligor executing any documents on its behalf;</w:t>
      </w:r>
    </w:p>
    <w:p>
      <w:pPr>
        <w:spacing w:after="0" w:line="166" w:lineRule="exact"/>
        <w:rPr>
          <w:sz w:val="20"/>
          <w:szCs w:val="20"/>
          <w:color w:val="auto"/>
        </w:rPr>
      </w:pPr>
    </w:p>
    <w:p>
      <w:pPr>
        <w:ind w:left="4" w:right="100" w:firstLine="1293"/>
        <w:spacing w:after="0" w:line="291" w:lineRule="auto"/>
        <w:tabs>
          <w:tab w:leader="none" w:pos="1956" w:val="left"/>
        </w:tabs>
        <w:numPr>
          <w:ilvl w:val="1"/>
          <w:numId w:val="382"/>
        </w:numPr>
        <w:rPr>
          <w:rFonts w:ascii="Arial" w:cs="Arial" w:eastAsia="Arial" w:hAnsi="Arial"/>
          <w:sz w:val="16"/>
          <w:szCs w:val="16"/>
          <w:color w:val="auto"/>
        </w:rPr>
      </w:pPr>
      <w:r>
        <w:rPr>
          <w:rFonts w:ascii="Arial" w:cs="Arial" w:eastAsia="Arial" w:hAnsi="Arial"/>
          <w:sz w:val="16"/>
          <w:szCs w:val="16"/>
          <w:color w:val="auto"/>
        </w:rPr>
        <w:t>favorable, signed opinions addressed to the Administrative Agent and the Lenders dated the Effective Date, each in form and substance reasonably satisfactory to the Administrative Agent, from (A) Latham &amp; Watkins LLP, special New York counsel to the Obligors,</w:t>
      </w:r>
    </w:p>
    <w:p>
      <w:pPr>
        <w:ind w:left="4" w:right="160" w:hanging="4"/>
        <w:spacing w:after="0" w:line="281" w:lineRule="auto"/>
        <w:tabs>
          <w:tab w:leader="none" w:pos="289" w:val="left"/>
        </w:tabs>
        <w:numPr>
          <w:ilvl w:val="0"/>
          <w:numId w:val="383"/>
        </w:numPr>
        <w:rPr>
          <w:rFonts w:ascii="Arial" w:cs="Arial" w:eastAsia="Arial" w:hAnsi="Arial"/>
          <w:sz w:val="16"/>
          <w:szCs w:val="16"/>
          <w:color w:val="auto"/>
        </w:rPr>
      </w:pPr>
      <w:r>
        <w:rPr>
          <w:rFonts w:ascii="Arial" w:cs="Arial" w:eastAsia="Arial" w:hAnsi="Arial"/>
          <w:sz w:val="16"/>
          <w:szCs w:val="16"/>
          <w:color w:val="auto"/>
        </w:rPr>
        <w:t>Conyers Dill &amp; Pearman Limited, special Bermuda counsel to WIL-Bermuda and certain of the other Obligors, (C) Baker McKenzie Geneva, special Swiss counsel to certain of the Obligors, (D) Matheson, special Irish counsel to WIL-Ireland, (E) Dentons, special Canadian counsel to certain of the Obligors, (F) Baker &amp; McKenzie LLP, special Luxembourg counsel to certain of the Obligors, (G) Conyers Dill &amp; Pearman Limited, special British Virgin Islands counsel to certain of the Obligors, (H) Sidley Austin LLP, special English counsel to the Administrative Agent,</w:t>
      </w:r>
    </w:p>
    <w:p>
      <w:pPr>
        <w:spacing w:after="0" w:line="2" w:lineRule="exact"/>
        <w:rPr>
          <w:rFonts w:ascii="Arial" w:cs="Arial" w:eastAsia="Arial" w:hAnsi="Arial"/>
          <w:sz w:val="16"/>
          <w:szCs w:val="16"/>
          <w:color w:val="auto"/>
        </w:rPr>
      </w:pPr>
    </w:p>
    <w:p>
      <w:pPr>
        <w:ind w:left="224" w:hanging="224"/>
        <w:spacing w:after="0"/>
        <w:tabs>
          <w:tab w:leader="none" w:pos="224" w:val="left"/>
        </w:tabs>
        <w:numPr>
          <w:ilvl w:val="0"/>
          <w:numId w:val="384"/>
        </w:numPr>
        <w:rPr>
          <w:rFonts w:ascii="Arial" w:cs="Arial" w:eastAsia="Arial" w:hAnsi="Arial"/>
          <w:sz w:val="17"/>
          <w:szCs w:val="17"/>
          <w:color w:val="auto"/>
        </w:rPr>
      </w:pPr>
      <w:r>
        <w:rPr>
          <w:rFonts w:ascii="Arial" w:cs="Arial" w:eastAsia="Arial" w:hAnsi="Arial"/>
          <w:sz w:val="17"/>
          <w:szCs w:val="17"/>
          <w:color w:val="auto"/>
        </w:rPr>
        <w:t>Jones Walker LLP, special Louisiana counsel to Weatherford U.S., L.P., (J) Allens, special Australian counsel to the Administrative Agent,</w:t>
      </w:r>
    </w:p>
    <w:p>
      <w:pPr>
        <w:spacing w:after="0" w:line="20" w:lineRule="exact"/>
        <w:rPr>
          <w:rFonts w:ascii="Arial" w:cs="Arial" w:eastAsia="Arial" w:hAnsi="Arial"/>
          <w:sz w:val="17"/>
          <w:szCs w:val="17"/>
          <w:color w:val="auto"/>
        </w:rPr>
      </w:pPr>
    </w:p>
    <w:p>
      <w:pPr>
        <w:jc w:val="both"/>
        <w:ind w:left="4" w:right="240" w:hanging="4"/>
        <w:spacing w:after="0" w:line="255" w:lineRule="auto"/>
        <w:tabs>
          <w:tab w:leader="none" w:pos="299" w:val="left"/>
        </w:tabs>
        <w:numPr>
          <w:ilvl w:val="0"/>
          <w:numId w:val="385"/>
        </w:numPr>
        <w:rPr>
          <w:rFonts w:ascii="Arial" w:cs="Arial" w:eastAsia="Arial" w:hAnsi="Arial"/>
          <w:sz w:val="18"/>
          <w:szCs w:val="18"/>
          <w:color w:val="auto"/>
        </w:rPr>
      </w:pPr>
      <w:r>
        <w:rPr>
          <w:rFonts w:ascii="Arial" w:cs="Arial" w:eastAsia="Arial" w:hAnsi="Arial"/>
          <w:sz w:val="18"/>
          <w:szCs w:val="18"/>
          <w:color w:val="auto"/>
        </w:rPr>
        <w:t>Selmer, special Norwegian counsel to the Administrative Agent, (L) Baker &amp; McKenzie Amsterdam N.V., special Dutch counsel to certain of the Obligors and (M) ARIFA, special Panama counsel to certain of the Obligors, in each case, given upon the express instruction of the applicable Obligor(s), as applicable;</w:t>
      </w:r>
    </w:p>
    <w:p>
      <w:pPr>
        <w:spacing w:after="0" w:line="190" w:lineRule="exact"/>
        <w:rPr>
          <w:rFonts w:ascii="Arial" w:cs="Arial" w:eastAsia="Arial" w:hAnsi="Arial"/>
          <w:sz w:val="18"/>
          <w:szCs w:val="18"/>
          <w:color w:val="auto"/>
        </w:rPr>
      </w:pPr>
    </w:p>
    <w:p>
      <w:pPr>
        <w:ind w:left="1964" w:hanging="667"/>
        <w:spacing w:after="0"/>
        <w:tabs>
          <w:tab w:leader="none" w:pos="1964" w:val="left"/>
        </w:tabs>
        <w:numPr>
          <w:ilvl w:val="1"/>
          <w:numId w:val="385"/>
        </w:numPr>
        <w:rPr>
          <w:rFonts w:ascii="Arial" w:cs="Arial" w:eastAsia="Arial" w:hAnsi="Arial"/>
          <w:sz w:val="18"/>
          <w:szCs w:val="18"/>
          <w:color w:val="auto"/>
        </w:rPr>
      </w:pPr>
      <w:r>
        <w:rPr>
          <w:rFonts w:ascii="Arial" w:cs="Arial" w:eastAsia="Arial" w:hAnsi="Arial"/>
          <w:sz w:val="18"/>
          <w:szCs w:val="18"/>
          <w:color w:val="auto"/>
        </w:rPr>
        <w:t>a certificate of a Principal Financial Officer of WIL-Ireland certifying that, after giving effect to the Transactions</w:t>
      </w:r>
    </w:p>
    <w:p>
      <w:pPr>
        <w:spacing w:after="0" w:line="23" w:lineRule="exact"/>
        <w:rPr>
          <w:sz w:val="20"/>
          <w:szCs w:val="20"/>
          <w:color w:val="auto"/>
        </w:rPr>
      </w:pPr>
    </w:p>
    <w:p>
      <w:pPr>
        <w:ind w:left="244" w:hanging="244"/>
        <w:spacing w:after="0"/>
        <w:tabs>
          <w:tab w:leader="none" w:pos="244" w:val="left"/>
        </w:tabs>
        <w:numPr>
          <w:ilvl w:val="0"/>
          <w:numId w:val="386"/>
        </w:numPr>
        <w:rPr>
          <w:rFonts w:ascii="Arial" w:cs="Arial" w:eastAsia="Arial" w:hAnsi="Arial"/>
          <w:sz w:val="16"/>
          <w:szCs w:val="16"/>
          <w:color w:val="auto"/>
        </w:rPr>
      </w:pPr>
      <w:r>
        <w:rPr>
          <w:rFonts w:ascii="Arial" w:cs="Arial" w:eastAsia="Arial" w:hAnsi="Arial"/>
          <w:sz w:val="16"/>
          <w:szCs w:val="16"/>
          <w:color w:val="auto"/>
        </w:rPr>
        <w:t>WIL-Ireland and its Subsidiaries, taken as a whole, will be Solvent, (2) WIL-Bermuda and its Subsidiaries, taken as a whole, will be Solvent and</w:t>
      </w:r>
    </w:p>
    <w:p>
      <w:pPr>
        <w:spacing w:after="0" w:line="32" w:lineRule="exact"/>
        <w:rPr>
          <w:rFonts w:ascii="Arial" w:cs="Arial" w:eastAsia="Arial" w:hAnsi="Arial"/>
          <w:sz w:val="16"/>
          <w:szCs w:val="16"/>
          <w:color w:val="auto"/>
        </w:rPr>
      </w:pPr>
    </w:p>
    <w:p>
      <w:pPr>
        <w:ind w:left="4" w:right="140" w:hanging="4"/>
        <w:spacing w:after="0" w:line="253" w:lineRule="auto"/>
        <w:tabs>
          <w:tab w:leader="none" w:pos="259" w:val="left"/>
        </w:tabs>
        <w:numPr>
          <w:ilvl w:val="0"/>
          <w:numId w:val="387"/>
        </w:numPr>
        <w:rPr>
          <w:rFonts w:ascii="Arial" w:cs="Arial" w:eastAsia="Arial" w:hAnsi="Arial"/>
          <w:sz w:val="18"/>
          <w:szCs w:val="18"/>
          <w:color w:val="auto"/>
        </w:rPr>
      </w:pPr>
      <w:r>
        <w:rPr>
          <w:rFonts w:ascii="Arial" w:cs="Arial" w:eastAsia="Arial" w:hAnsi="Arial"/>
          <w:sz w:val="18"/>
          <w:szCs w:val="18"/>
          <w:color w:val="auto"/>
        </w:rPr>
        <w:t>no Obligor or Material Subsidiary intends, as of such date, to (x) voluntarily commence a case or proceeding under any applicable federal, state or foreign bankruptcy, insolvency, reorganization or other similar law, (y) make a general assignment for the benefit of creditors, or (z) apply for or consent to the appointment of or taking possession by a custodian, receiver, liquidator, assignee, trustee, examiner, administrator, sequestrator or similar official of such Obligor or Material Subsidiary or a substantial part of its assets, in each case (with respect to clauses (x), (y) and (z)) within the next 10 Business Days;</w:t>
      </w:r>
    </w:p>
    <w:p>
      <w:pPr>
        <w:spacing w:after="0" w:line="191" w:lineRule="exact"/>
        <w:rPr>
          <w:rFonts w:ascii="Arial" w:cs="Arial" w:eastAsia="Arial" w:hAnsi="Arial"/>
          <w:sz w:val="18"/>
          <w:szCs w:val="18"/>
          <w:color w:val="auto"/>
        </w:rPr>
      </w:pPr>
    </w:p>
    <w:p>
      <w:pPr>
        <w:ind w:left="4" w:firstLine="1293"/>
        <w:spacing w:after="0" w:line="276" w:lineRule="auto"/>
        <w:tabs>
          <w:tab w:leader="none" w:pos="1975" w:val="left"/>
        </w:tabs>
        <w:numPr>
          <w:ilvl w:val="1"/>
          <w:numId w:val="387"/>
        </w:numPr>
        <w:rPr>
          <w:rFonts w:ascii="Arial" w:cs="Arial" w:eastAsia="Arial" w:hAnsi="Arial"/>
          <w:sz w:val="17"/>
          <w:szCs w:val="17"/>
          <w:color w:val="auto"/>
        </w:rPr>
      </w:pPr>
      <w:r>
        <w:rPr>
          <w:rFonts w:ascii="Arial" w:cs="Arial" w:eastAsia="Arial" w:hAnsi="Arial"/>
          <w:sz w:val="17"/>
          <w:szCs w:val="17"/>
          <w:color w:val="auto"/>
        </w:rPr>
        <w:t xml:space="preserve">a certificate of a Principal Financial Officer of WIL-Ireland demonstrating, after giving effect to the Transactions, that WIL-Ireland is in compliance on a pro forma basis with the Financial Covenants as of the Effective Date (with the minimum permitted Current Asset Coverage Ratio being 1.00 to 1.00 for such purpose and using the book value of the Priority Perfected Collateral as of the last day of the Fiscal Quarter most recently ended prior to the Effective Date for which financial statements have been delivered (or are required to have been delivered) under the Existing RCF Credit Agreement, and otherwise adjusted as set forth in </w:t>
      </w:r>
      <w:r>
        <w:rPr>
          <w:rFonts w:ascii="Arial" w:cs="Arial" w:eastAsia="Arial" w:hAnsi="Arial"/>
          <w:sz w:val="17"/>
          <w:szCs w:val="17"/>
          <w:u w:val="single" w:color="auto"/>
          <w:color w:val="auto"/>
        </w:rPr>
        <w:t>Section 1.04</w:t>
      </w:r>
      <w:r>
        <w:rPr>
          <w:rFonts w:ascii="Arial" w:cs="Arial" w:eastAsia="Arial" w:hAnsi="Arial"/>
          <w:sz w:val="17"/>
          <w:szCs w:val="17"/>
          <w:color w:val="auto"/>
        </w:rPr>
        <w:t>); and</w:t>
      </w:r>
    </w:p>
    <w:p>
      <w:pPr>
        <w:spacing w:after="0" w:line="172" w:lineRule="exact"/>
        <w:rPr>
          <w:rFonts w:ascii="Arial" w:cs="Arial" w:eastAsia="Arial" w:hAnsi="Arial"/>
          <w:sz w:val="17"/>
          <w:szCs w:val="17"/>
          <w:color w:val="auto"/>
        </w:rPr>
      </w:pPr>
    </w:p>
    <w:p>
      <w:pPr>
        <w:ind w:left="4" w:right="700" w:firstLine="1293"/>
        <w:spacing w:after="0" w:line="308" w:lineRule="auto"/>
        <w:tabs>
          <w:tab w:leader="none" w:pos="1984" w:val="left"/>
        </w:tabs>
        <w:numPr>
          <w:ilvl w:val="1"/>
          <w:numId w:val="387"/>
        </w:numPr>
        <w:rPr>
          <w:rFonts w:ascii="Arial" w:cs="Arial" w:eastAsia="Arial" w:hAnsi="Arial"/>
          <w:sz w:val="17"/>
          <w:szCs w:val="17"/>
          <w:color w:val="auto"/>
        </w:rPr>
      </w:pPr>
      <w:r>
        <w:rPr>
          <w:rFonts w:ascii="Arial" w:cs="Arial" w:eastAsia="Arial" w:hAnsi="Arial"/>
          <w:sz w:val="17"/>
          <w:szCs w:val="17"/>
          <w:color w:val="auto"/>
        </w:rPr>
        <w:t>to the extent available in the applicable jurisdiction(s), (A) copies of the memorandum of association, articles or certificates of incorporation or other similar organizational documents of each Obligor (other than WIL-Bermuda and any</w:t>
      </w:r>
    </w:p>
    <w:p>
      <w:pPr>
        <w:spacing w:after="0" w:line="14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
        <w:spacing w:after="0" w:line="271" w:lineRule="auto"/>
        <w:rPr>
          <w:sz w:val="20"/>
          <w:szCs w:val="20"/>
          <w:color w:val="auto"/>
        </w:rPr>
      </w:pPr>
      <w:r>
        <w:rPr>
          <w:rFonts w:ascii="Arial" w:cs="Arial" w:eastAsia="Arial" w:hAnsi="Arial"/>
          <w:sz w:val="17"/>
          <w:szCs w:val="17"/>
          <w:color w:val="auto"/>
        </w:rPr>
        <w:t>other Obligor incorporated in Bermuda) certified as of a recent date prior to the Effective Date by the appropriate Governmental Authority (or by a Responsible Officer with respect to Obligors organized under the laws of the British Virgin Islands), (B) certificates of appropriate public officials or bodies as to the existence, good standing and qualification to do business as a foreign entity, of each Obligor in each jurisdiction in which the ownership of its properties or the conduct of its business requires such qualification and where the failure to so qualify would, individually or collectively, have a Material Adverse Effect and (C) to the extent not covered by clauses (A) and (B) immediately above, and only with respect any Obligor organized outside of the United States of America, Bermuda, the British Virgin Islands, Ireland or Switzerland, documents, excerpts or certificates issued by appropriate public officials or bodies with respect to such Obligor that are customarily delivered by entities organized in the same jurisdiction as such Obligor in connection with transactions similar to the Transactions.</w:t>
      </w:r>
    </w:p>
    <w:p>
      <w:pPr>
        <w:sectPr>
          <w:pgSz w:w="11900" w:h="16920" w:orient="portrait"/>
          <w:cols w:equalWidth="0" w:num="1">
            <w:col w:w="10744"/>
          </w:cols>
          <w:pgMar w:left="896" w:top="125" w:right="259" w:bottom="0" w:gutter="0" w:footer="0" w:header="0"/>
        </w:sectPr>
      </w:pPr>
    </w:p>
    <w:bookmarkStart w:id="165" w:name="page166"/>
    <w:bookmarkEnd w:id="165"/>
    <w:p>
      <w:pPr>
        <w:spacing w:after="0" w:line="137" w:lineRule="exact"/>
        <w:rPr>
          <w:sz w:val="20"/>
          <w:szCs w:val="20"/>
          <w:color w:val="auto"/>
        </w:rPr>
      </w:pPr>
    </w:p>
    <w:p>
      <w:pPr>
        <w:ind w:right="280" w:firstLine="1305"/>
        <w:spacing w:after="0" w:line="276" w:lineRule="auto"/>
        <w:tabs>
          <w:tab w:leader="none" w:pos="1952" w:val="left"/>
        </w:tabs>
        <w:numPr>
          <w:ilvl w:val="0"/>
          <w:numId w:val="38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7.11</w:t>
      </w:r>
      <w:r>
        <w:rPr>
          <w:rFonts w:ascii="Arial" w:cs="Arial" w:eastAsia="Arial" w:hAnsi="Arial"/>
          <w:sz w:val="17"/>
          <w:szCs w:val="17"/>
          <w:color w:val="auto"/>
        </w:rPr>
        <w:t>, the Collateral Agent shall have received each document, form or notice (including any UCC financing statement) required by the Collateral Documents delivered on the Effective Date by each Initial Secured Obligor, or reasonably requested by the Collateral Agent to be filed, delivered, registered or recorded in order to perfect (or any analogous concept to the extent perfection does not apply in the relevant jurisdiction), subject to the Intercreditor Agreement, the Liens of the Collateral Agent, on behalf of the Secured Parties, in the Collateral of such Initial Secured Obligors, which shall be in proper form for filing, registration or recordation;</w:t>
      </w:r>
    </w:p>
    <w:p>
      <w:pPr>
        <w:spacing w:after="0" w:line="172" w:lineRule="exact"/>
        <w:rPr>
          <w:rFonts w:ascii="Arial" w:cs="Arial" w:eastAsia="Arial" w:hAnsi="Arial"/>
          <w:sz w:val="17"/>
          <w:szCs w:val="17"/>
          <w:color w:val="auto"/>
        </w:rPr>
      </w:pPr>
    </w:p>
    <w:p>
      <w:pPr>
        <w:ind w:right="600" w:firstLine="1305"/>
        <w:spacing w:after="0" w:line="277" w:lineRule="auto"/>
        <w:tabs>
          <w:tab w:leader="none" w:pos="1955"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Administrative Agent and the Collateral Agent shall have received (i) certificates of insurance evidencing the property casualty insurance policies of the Obligors and (ii) certificates of insurance evidencing the liability insurance of the Obligors.</w:t>
      </w:r>
    </w:p>
    <w:p>
      <w:pPr>
        <w:spacing w:after="0" w:line="170" w:lineRule="exact"/>
        <w:rPr>
          <w:rFonts w:ascii="Arial" w:cs="Arial" w:eastAsia="Arial" w:hAnsi="Arial"/>
          <w:sz w:val="18"/>
          <w:szCs w:val="18"/>
          <w:color w:val="auto"/>
        </w:rPr>
      </w:pPr>
    </w:p>
    <w:p>
      <w:pPr>
        <w:ind w:right="40" w:firstLine="1305"/>
        <w:spacing w:after="0" w:line="259" w:lineRule="auto"/>
        <w:tabs>
          <w:tab w:leader="none" w:pos="1952"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Administrative Agent shall have received evidence reasonably satisfactory to it that all material consents of each Governmental Authority and of each other Person, if any, required to be received by the Obligors in connection with (i) the Loans, (ii) the granting of liens on the Collateral to secure the Secured Obligations and (iii) the execution, delivery and performance of this Agreement and the other Loan Documents to which any Obligor is a party have been satisfactorily obtained.</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Lenders shall have received (i) audited consolidated financial statements of WIL-Ireland for the Fiscal Year ended</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December 31, 2017, including condensed consolidating financial information with respect to the Guarantors to the extent required to be presented in the periodic reports of WIL-Ireland filed with the SEC pursuant to the Exchange Act and (ii) unaudited interim consolidated financial statements of WIL-Ireland for each quarterly period ended subsequent to December 31, 2017 to the extent such financial statements are available, including condensed consolidating financial information with respect to the Guarantors to the extent required to be presented in the periodic reports of WIL-Ireland filed with the SEC pursuant to the Exchange Act.</w:t>
      </w:r>
    </w:p>
    <w:p>
      <w:pPr>
        <w:spacing w:after="0" w:line="191" w:lineRule="exact"/>
        <w:rPr>
          <w:sz w:val="20"/>
          <w:szCs w:val="20"/>
          <w:color w:val="auto"/>
        </w:rPr>
      </w:pPr>
    </w:p>
    <w:p>
      <w:pPr>
        <w:ind w:right="520" w:firstLine="1305"/>
        <w:spacing w:after="0" w:line="308" w:lineRule="auto"/>
        <w:tabs>
          <w:tab w:leader="none" w:pos="1949" w:val="left"/>
        </w:tabs>
        <w:numPr>
          <w:ilvl w:val="0"/>
          <w:numId w:val="389"/>
        </w:numPr>
        <w:rPr>
          <w:rFonts w:ascii="Arial" w:cs="Arial" w:eastAsia="Arial" w:hAnsi="Arial"/>
          <w:sz w:val="17"/>
          <w:szCs w:val="17"/>
          <w:color w:val="auto"/>
        </w:rPr>
      </w:pPr>
      <w:r>
        <w:rPr>
          <w:rFonts w:ascii="Arial" w:cs="Arial" w:eastAsia="Arial" w:hAnsi="Arial"/>
          <w:sz w:val="17"/>
          <w:szCs w:val="17"/>
          <w:color w:val="auto"/>
        </w:rPr>
        <w:t>The Borrowers shall have paid (i) to the Administrative Agent, the Collateral Agent, the Lead Arrangers and the Lenders, as applicable, all fees and other amounts agreed upon by such parties to be paid on or prior to the Effective Date, and (ii) to the extent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invoiced at or before 1:00 p.m., New York City time, on the Business Day immediately prior to the Effective Date, all out-of-pocket expenses required to be reimbursed or paid by the Borrowers pursuant to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or any other Loan Document.</w:t>
      </w:r>
    </w:p>
    <w:p>
      <w:pPr>
        <w:spacing w:after="0" w:line="170" w:lineRule="exact"/>
        <w:rPr>
          <w:sz w:val="20"/>
          <w:szCs w:val="20"/>
          <w:color w:val="auto"/>
        </w:rPr>
      </w:pPr>
    </w:p>
    <w:p>
      <w:pPr>
        <w:ind w:right="20" w:firstLine="1305"/>
        <w:spacing w:after="0" w:line="286" w:lineRule="auto"/>
        <w:tabs>
          <w:tab w:leader="none" w:pos="1965" w:val="left"/>
        </w:tabs>
        <w:numPr>
          <w:ilvl w:val="1"/>
          <w:numId w:val="390"/>
        </w:numPr>
        <w:rPr>
          <w:rFonts w:ascii="Arial" w:cs="Arial" w:eastAsia="Arial" w:hAnsi="Arial"/>
          <w:sz w:val="17"/>
          <w:szCs w:val="17"/>
          <w:color w:val="auto"/>
        </w:rPr>
      </w:pPr>
      <w:r>
        <w:rPr>
          <w:rFonts w:ascii="Arial" w:cs="Arial" w:eastAsia="Arial" w:hAnsi="Arial"/>
          <w:sz w:val="17"/>
          <w:szCs w:val="17"/>
          <w:color w:val="auto"/>
        </w:rPr>
        <w:t>Substantially simultaneously with the effectiveness hereof, WIL-Bermuda shall have applied proceeds of the Loans requested on the Effective Date to make a prepayment of the revolving loans outstanding under the Existing RCF Credit Agreement in an aggregate principal amount equal to the lesser of such requested amount and the amount of loans outstanding under the Existing RCF Credit Agreement.</w:t>
      </w:r>
    </w:p>
    <w:p>
      <w:pPr>
        <w:spacing w:after="0" w:line="165" w:lineRule="exact"/>
        <w:rPr>
          <w:rFonts w:ascii="Arial" w:cs="Arial" w:eastAsia="Arial" w:hAnsi="Arial"/>
          <w:sz w:val="17"/>
          <w:szCs w:val="17"/>
          <w:color w:val="auto"/>
        </w:rPr>
      </w:pPr>
    </w:p>
    <w:p>
      <w:pPr>
        <w:ind w:right="140" w:firstLine="1305"/>
        <w:spacing w:after="0" w:line="291" w:lineRule="auto"/>
        <w:tabs>
          <w:tab w:leader="none" w:pos="1952" w:val="left"/>
        </w:tabs>
        <w:numPr>
          <w:ilvl w:val="1"/>
          <w:numId w:val="390"/>
        </w:numPr>
        <w:rPr>
          <w:rFonts w:ascii="Arial" w:cs="Arial" w:eastAsia="Arial" w:hAnsi="Arial"/>
          <w:sz w:val="16"/>
          <w:szCs w:val="16"/>
          <w:color w:val="auto"/>
        </w:rPr>
      </w:pPr>
      <w:r>
        <w:rPr>
          <w:rFonts w:ascii="Arial" w:cs="Arial" w:eastAsia="Arial" w:hAnsi="Arial"/>
          <w:sz w:val="16"/>
          <w:szCs w:val="16"/>
          <w:color w:val="auto"/>
        </w:rPr>
        <w:t>The Administrative Agent shall have received evidence reasonably satisfactory to it that, substantially contemporaneously herewith, (i) RCF Amendment No. 3 shall be closed and effective, (ii) the Specified Prepayment (as defined in RCF Amendment No. 3) shall have occurred,</w:t>
      </w:r>
    </w:p>
    <w:p>
      <w:pPr>
        <w:ind w:right="320" w:firstLine="8"/>
        <w:spacing w:after="0" w:line="255" w:lineRule="auto"/>
        <w:tabs>
          <w:tab w:leader="none" w:pos="315"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Commitment Reduction (as defined in RCF Amendment No. 3) shall have occurred and (iv) the sum of (A) the aggregate amount of the Extended Commitments (as defined in the RCF Credit Agreement) of the Extending Lenders (as defined in the RCF Credit Agreement) plus (B) the Aggregate Commitments hereunder, shall be at least $540,000,000.</w:t>
      </w:r>
    </w:p>
    <w:p>
      <w:pPr>
        <w:spacing w:after="0" w:line="190" w:lineRule="exact"/>
        <w:rPr>
          <w:rFonts w:ascii="Arial" w:cs="Arial" w:eastAsia="Arial" w:hAnsi="Arial"/>
          <w:sz w:val="18"/>
          <w:szCs w:val="18"/>
          <w:color w:val="auto"/>
        </w:rPr>
      </w:pPr>
    </w:p>
    <w:p>
      <w:pPr>
        <w:ind w:left="1980" w:hanging="675"/>
        <w:spacing w:after="0"/>
        <w:tabs>
          <w:tab w:leader="none" w:pos="1980" w:val="left"/>
        </w:tabs>
        <w:numPr>
          <w:ilvl w:val="1"/>
          <w:numId w:val="391"/>
        </w:numPr>
        <w:rPr>
          <w:rFonts w:ascii="Arial" w:cs="Arial" w:eastAsia="Arial" w:hAnsi="Arial"/>
          <w:sz w:val="16"/>
          <w:szCs w:val="16"/>
          <w:color w:val="auto"/>
        </w:rPr>
      </w:pPr>
      <w:r>
        <w:rPr>
          <w:rFonts w:ascii="Arial" w:cs="Arial" w:eastAsia="Arial" w:hAnsi="Arial"/>
          <w:sz w:val="16"/>
          <w:szCs w:val="16"/>
          <w:color w:val="auto"/>
        </w:rPr>
        <w:t>The Administrative Agent shall have received evidence reasonably satisfactory to it that Term Loan Amendment No. 3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closed and effective.</w:t>
      </w:r>
    </w:p>
    <w:p>
      <w:pPr>
        <w:spacing w:after="0" w:line="210" w:lineRule="exact"/>
        <w:rPr>
          <w:rFonts w:ascii="Arial" w:cs="Arial" w:eastAsia="Arial" w:hAnsi="Arial"/>
          <w:sz w:val="16"/>
          <w:szCs w:val="16"/>
          <w:color w:val="auto"/>
        </w:rPr>
      </w:pPr>
    </w:p>
    <w:p>
      <w:pPr>
        <w:jc w:val="both"/>
        <w:ind w:right="260" w:firstLine="1305"/>
        <w:spacing w:after="0" w:line="264" w:lineRule="auto"/>
        <w:tabs>
          <w:tab w:leader="none" w:pos="1953" w:val="left"/>
        </w:tabs>
        <w:numPr>
          <w:ilvl w:val="1"/>
          <w:numId w:val="391"/>
        </w:numPr>
        <w:rPr>
          <w:rFonts w:ascii="Arial" w:cs="Arial" w:eastAsia="Arial" w:hAnsi="Arial"/>
          <w:sz w:val="18"/>
          <w:szCs w:val="18"/>
          <w:color w:val="auto"/>
        </w:rPr>
      </w:pPr>
      <w:r>
        <w:rPr>
          <w:rFonts w:ascii="Arial" w:cs="Arial" w:eastAsia="Arial" w:hAnsi="Arial"/>
          <w:sz w:val="18"/>
          <w:szCs w:val="18"/>
          <w:color w:val="auto"/>
        </w:rPr>
        <w:t>Each Obligor shall have provided to the Administrative Agent and the Lenders if requested at least three Business Days prior to the Effective Date, the documentation and other information requested by the Administrative Agent or any Lender in order to comply with requirements of the PATRIOT Act and applicable “know your customer” and anti-money laundering rules and regulations.</w:t>
      </w:r>
    </w:p>
    <w:p>
      <w:pPr>
        <w:spacing w:after="0" w:line="181" w:lineRule="exact"/>
        <w:rPr>
          <w:sz w:val="20"/>
          <w:szCs w:val="20"/>
          <w:color w:val="auto"/>
        </w:rPr>
      </w:pPr>
    </w:p>
    <w:p>
      <w:pPr>
        <w:ind w:right="200" w:firstLine="1297"/>
        <w:spacing w:after="0" w:line="312" w:lineRule="auto"/>
        <w:rPr>
          <w:sz w:val="20"/>
          <w:szCs w:val="20"/>
          <w:color w:val="auto"/>
        </w:rPr>
      </w:pPr>
      <w:r>
        <w:rPr>
          <w:rFonts w:ascii="Arial" w:cs="Arial" w:eastAsia="Arial" w:hAnsi="Arial"/>
          <w:sz w:val="16"/>
          <w:szCs w:val="16"/>
          <w:color w:val="auto"/>
        </w:rPr>
        <w:t>Each Lender, by delivering its signature page to this Agreement, shall be deemed to have consented to, approved or accepted or to be satisfied with, each Loan Document and each other document required thereunder to be consented to, approved by or acceptable or satisfactory to a Lender, unless the Administrative Agent shall have received notice from such Lender prior to the proposed Effective Date specifying its objection thereto.</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Conditions Precedent to Each Borrowing</w:t>
      </w:r>
      <w:r>
        <w:rPr>
          <w:rFonts w:ascii="Arial" w:cs="Arial" w:eastAsia="Arial" w:hAnsi="Arial"/>
          <w:sz w:val="18"/>
          <w:szCs w:val="18"/>
          <w:color w:val="auto"/>
        </w:rPr>
        <w:t>. The obligation of the Lenders to make any Loan on the occasion of any Borrowing on or after the Effective Date is subject to the further conditions precedent that, on the date such Loan is made:</w:t>
      </w:r>
    </w:p>
    <w:p>
      <w:pPr>
        <w:spacing w:after="0" w:line="170" w:lineRule="exact"/>
        <w:rPr>
          <w:sz w:val="20"/>
          <w:szCs w:val="20"/>
          <w:color w:val="auto"/>
        </w:rPr>
      </w:pPr>
    </w:p>
    <w:p>
      <w:pPr>
        <w:ind w:right="120" w:firstLine="1305"/>
        <w:spacing w:after="0" w:line="297" w:lineRule="auto"/>
        <w:tabs>
          <w:tab w:leader="none" w:pos="1942"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The representations and warranties of each Obligor set forth in this Agreement and in the other Loan Documents shall be true and correct in all material respects (except to the extent qualified by materiality or reference to Material Adverse Effect, in which case such applicable representation and warranty shall be true and correct in all respects) on and as of the date of such Borrowing, except to the extent any such representations and warranties are expressly limited to an earlier date, in which case, on and as of the date of such Borrowing, such representations and warranties shall continue to be true and correct in all material respects (except to the extent qualified by materiality or reference to Material Adverse Effect, in which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case such applicable representation and warranty shall be true and correct in all respects) as of such specified earlier date.</w:t>
      </w:r>
    </w:p>
    <w:p>
      <w:pPr>
        <w:spacing w:after="0" w:line="225" w:lineRule="exact"/>
        <w:rPr>
          <w:sz w:val="20"/>
          <w:szCs w:val="20"/>
          <w:color w:val="auto"/>
        </w:rPr>
      </w:pPr>
    </w:p>
    <w:p>
      <w:pPr>
        <w:jc w:val="both"/>
        <w:ind w:right="40" w:firstLine="1305"/>
        <w:spacing w:after="0" w:line="286" w:lineRule="auto"/>
        <w:tabs>
          <w:tab w:leader="none" w:pos="1952" w:val="left"/>
        </w:tabs>
        <w:numPr>
          <w:ilvl w:val="0"/>
          <w:numId w:val="393"/>
        </w:numPr>
        <w:rPr>
          <w:rFonts w:ascii="Arial" w:cs="Arial" w:eastAsia="Arial" w:hAnsi="Arial"/>
          <w:sz w:val="17"/>
          <w:szCs w:val="17"/>
          <w:color w:val="auto"/>
        </w:rPr>
      </w:pPr>
      <w:r>
        <w:rPr>
          <w:rFonts w:ascii="Arial" w:cs="Arial" w:eastAsia="Arial" w:hAnsi="Arial"/>
          <w:sz w:val="17"/>
          <w:szCs w:val="17"/>
          <w:color w:val="auto"/>
        </w:rPr>
        <w:t xml:space="preserve">The Administrative Agent and, if applicable, the applicable Swingline Lender, shall have received (i) in the case of a Borrowing of Revolving Credit Loans, a Borrowing Request by the time and on the Business Day specified in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and (ii) in the case of a Swingline Borrowing, a Swingline Borrowing Request as required by </w:t>
      </w:r>
      <w:r>
        <w:rPr>
          <w:rFonts w:ascii="Arial" w:cs="Arial" w:eastAsia="Arial" w:hAnsi="Arial"/>
          <w:sz w:val="17"/>
          <w:szCs w:val="17"/>
          <w:u w:val="single" w:color="auto"/>
          <w:color w:val="auto"/>
        </w:rPr>
        <w:t>Section 2.03(b)</w:t>
      </w:r>
      <w:r>
        <w:rPr>
          <w:rFonts w:ascii="Arial" w:cs="Arial" w:eastAsia="Arial" w:hAnsi="Arial"/>
          <w:sz w:val="17"/>
          <w:szCs w:val="17"/>
          <w:color w:val="auto"/>
        </w:rPr>
        <w:t xml:space="preserve"> by the time and on the Business Day specified in </w:t>
      </w:r>
      <w:r>
        <w:rPr>
          <w:rFonts w:ascii="Arial" w:cs="Arial" w:eastAsia="Arial" w:hAnsi="Arial"/>
          <w:sz w:val="17"/>
          <w:szCs w:val="17"/>
          <w:u w:val="single" w:color="auto"/>
          <w:color w:val="auto"/>
        </w:rPr>
        <w:t>Section 2.03(b)</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result from the making of such Loan.</w:t>
      </w:r>
    </w:p>
    <w:p>
      <w:pPr>
        <w:spacing w:after="0" w:line="225" w:lineRule="exact"/>
        <w:rPr>
          <w:rFonts w:ascii="Arial" w:cs="Arial" w:eastAsia="Arial" w:hAnsi="Arial"/>
          <w:sz w:val="18"/>
          <w:szCs w:val="18"/>
          <w:color w:val="auto"/>
        </w:rPr>
      </w:pPr>
    </w:p>
    <w:p>
      <w:pPr>
        <w:ind w:firstLine="1305"/>
        <w:spacing w:after="0" w:line="342" w:lineRule="auto"/>
        <w:tabs>
          <w:tab w:leader="none" w:pos="1952" w:val="left"/>
        </w:tabs>
        <w:numPr>
          <w:ilvl w:val="0"/>
          <w:numId w:val="393"/>
        </w:numPr>
        <w:rPr>
          <w:rFonts w:ascii="Arial" w:cs="Arial" w:eastAsia="Arial" w:hAnsi="Arial"/>
          <w:sz w:val="16"/>
          <w:szCs w:val="16"/>
          <w:color w:val="auto"/>
        </w:rPr>
      </w:pPr>
      <w:r>
        <w:rPr>
          <w:rFonts w:ascii="Arial" w:cs="Arial" w:eastAsia="Arial" w:hAnsi="Arial"/>
          <w:sz w:val="16"/>
          <w:szCs w:val="16"/>
          <w:color w:val="auto"/>
        </w:rPr>
        <w:t>With respect to any Borrowing after the Effective Date, the Administrative Agent shall have received a certification of a Principal Financial Officer of WIL-Ireland (which may be contained in the applicable Borrowing Request or Swingline Borrowing Request) certifying that immediately</w:t>
      </w:r>
    </w:p>
    <w:p>
      <w:pPr>
        <w:sectPr>
          <w:pgSz w:w="11900" w:h="16975" w:orient="portrait"/>
          <w:cols w:equalWidth="0" w:num="1">
            <w:col w:w="11420"/>
          </w:cols>
          <w:pgMar w:left="240" w:top="341" w:right="239" w:bottom="0" w:gutter="0" w:footer="0" w:header="0"/>
        </w:sectPr>
      </w:pPr>
    </w:p>
    <w:bookmarkStart w:id="166" w:name="page167"/>
    <w:bookmarkEnd w:id="166"/>
    <w:p>
      <w:pPr>
        <w:ind w:right="240"/>
        <w:spacing w:after="0" w:line="255" w:lineRule="auto"/>
        <w:rPr>
          <w:sz w:val="20"/>
          <w:szCs w:val="20"/>
          <w:color w:val="auto"/>
        </w:rPr>
      </w:pPr>
      <w:r>
        <w:rPr>
          <w:rFonts w:ascii="Arial" w:cs="Arial" w:eastAsia="Arial" w:hAnsi="Arial"/>
          <w:sz w:val="18"/>
          <w:szCs w:val="18"/>
          <w:color w:val="auto"/>
        </w:rPr>
        <w:t>after giving pro forma effect to such Borrowing, (1) WIL-Ireland and its Subsidiaries, taken as a whole, will be Solvent, (2) WIL-Bermuda and its Subsidiaries, taken as a whole, will be Solvent and (3) no Obligor or Material Subsidiary intends, as of such date, to (x) voluntarily commence a case or proceeding under any applicable federal, state or foreign bankruptcy, insolvency, reorganization or other similar law, (y) make a general assignment for the benefit of creditors, or (z) apply for or consent to the appointment of or taking possession by a custodian, receiver, liquidator, assignee, trustee, examiner, administrator, sequestrator or similar official of such Obligor or Material Subsidiary or a substantial part of its assets, in each case of clauses (x), (y) and (z) within the next 10 Business Days.</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The acceptance of the benefits of each Borrowing shall constitute a representation and warranty by each of the Obligors to each of the Lenders that all of the conditions specified in </w:t>
      </w:r>
      <w:r>
        <w:rPr>
          <w:rFonts w:ascii="Arial" w:cs="Arial" w:eastAsia="Arial" w:hAnsi="Arial"/>
          <w:sz w:val="18"/>
          <w:szCs w:val="18"/>
          <w:u w:val="single" w:color="auto"/>
          <w:color w:val="auto"/>
        </w:rPr>
        <w:t>Section 5.02(a)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5.02(c)</w:t>
      </w:r>
      <w:r>
        <w:rPr>
          <w:rFonts w:ascii="Arial" w:cs="Arial" w:eastAsia="Arial" w:hAnsi="Arial"/>
          <w:sz w:val="18"/>
          <w:szCs w:val="18"/>
          <w:color w:val="auto"/>
        </w:rPr>
        <w:t xml:space="preserve"> have been satisfied as of that time.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Obligor Party represents and warrants to the Lenders and the Administrative Agent as follows: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Each Obligor and each Restricted Subsidiary (a) is a company, corporation, partnership or entity having limited liability that is duly organized or formed, validly existing and in good standing under the laws of the jurisdiction of its incorporation or formation, (b) has the corporate, partnership or other power and authority to own its property and to carry on its business as now conducted and (c) is duly qualified as a foreign corporation or other foreign entity to do business and is in good standing in every jurisdiction in which the failure to be so qualified would, together with all such other failures of the Obligors and the Restricted Subsidiaries to be so qualified or in good standing, have a Material Adverse Effect.</w:t>
      </w:r>
    </w:p>
    <w:p>
      <w:pPr>
        <w:spacing w:after="0" w:line="19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Authorization, Validity, Etc.</w:t>
      </w:r>
      <w:r>
        <w:rPr>
          <w:rFonts w:ascii="Arial" w:cs="Arial" w:eastAsia="Arial" w:hAnsi="Arial"/>
          <w:sz w:val="18"/>
          <w:szCs w:val="18"/>
          <w:color w:val="auto"/>
        </w:rPr>
        <w:t xml:space="preserve"> Each Obligor has the corporate or other power and authority to execute, deliver and perform its obligations hereunder and under the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Loan Documents to which it is a party and (in the case of the Borrowers) to obtain the Loans and to consummate the Transactions, and all such action has been duly authorized by all necessary corporate, partnership or other proceedings on its part or on its behalf. Each Loan Document has been duly and validly executed and delivered by or on behalf of each Obligor and constitutes valid and legally binding agreements of such Obligor enforceable against such Obligor in accordance with the terms hereof, and the Loan Documents to which such Obligor is a party, when duly executed and delivered by or on behalf of such Obligor, shall constitute valid and legally binding obligations of such Obligor enforceable in accordance with the respective terms thereof and of this Agreement, except, in each case (a) as may be limited by bankruptcy, insolvency, examinership,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Governmental Consents, Etc.</w:t>
      </w:r>
      <w:r>
        <w:rPr>
          <w:rFonts w:ascii="Arial" w:cs="Arial" w:eastAsia="Arial" w:hAnsi="Arial"/>
          <w:sz w:val="18"/>
          <w:szCs w:val="18"/>
          <w:color w:val="auto"/>
        </w:rPr>
        <w:t xml:space="preserve"> No authorization, consent, approval, license or exemption of, or filing or registration with, any Governmental Authority is necessary to have been made or obtained by any Obligor for the valid execution, delivery and performance by any Obligor of any Loan Document to which it is a party or the consummation of the Transactions, except those that have been obtained and are in full force and effect, including filings, notifications and registrations necessary to perfect Liens created under the Loan Documents (or any analogous concept to the extent perfection does not apply in the relevant jurisdiction) and such matters relating to performance as would ordinarily be done in the ordinary course of business after the Effective Date.</w:t>
      </w:r>
    </w:p>
    <w:p>
      <w:pPr>
        <w:spacing w:after="0" w:line="19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No Breach or Violation of Law or Agreements</w:t>
      </w:r>
      <w:r>
        <w:rPr>
          <w:rFonts w:ascii="Arial" w:cs="Arial" w:eastAsia="Arial" w:hAnsi="Arial"/>
          <w:sz w:val="17"/>
          <w:szCs w:val="17"/>
          <w:color w:val="auto"/>
        </w:rPr>
        <w:t>. Neither the execution, delivery and performance by any Obligor of the Loan Documents to which it is a party, nor compliance with the terms and provisions thereof, nor the extensions of credit contemplated by the Loan Documents, nor the consummation of the Transactions (a) will breach or violate any applicable Requirement of Law, (b) will result in any breach or violation of, or constitute a default under, or result in the creation or imposition of (or the obligation to create or impose) any Lien prohibited hereunder upon any of its property or assets pursuant to the terms of, (i) the Existing Senior Notes or any Existing Senior Notes Indenture or (ii) any other indenture, agreement or other instrument to which it or any of its Restricted Subsidiaries is party or by which any property or asset of it or any of its Restricted Subsidiaries is bound or to which it is subject, except for breaches, violations and defaults under clauses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(b)(ii)</w:t>
      </w:r>
      <w:r>
        <w:rPr>
          <w:rFonts w:ascii="Arial" w:cs="Arial" w:eastAsia="Arial" w:hAnsi="Arial"/>
          <w:sz w:val="17"/>
          <w:szCs w:val="17"/>
          <w:color w:val="auto"/>
        </w:rPr>
        <w:t xml:space="preserve"> that collectively for the Obligors would not have a Material Adverse Effect, or (c) will violate any provision of the organizational documents or by-laws of any Obligor.</w:t>
      </w:r>
    </w:p>
    <w:p>
      <w:pPr>
        <w:spacing w:after="0" w:line="1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6.05</w:t>
      </w:r>
      <w:r>
        <w:rPr>
          <w:rFonts w:ascii="Arial" w:cs="Arial" w:eastAsia="Arial" w:hAnsi="Arial"/>
          <w:sz w:val="18"/>
          <w:szCs w:val="18"/>
          <w:color w:val="auto"/>
        </w:rPr>
        <w:t>, (a) there are no actions, suits or proceedings pending or, to the best knowledge of WIL-Ireland, threatened in writing against any Obligor or against any of their respective properties or assets that are reasonably likely to have (individually or collectively) a Material Adverse Effect and (b) to the best knowledge of WIL-Ireland, there are no actions, suits or proceedings pending or threatened that purport to affect or pertain to the Loan Documents or any transactions contemplated thereby.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u w:val="single" w:color="auto"/>
          <w:color w:val="auto"/>
        </w:rPr>
        <w:t>Information; No Material Adverse Change</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54" w:lineRule="auto"/>
        <w:tabs>
          <w:tab w:leader="none" w:pos="1942"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All written information heretofore furnished by the Obligors to the Administrative Agent or any Lender in connection with this Agreement or any of the other Loan Documents (including the information contained in the written materials prepared in connection with the arrangement of RCF Amendment No. 3 and the Transactions), when considered together with the disclosures made herein, in the other Loan Documents and in the filings made by any Obligor with the SEC pursuant to the Exchange Act, did not as of the date thereof (or if such information related to a specific date, as of such specific date), when read together and taken as a whole, contain any untrue statement of a material fact or omit to state a material fact necessary in order to make the statements contained therein not misleading in light of the circumstances under which such statements were made, except for such information, if any, that has been updated, corrected, supplemented, superseded or modified pursuant to a written instrument delivered to the Administrative Agent and the Lenders prior to the Effective Date.</w:t>
      </w:r>
    </w:p>
    <w:p>
      <w:pPr>
        <w:sectPr>
          <w:pgSz w:w="11900" w:h="16838" w:orient="portrait"/>
          <w:cols w:equalWidth="0" w:num="1">
            <w:col w:w="11400"/>
          </w:cols>
          <w:pgMar w:left="240" w:top="125" w:right="259" w:bottom="0" w:gutter="0" w:footer="0" w:header="0"/>
        </w:sectPr>
      </w:pPr>
    </w:p>
    <w:bookmarkStart w:id="167" w:name="page168"/>
    <w:bookmarkEnd w:id="167"/>
    <w:p>
      <w:pPr>
        <w:spacing w:after="0" w:line="80" w:lineRule="exact"/>
        <w:rPr>
          <w:sz w:val="20"/>
          <w:szCs w:val="20"/>
          <w:color w:val="auto"/>
        </w:rPr>
      </w:pPr>
    </w:p>
    <w:p>
      <w:pPr>
        <w:ind w:firstLine="1305"/>
        <w:spacing w:after="0" w:line="259" w:lineRule="auto"/>
        <w:tabs>
          <w:tab w:leader="none" w:pos="1952" w:val="left"/>
        </w:tabs>
        <w:numPr>
          <w:ilvl w:val="0"/>
          <w:numId w:val="395"/>
        </w:numPr>
        <w:rPr>
          <w:rFonts w:ascii="Arial" w:cs="Arial" w:eastAsia="Arial" w:hAnsi="Arial"/>
          <w:sz w:val="18"/>
          <w:szCs w:val="18"/>
          <w:color w:val="auto"/>
        </w:rPr>
      </w:pPr>
      <w:r>
        <w:rPr>
          <w:rFonts w:ascii="Arial" w:cs="Arial" w:eastAsia="Arial" w:hAnsi="Arial"/>
          <w:sz w:val="18"/>
          <w:szCs w:val="18"/>
          <w:color w:val="auto"/>
        </w:rPr>
        <w:t>WIL-Ireland has heretofore furnished to the Lenders its consolidated balance sheet and statements of income, stockholders equity and cash flows as of and for the Fiscal Year ended December 31, 2017 reported on by KPMG LLP, independent public accountants. Such financial statements present fairly, in all material respects, the financial position and results of operations and cash flows of WIL-Ireland and its consolidated Subsidiaries as of such dates and for such periods in accordance with GAAP.</w:t>
      </w:r>
    </w:p>
    <w:p>
      <w:pPr>
        <w:spacing w:after="0" w:line="186" w:lineRule="exact"/>
        <w:rPr>
          <w:rFonts w:ascii="Arial" w:cs="Arial" w:eastAsia="Arial" w:hAnsi="Arial"/>
          <w:sz w:val="18"/>
          <w:szCs w:val="18"/>
          <w:color w:val="auto"/>
        </w:rPr>
      </w:pPr>
    </w:p>
    <w:p>
      <w:pPr>
        <w:ind w:right="240" w:firstLine="1305"/>
        <w:spacing w:after="0" w:line="277" w:lineRule="auto"/>
        <w:tabs>
          <w:tab w:leader="none" w:pos="195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There has been no material adverse change since December 31, 2017 in the financial condition, business, assets or operations of WIL-Ireland and its Restricted Subsidiaries, taken as a whole.</w:t>
      </w:r>
    </w:p>
    <w:p>
      <w:pPr>
        <w:spacing w:after="0" w:line="170"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Investment Company Act; Margin Regulations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77" w:lineRule="auto"/>
        <w:tabs>
          <w:tab w:leader="none" w:pos="1942" w:val="left"/>
        </w:tabs>
        <w:numPr>
          <w:ilvl w:val="0"/>
          <w:numId w:val="396"/>
        </w:numPr>
        <w:rPr>
          <w:rFonts w:ascii="Arial" w:cs="Arial" w:eastAsia="Arial" w:hAnsi="Arial"/>
          <w:sz w:val="18"/>
          <w:szCs w:val="18"/>
          <w:color w:val="auto"/>
        </w:rPr>
      </w:pPr>
      <w:r>
        <w:rPr>
          <w:rFonts w:ascii="Arial" w:cs="Arial" w:eastAsia="Arial" w:hAnsi="Arial"/>
          <w:sz w:val="18"/>
          <w:szCs w:val="18"/>
          <w:color w:val="auto"/>
        </w:rPr>
        <w:t>Neither any Obligor nor any of its Restricted Subsidiaries is, or is regulated as, an “investment company,” as such term is defined in the Investment Company Act of 1940 (as adopted in the United States), as amended.</w:t>
      </w:r>
    </w:p>
    <w:p>
      <w:pPr>
        <w:spacing w:after="0" w:line="170" w:lineRule="exact"/>
        <w:rPr>
          <w:rFonts w:ascii="Arial" w:cs="Arial" w:eastAsia="Arial" w:hAnsi="Arial"/>
          <w:sz w:val="18"/>
          <w:szCs w:val="18"/>
          <w:color w:val="auto"/>
        </w:rPr>
      </w:pPr>
    </w:p>
    <w:p>
      <w:pPr>
        <w:ind w:firstLine="1305"/>
        <w:spacing w:after="0" w:line="271" w:lineRule="auto"/>
        <w:tabs>
          <w:tab w:leader="none" w:pos="1952" w:val="left"/>
        </w:tabs>
        <w:numPr>
          <w:ilvl w:val="0"/>
          <w:numId w:val="396"/>
        </w:numPr>
        <w:rPr>
          <w:rFonts w:ascii="Arial" w:cs="Arial" w:eastAsia="Arial" w:hAnsi="Arial"/>
          <w:sz w:val="17"/>
          <w:szCs w:val="17"/>
          <w:color w:val="auto"/>
        </w:rPr>
      </w:pPr>
      <w:r>
        <w:rPr>
          <w:rFonts w:ascii="Arial" w:cs="Arial" w:eastAsia="Arial" w:hAnsi="Arial"/>
          <w:sz w:val="17"/>
          <w:szCs w:val="17"/>
          <w:color w:val="auto"/>
        </w:rPr>
        <w:t>Neither any Obligor nor any of its Restricted Subsidiaries is engaged principally, or as one of its important activities, in the business of extending credit for the purpose of purchasing or carrying any “margin stock” as defined in Regulation U. No part of the proceeds of the Loans made to the Borrowers will be used to purchase or carry any such margin stock or to extend credit to others for the purpose of purchasing or carrying any such margin stock (except that WIL-Ireland and any of its Restricted Subsidiaries may purchase the common stock of WIL-Ireland, subject to compliance with applicable law and provided that following the application of the proceeds of each Borrowing, not more than 25% of the value of the assets (either of the applicable Borrower only or of WIL-Ireland and its Subsidiaries on a consolidated basis) subject to any restriction contained in any Loan Document is comprised of “margin stock” as defined in Regulation U, including such purchased common stock of WIL-Ireland) or for any purpose that violates, or is inconsistent with, the provisions of Regulation T, U or X.</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7"/>
          <w:szCs w:val="17"/>
          <w:u w:val="single" w:color="auto"/>
          <w:color w:val="auto"/>
        </w:rPr>
        <w:t>ERISA</w:t>
      </w:r>
      <w:r>
        <w:rPr>
          <w:rFonts w:ascii="Arial" w:cs="Arial" w:eastAsia="Arial" w:hAnsi="Arial"/>
          <w:sz w:val="17"/>
          <w:szCs w:val="17"/>
          <w:color w:val="auto"/>
        </w:rPr>
        <w:t>.</w:t>
      </w:r>
    </w:p>
    <w:p>
      <w:pPr>
        <w:spacing w:after="0" w:line="225" w:lineRule="exact"/>
        <w:rPr>
          <w:sz w:val="20"/>
          <w:szCs w:val="20"/>
          <w:color w:val="auto"/>
        </w:rPr>
      </w:pPr>
    </w:p>
    <w:p>
      <w:pPr>
        <w:ind w:right="100" w:firstLine="1305"/>
        <w:spacing w:after="0" w:line="308" w:lineRule="auto"/>
        <w:tabs>
          <w:tab w:leader="none" w:pos="1942" w:val="left"/>
        </w:tabs>
        <w:numPr>
          <w:ilvl w:val="0"/>
          <w:numId w:val="397"/>
        </w:numPr>
        <w:rPr>
          <w:rFonts w:ascii="Arial" w:cs="Arial" w:eastAsia="Arial" w:hAnsi="Arial"/>
          <w:sz w:val="17"/>
          <w:szCs w:val="17"/>
          <w:color w:val="auto"/>
        </w:rPr>
      </w:pPr>
      <w:r>
        <w:rPr>
          <w:rFonts w:ascii="Arial" w:cs="Arial" w:eastAsia="Arial" w:hAnsi="Arial"/>
          <w:sz w:val="17"/>
          <w:szCs w:val="17"/>
          <w:color w:val="auto"/>
        </w:rPr>
        <w:t>Each Obligor and each ERISA Affiliate has maintained and administered each Plan in compliance with all applicable laws, except for such instances of noncompliance as have not resulted in and would not reasonably be expected to have a Material Adverse Effect.</w:t>
      </w:r>
    </w:p>
    <w:p>
      <w:pPr>
        <w:spacing w:after="0" w:line="146" w:lineRule="exact"/>
        <w:rPr>
          <w:rFonts w:ascii="Arial" w:cs="Arial" w:eastAsia="Arial" w:hAnsi="Arial"/>
          <w:sz w:val="17"/>
          <w:szCs w:val="17"/>
          <w:color w:val="auto"/>
        </w:rPr>
      </w:pPr>
    </w:p>
    <w:p>
      <w:pPr>
        <w:ind w:right="160" w:firstLine="1305"/>
        <w:spacing w:after="0" w:line="277" w:lineRule="auto"/>
        <w:tabs>
          <w:tab w:leader="none" w:pos="1952" w:val="left"/>
        </w:tabs>
        <w:numPr>
          <w:ilvl w:val="0"/>
          <w:numId w:val="397"/>
        </w:numPr>
        <w:rPr>
          <w:rFonts w:ascii="Arial" w:cs="Arial" w:eastAsia="Arial" w:hAnsi="Arial"/>
          <w:sz w:val="18"/>
          <w:szCs w:val="18"/>
          <w:color w:val="auto"/>
        </w:rPr>
      </w:pPr>
      <w:r>
        <w:rPr>
          <w:rFonts w:ascii="Arial" w:cs="Arial" w:eastAsia="Arial" w:hAnsi="Arial"/>
          <w:sz w:val="18"/>
          <w:szCs w:val="18"/>
          <w:color w:val="auto"/>
        </w:rPr>
        <w:t>No ERISA Event has occurred or is reasonably expected to occur that, when taken together with all other such ERISA Events for which liability is reasonably expected to occur, could reasonably be expected to have a Material Adverse Effect.</w:t>
      </w:r>
    </w:p>
    <w:p>
      <w:pPr>
        <w:spacing w:after="0" w:line="1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Tax Returns and Payments</w:t>
      </w:r>
      <w:r>
        <w:rPr>
          <w:rFonts w:ascii="Arial" w:cs="Arial" w:eastAsia="Arial" w:hAnsi="Arial"/>
          <w:sz w:val="16"/>
          <w:szCs w:val="16"/>
          <w:color w:val="auto"/>
        </w:rPr>
        <w:t>. Each Obligor and each Restricted Subsidiary has caused to be filed all United States federal income Tax returns and other material Tax returns, statements and reports (or obtained extensions with respect thereto) which are required to be filed and has paid or deposited or made adequate provision in accordance with GAAP for the payment of all Taxes (including estimated Taxes shown on such returns, statements and reports) which are shown to be due pursuant to such returns, except (a) for Taxes whose amount, applicability or validity is being contested in good faith by appropriate proceedings and for which adequate reserves have been established in accordance with GAAP and (b) where the failure to pay such Taxes (collectively for the Obligors and the Restricted Subsidiaries, taken as a whole) would not have a Material Adverse Effect.</w:t>
      </w:r>
    </w:p>
    <w:p>
      <w:pPr>
        <w:spacing w:after="0" w:line="16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Requirements of Law</w:t>
      </w:r>
      <w:r>
        <w:rPr>
          <w:rFonts w:ascii="Arial" w:cs="Arial" w:eastAsia="Arial" w:hAnsi="Arial"/>
          <w:sz w:val="16"/>
          <w:szCs w:val="16"/>
          <w:color w:val="auto"/>
        </w:rPr>
        <w:t>.</w:t>
      </w:r>
    </w:p>
    <w:p>
      <w:pPr>
        <w:spacing w:after="0" w:line="225" w:lineRule="exact"/>
        <w:rPr>
          <w:sz w:val="20"/>
          <w:szCs w:val="20"/>
          <w:color w:val="auto"/>
        </w:rPr>
      </w:pPr>
    </w:p>
    <w:p>
      <w:pPr>
        <w:jc w:val="both"/>
        <w:ind w:right="200" w:firstLine="1305"/>
        <w:spacing w:after="0" w:line="259" w:lineRule="auto"/>
        <w:tabs>
          <w:tab w:leader="none" w:pos="1942"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Obligors and each of their Restricted Subsidiaries are in compliance with all Requirements of Law, applicable statutes, regulations and orders of, and all applicable restrictions imposed by, all Governmental Authorities in respect of the conduct of their businesses and the ownership of their property, except for instances in which the failure to comply therewith, either individually or in the aggregate, would not have a Material Adverse Effect.</w:t>
      </w:r>
    </w:p>
    <w:p>
      <w:pPr>
        <w:spacing w:after="0" w:line="186" w:lineRule="exact"/>
        <w:rPr>
          <w:rFonts w:ascii="Arial" w:cs="Arial" w:eastAsia="Arial" w:hAnsi="Arial"/>
          <w:sz w:val="18"/>
          <w:szCs w:val="18"/>
          <w:color w:val="auto"/>
        </w:rPr>
      </w:pPr>
    </w:p>
    <w:p>
      <w:pPr>
        <w:ind w:right="20" w:firstLine="1305"/>
        <w:spacing w:after="0" w:line="257" w:lineRule="auto"/>
        <w:tabs>
          <w:tab w:leader="none" w:pos="1952" w:val="left"/>
        </w:tabs>
        <w:numPr>
          <w:ilvl w:val="0"/>
          <w:numId w:val="398"/>
        </w:numPr>
        <w:rPr>
          <w:rFonts w:ascii="Arial" w:cs="Arial" w:eastAsia="Arial" w:hAnsi="Arial"/>
          <w:sz w:val="18"/>
          <w:szCs w:val="18"/>
          <w:color w:val="auto"/>
        </w:rPr>
      </w:pPr>
      <w:r>
        <w:rPr>
          <w:rFonts w:ascii="Arial" w:cs="Arial" w:eastAsia="Arial" w:hAnsi="Arial"/>
          <w:sz w:val="18"/>
          <w:szCs w:val="18"/>
          <w:color w:val="auto"/>
        </w:rPr>
        <w:t>Except with respect to any matters that, individually or in the aggregate, could not reasonably be expected to result in a Material Adverse Effect, neither WIL-Ireland nor any of its Subsidiaries (i) has failed to comply with any Environmental Law or to obtain, maintain or comply with any permit, license or other approval required for the conduct of WIL-Ireland’s or any of its Subsidiaries’ business under any Environmental Law, (ii) is liable for any Environmental Liability, (iii) has received notice of any claim with respect to any Environmental Liability or (iv) has knowledge of any facts or circumstances that would give rise to any Environmental Liability.</w:t>
      </w:r>
    </w:p>
    <w:p>
      <w:pPr>
        <w:spacing w:after="0" w:line="188"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No Default</w:t>
      </w:r>
      <w:r>
        <w:rPr>
          <w:rFonts w:ascii="Arial" w:cs="Arial" w:eastAsia="Arial" w:hAnsi="Arial"/>
          <w:sz w:val="16"/>
          <w:szCs w:val="16"/>
          <w:color w:val="auto"/>
        </w:rPr>
        <w:t>. No Default or Event of Default has occurred and is continuing.</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Each Obligor Party has implemented and maintains in effect policies and procedures designed to ensure compliance by such Obligor Party, its Subsidiaries and their respective directors, officers, employees and agents with Anti-Corruption Laws and applicable Sanctions, and such Obligor Party, its Subsidiaries and their respective officers and employees and, to the knowledge of such Obligor Party, its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directors and agents, are in compliance with Anti-Corruption Laws and applicable Sanctions in all material respects. None of (a) each Obligor Party, any Subsidiary of such Obligor Party or any of their respective directors, officers or employees, or (b) to the knowledge of each Obligor Party, any agent of such Obligor Party or any Subsidiary of such Obligor Party that will act in any capacity in connection with or benefit from the credit facility established hereby, is a Sanctioned Person. No Borrowing, nor the use of proceeds of the Loans or any other transaction contemplated by the Credit Agreement will violate any Anti-Corruption Laws or any Sanctions applicable to any party hereto.</w:t>
      </w:r>
    </w:p>
    <w:p>
      <w:pPr>
        <w:spacing w:after="0" w:line="188"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64" w:lineRule="auto"/>
        <w:tabs>
          <w:tab w:leader="none" w:pos="1942" w:val="left"/>
        </w:tabs>
        <w:numPr>
          <w:ilvl w:val="0"/>
          <w:numId w:val="399"/>
        </w:numPr>
        <w:rPr>
          <w:rFonts w:ascii="Arial" w:cs="Arial" w:eastAsia="Arial" w:hAnsi="Arial"/>
          <w:sz w:val="18"/>
          <w:szCs w:val="18"/>
          <w:color w:val="auto"/>
        </w:rPr>
      </w:pPr>
      <w:r>
        <w:rPr>
          <w:rFonts w:ascii="Arial" w:cs="Arial" w:eastAsia="Arial" w:hAnsi="Arial"/>
          <w:sz w:val="18"/>
          <w:szCs w:val="18"/>
          <w:color w:val="auto"/>
        </w:rPr>
        <w:t xml:space="preserve">Each of WIL-Ireland and its Restricted Subsidiaries has good title to, or valid leasehold interests in, all its real and personal property material to its business, except for (i) Liens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and (ii) minor defects in title that do not interfere with its ability to conduct its business as currently conducted or to utilize such properties for their intended purposes.</w:t>
      </w:r>
    </w:p>
    <w:p>
      <w:pPr>
        <w:sectPr>
          <w:pgSz w:w="11900" w:h="16918" w:orient="portrait"/>
          <w:cols w:equalWidth="0" w:num="1">
            <w:col w:w="11420"/>
          </w:cols>
          <w:pgMar w:left="240" w:top="126" w:right="239" w:bottom="0" w:gutter="0" w:footer="0" w:header="0"/>
        </w:sectPr>
      </w:pPr>
    </w:p>
    <w:bookmarkStart w:id="168" w:name="page169"/>
    <w:bookmarkEnd w:id="168"/>
    <w:p>
      <w:pPr>
        <w:spacing w:after="0" w:line="50" w:lineRule="exact"/>
        <w:rPr>
          <w:sz w:val="20"/>
          <w:szCs w:val="20"/>
          <w:color w:val="auto"/>
        </w:rPr>
      </w:pPr>
    </w:p>
    <w:p>
      <w:pPr>
        <w:ind w:firstLine="1305"/>
        <w:spacing w:after="0" w:line="259" w:lineRule="auto"/>
        <w:tabs>
          <w:tab w:leader="none" w:pos="1952" w:val="left"/>
        </w:tabs>
        <w:numPr>
          <w:ilvl w:val="0"/>
          <w:numId w:val="400"/>
        </w:numPr>
        <w:rPr>
          <w:rFonts w:ascii="Arial" w:cs="Arial" w:eastAsia="Arial" w:hAnsi="Arial"/>
          <w:sz w:val="18"/>
          <w:szCs w:val="18"/>
          <w:color w:val="auto"/>
        </w:rPr>
      </w:pPr>
      <w:r>
        <w:rPr>
          <w:rFonts w:ascii="Arial" w:cs="Arial" w:eastAsia="Arial" w:hAnsi="Arial"/>
          <w:sz w:val="18"/>
          <w:szCs w:val="18"/>
          <w:color w:val="auto"/>
        </w:rPr>
        <w:t>Each of WIL-Ireland and its Restricted Subsidiaries owns, or is licensed to use, all trademarks, tradenames, copyrights, patents and other intellectual property material to its business, and the use thereof by WIL-Ireland and its Subsidiaries does not infringe upon the rights of any other Person, except for any such failure to own or license, or infringements that, individually or in the aggregate, could not reasonably be expected to result in a Material Adverse Effect.</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No Restrictive Agreements</w:t>
      </w:r>
      <w:r>
        <w:rPr>
          <w:rFonts w:ascii="Arial" w:cs="Arial" w:eastAsia="Arial" w:hAnsi="Arial"/>
          <w:sz w:val="18"/>
          <w:szCs w:val="18"/>
          <w:color w:val="auto"/>
        </w:rPr>
        <w:t xml:space="preserve">. WIL-Ireland and its Restricted Subsidiaries are not subject to any Restrictive Agreements other than Restrictive Agreements permitted by </w:t>
      </w:r>
      <w:r>
        <w:rPr>
          <w:rFonts w:ascii="Arial" w:cs="Arial" w:eastAsia="Arial" w:hAnsi="Arial"/>
          <w:sz w:val="18"/>
          <w:szCs w:val="18"/>
          <w:u w:val="single" w:color="auto"/>
          <w:color w:val="auto"/>
        </w:rPr>
        <w:t>Section 8.11</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6.15</w:t>
      </w:r>
      <w:r>
        <w:rPr>
          <w:sz w:val="20"/>
          <w:szCs w:val="20"/>
          <w:color w:val="auto"/>
        </w:rPr>
        <w:tab/>
      </w:r>
      <w:r>
        <w:rPr>
          <w:rFonts w:ascii="Arial" w:cs="Arial" w:eastAsia="Arial" w:hAnsi="Arial"/>
          <w:sz w:val="16"/>
          <w:szCs w:val="16"/>
          <w:u w:val="single" w:color="auto"/>
          <w:color w:val="auto"/>
        </w:rPr>
        <w:t>Solvency</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77" w:lineRule="auto"/>
        <w:tabs>
          <w:tab w:leader="none" w:pos="1942"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Immediately after the consummation of the Transactions to occur on the Effective Date, WIL-Ireland and its Subsidiaries, taken as a whole, are and will be Solvent.</w:t>
      </w:r>
    </w:p>
    <w:p>
      <w:pPr>
        <w:spacing w:after="0" w:line="170" w:lineRule="exact"/>
        <w:rPr>
          <w:rFonts w:ascii="Arial" w:cs="Arial" w:eastAsia="Arial" w:hAnsi="Arial"/>
          <w:sz w:val="18"/>
          <w:szCs w:val="18"/>
          <w:color w:val="auto"/>
        </w:rPr>
      </w:pPr>
    </w:p>
    <w:p>
      <w:pPr>
        <w:ind w:right="80" w:firstLine="1305"/>
        <w:spacing w:after="0" w:line="277" w:lineRule="auto"/>
        <w:tabs>
          <w:tab w:leader="none" w:pos="1952"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Immediately after the consummation of the Transactions to occur on the Effective Date, WIL-Bermuda and its Subsidiaries, taken as a whole, are and will be Solvent.</w:t>
      </w:r>
    </w:p>
    <w:p>
      <w:pPr>
        <w:spacing w:after="0" w:line="170" w:lineRule="exact"/>
        <w:rPr>
          <w:rFonts w:ascii="Arial" w:cs="Arial" w:eastAsia="Arial" w:hAnsi="Arial"/>
          <w:sz w:val="18"/>
          <w:szCs w:val="18"/>
          <w:color w:val="auto"/>
        </w:rPr>
      </w:pPr>
    </w:p>
    <w:p>
      <w:pPr>
        <w:ind w:right="80" w:firstLine="1305"/>
        <w:spacing w:after="0" w:line="259" w:lineRule="auto"/>
        <w:tabs>
          <w:tab w:leader="none" w:pos="1955"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WIL-Bermuda does not intend to, nor will permit its Restricted Subsidiaries (taken as a whole) to, and WIL-Ireland does not believe that it or its Restricted Subsidiaries (taken as a whole) will, incur debts beyond its or their ability to pay such debts as such debts mature, taking into account the timing of and amounts of cash to be received by it or any such Restricted Subsidiary and the timing of the amounts of cash to be payable on or in respect of its Indebtedness or the Indebtedness of any such Restricted Subsidiary.</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Insurance</w:t>
      </w:r>
      <w:r>
        <w:rPr>
          <w:rFonts w:ascii="Arial" w:cs="Arial" w:eastAsia="Arial" w:hAnsi="Arial"/>
          <w:sz w:val="18"/>
          <w:szCs w:val="18"/>
          <w:color w:val="auto"/>
        </w:rPr>
        <w:t>. WIL-Ireland and its Subsidiaries maintain, including through self-insurance, insurance with respect to their property and business against such liabilities and risks, in such types and amounts and with such deductibles or self-insurance risk retentions, in each case as are in accordance with customary industry practice for companies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engaged in similar businesses as WIL-Ireland and its Subsidiaries (taken as a whole), as such customary industry practice may change from time to time.</w:t>
      </w:r>
    </w:p>
    <w:p>
      <w:pPr>
        <w:spacing w:after="0" w:line="248"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u w:val="single" w:color="auto"/>
          <w:color w:val="auto"/>
        </w:rPr>
        <w:t>Rank of Obligations</w:t>
      </w:r>
      <w:r>
        <w:rPr>
          <w:rFonts w:ascii="Arial" w:cs="Arial" w:eastAsia="Arial" w:hAnsi="Arial"/>
          <w:sz w:val="18"/>
          <w:szCs w:val="18"/>
          <w:color w:val="auto"/>
        </w:rPr>
        <w:t>. The obligations of each Obligor under the Loan Documents to which it is a party rank at least equally with all of the unsecured and unsubordinated Indebtedness of such Obligor, except Indebtedness mandatorily (and not consensually) preferred by applicable law, and ahead of all subordinated Indebtedness, if any, of such Obligor.</w:t>
      </w:r>
    </w:p>
    <w:p>
      <w:pPr>
        <w:spacing w:after="0" w:line="181"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6.18</w:t>
      </w:r>
      <w:r>
        <w:rPr>
          <w:sz w:val="20"/>
          <w:szCs w:val="20"/>
          <w:color w:val="auto"/>
        </w:rPr>
        <w:tab/>
      </w:r>
      <w:r>
        <w:rPr>
          <w:rFonts w:ascii="Arial" w:cs="Arial" w:eastAsia="Arial" w:hAnsi="Arial"/>
          <w:sz w:val="17"/>
          <w:szCs w:val="17"/>
          <w:u w:val="single" w:color="auto"/>
          <w:color w:val="auto"/>
        </w:rPr>
        <w:t>EEA Financial Institutions</w:t>
      </w:r>
      <w:r>
        <w:rPr>
          <w:rFonts w:ascii="Arial" w:cs="Arial" w:eastAsia="Arial" w:hAnsi="Arial"/>
          <w:sz w:val="17"/>
          <w:szCs w:val="17"/>
          <w:color w:val="auto"/>
        </w:rPr>
        <w:t>. No Obligor is an EEA Financial Institution.</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SECTION 6.19 </w:t>
      </w:r>
      <w:r>
        <w:rPr>
          <w:rFonts w:ascii="Arial" w:cs="Arial" w:eastAsia="Arial" w:hAnsi="Arial"/>
          <w:sz w:val="18"/>
          <w:szCs w:val="18"/>
          <w:u w:val="single" w:color="auto"/>
          <w:color w:val="auto"/>
        </w:rPr>
        <w:t>Liens</w:t>
      </w:r>
      <w:r>
        <w:rPr>
          <w:rFonts w:ascii="Arial" w:cs="Arial" w:eastAsia="Arial" w:hAnsi="Arial"/>
          <w:sz w:val="18"/>
          <w:szCs w:val="18"/>
          <w:color w:val="auto"/>
        </w:rPr>
        <w:t xml:space="preserve">. There are no Liens on any of the assets of WIL-Ireland or any Restricted Subsidiary other than Liens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SECTION 6.20 </w:t>
      </w:r>
      <w:r>
        <w:rPr>
          <w:rFonts w:ascii="Arial" w:cs="Arial" w:eastAsia="Arial" w:hAnsi="Arial"/>
          <w:sz w:val="18"/>
          <w:szCs w:val="18"/>
          <w:u w:val="single" w:color="auto"/>
          <w:color w:val="auto"/>
        </w:rPr>
        <w:t>Security Interest in Collateral</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the provisions of this Agreement and the Collateral Documents create a legal and valid, perfected (or any analogous concept to the extent perfection does not apply in the relevant jurisdiction) Lien on all the Collateral in favor of the Collateral Agent, for the benefit of the Secured Parties, and such Liens constitute perfected and continuing Liens on the Collateral, securing the Secured Obligations, enforceable against the applicable Secured Obligor and all third parties, and having priority over all other Liens on the Collateral except in the case of Liens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6.21 </w:t>
      </w:r>
      <w:r>
        <w:rPr>
          <w:rFonts w:ascii="Arial" w:cs="Arial" w:eastAsia="Arial" w:hAnsi="Arial"/>
          <w:sz w:val="18"/>
          <w:szCs w:val="18"/>
          <w:u w:val="single" w:color="auto"/>
          <w:color w:val="auto"/>
        </w:rPr>
        <w:t>Current Assets and Current Liabilities</w:t>
      </w:r>
      <w:r>
        <w:rPr>
          <w:rFonts w:ascii="Arial" w:cs="Arial" w:eastAsia="Arial" w:hAnsi="Arial"/>
          <w:sz w:val="18"/>
          <w:szCs w:val="18"/>
          <w:color w:val="auto"/>
        </w:rPr>
        <w:t>. (i) The Loans constitute Current Liabilities, (ii) the Collateral consists only of Current Assets, (iii) the Secured Obligations are secured only by Current Assets and (iv) none of WIL-Ireland nor any of its Restricted Subsidiaries is aware of any fact or circumstance (including a change in GAAP) that could reasonably be expected to cause the foregoing clauses (i) through (iii) to be incorrect at any time prior to Payment in Full.</w:t>
      </w:r>
    </w:p>
    <w:p>
      <w:pPr>
        <w:spacing w:after="0" w:line="187"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6.22</w:t>
      </w:r>
      <w:r>
        <w:rPr>
          <w:sz w:val="20"/>
          <w:szCs w:val="20"/>
          <w:color w:val="auto"/>
        </w:rPr>
        <w:tab/>
      </w:r>
      <w:r>
        <w:rPr>
          <w:rFonts w:ascii="Arial" w:cs="Arial" w:eastAsia="Arial" w:hAnsi="Arial"/>
          <w:sz w:val="16"/>
          <w:szCs w:val="16"/>
          <w:u w:val="single" w:color="auto"/>
          <w:color w:val="auto"/>
        </w:rPr>
        <w:t>Compliance with the Swiss Non-Bank Rules</w:t>
      </w:r>
      <w:r>
        <w:rPr>
          <w:rFonts w:ascii="Arial" w:cs="Arial" w:eastAsia="Arial" w:hAnsi="Arial"/>
          <w:sz w:val="16"/>
          <w:szCs w:val="16"/>
          <w:color w:val="auto"/>
        </w:rPr>
        <w:t>.</w:t>
      </w:r>
    </w:p>
    <w:p>
      <w:pPr>
        <w:spacing w:after="0" w:line="225" w:lineRule="exact"/>
        <w:rPr>
          <w:sz w:val="20"/>
          <w:szCs w:val="20"/>
          <w:color w:val="auto"/>
        </w:rPr>
      </w:pPr>
    </w:p>
    <w:p>
      <w:pPr>
        <w:ind w:right="400" w:firstLine="1305"/>
        <w:spacing w:after="0" w:line="277" w:lineRule="auto"/>
        <w:tabs>
          <w:tab w:leader="none" w:pos="1942"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xml:space="preserve">Each Swiss Obligor is in compliance with the Swiss Non-Bank Rules;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Swiss Obligor shall not be in breach of this representation if the permitted number of Swiss Non-Qualifying Lenders is exceeded solely by reason of:</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 xml:space="preserve">a failure by one or more Lenders or Participants to comply with their obligations under </w:t>
      </w:r>
      <w:r>
        <w:rPr>
          <w:rFonts w:ascii="Arial" w:cs="Arial" w:eastAsia="Arial" w:hAnsi="Arial"/>
          <w:sz w:val="18"/>
          <w:szCs w:val="18"/>
          <w:u w:val="single" w:color="auto"/>
          <w:color w:val="auto"/>
        </w:rPr>
        <w:t>Section 11.05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402"/>
        </w:numPr>
        <w:rPr>
          <w:rFonts w:ascii="Arial" w:cs="Arial" w:eastAsia="Arial" w:hAnsi="Arial"/>
          <w:sz w:val="16"/>
          <w:szCs w:val="16"/>
          <w:color w:val="auto"/>
        </w:rPr>
      </w:pPr>
      <w:r>
        <w:rPr>
          <w:rFonts w:ascii="Arial" w:cs="Arial" w:eastAsia="Arial" w:hAnsi="Arial"/>
          <w:sz w:val="16"/>
          <w:szCs w:val="16"/>
          <w:color w:val="auto"/>
        </w:rPr>
        <w:t>a confirmation made by one or more Lenders or Participants to be one single Swiss Non-Qualifying Lender is incorrect;</w:t>
      </w:r>
    </w:p>
    <w:p>
      <w:pPr>
        <w:spacing w:after="0" w:line="248" w:lineRule="exact"/>
        <w:rPr>
          <w:rFonts w:ascii="Arial" w:cs="Arial" w:eastAsia="Arial" w:hAnsi="Arial"/>
          <w:sz w:val="16"/>
          <w:szCs w:val="16"/>
          <w:color w:val="auto"/>
        </w:rPr>
      </w:pPr>
    </w:p>
    <w:p>
      <w:pPr>
        <w:ind w:left="660" w:right="280" w:firstLine="1293"/>
        <w:spacing w:after="0" w:line="277" w:lineRule="auto"/>
        <w:tabs>
          <w:tab w:leader="none" w:pos="2645" w:val="left"/>
        </w:tabs>
        <w:numPr>
          <w:ilvl w:val="1"/>
          <w:numId w:val="402"/>
        </w:numPr>
        <w:rPr>
          <w:rFonts w:ascii="Arial" w:cs="Arial" w:eastAsia="Arial" w:hAnsi="Arial"/>
          <w:sz w:val="18"/>
          <w:szCs w:val="18"/>
          <w:color w:val="auto"/>
        </w:rPr>
      </w:pPr>
      <w:r>
        <w:rPr>
          <w:rFonts w:ascii="Arial" w:cs="Arial" w:eastAsia="Arial" w:hAnsi="Arial"/>
          <w:sz w:val="18"/>
          <w:szCs w:val="18"/>
          <w:color w:val="auto"/>
        </w:rPr>
        <w:t>one or more Lenders or Participants ceasing to be a Swiss Qualifying Lender (to the extent such Lender or Participant confirmed to be a Swiss Qualifying Lender) as a result of any reason attributable to such Lender or Participant;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20" w:hanging="667"/>
        <w:spacing w:after="0"/>
        <w:tabs>
          <w:tab w:leader="none" w:pos="2620" w:val="left"/>
        </w:tabs>
        <w:numPr>
          <w:ilvl w:val="1"/>
          <w:numId w:val="403"/>
        </w:numPr>
        <w:rPr>
          <w:rFonts w:ascii="Arial" w:cs="Arial" w:eastAsia="Arial" w:hAnsi="Arial"/>
          <w:sz w:val="16"/>
          <w:szCs w:val="16"/>
          <w:color w:val="auto"/>
        </w:rPr>
      </w:pPr>
      <w:r>
        <w:rPr>
          <w:rFonts w:ascii="Arial" w:cs="Arial" w:eastAsia="Arial" w:hAnsi="Arial"/>
          <w:sz w:val="16"/>
          <w:szCs w:val="16"/>
          <w:color w:val="auto"/>
        </w:rPr>
        <w:t>an assignment or participation of any Loan under this Agreement to a Swiss Non-Qualifying Lender after the occurrence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an Event of Default.</w:t>
      </w:r>
    </w:p>
    <w:p>
      <w:pPr>
        <w:spacing w:after="0" w:line="210" w:lineRule="exact"/>
        <w:rPr>
          <w:rFonts w:ascii="Arial" w:cs="Arial" w:eastAsia="Arial" w:hAnsi="Arial"/>
          <w:sz w:val="16"/>
          <w:szCs w:val="16"/>
          <w:color w:val="auto"/>
        </w:rPr>
      </w:pPr>
    </w:p>
    <w:p>
      <w:pPr>
        <w:ind w:right="60" w:firstLine="1305"/>
        <w:spacing w:after="0" w:line="277" w:lineRule="auto"/>
        <w:tabs>
          <w:tab w:leader="none" w:pos="1952" w:val="left"/>
        </w:tabs>
        <w:numPr>
          <w:ilvl w:val="0"/>
          <w:numId w:val="404"/>
        </w:numPr>
        <w:rPr>
          <w:rFonts w:ascii="Arial" w:cs="Arial" w:eastAsia="Arial" w:hAnsi="Arial"/>
          <w:sz w:val="18"/>
          <w:szCs w:val="18"/>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6.22</w:t>
      </w:r>
      <w:r>
        <w:rPr>
          <w:rFonts w:ascii="Arial" w:cs="Arial" w:eastAsia="Arial" w:hAnsi="Arial"/>
          <w:sz w:val="18"/>
          <w:szCs w:val="18"/>
          <w:color w:val="auto"/>
        </w:rPr>
        <w:t>, each Swiss Obligor shall assume that the aggregate number of Lenders or Participants under this Agreement which are Swiss Non-Qualifying Lenders is eight.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AFFIRMATIVE COVENANTS</w:t>
      </w:r>
    </w:p>
    <w:p>
      <w:pPr>
        <w:sectPr>
          <w:pgSz w:w="11900" w:h="16888" w:orient="portrait"/>
          <w:cols w:equalWidth="0" w:num="1">
            <w:col w:w="11400"/>
          </w:cols>
          <w:pgMar w:left="240" w:top="341" w:right="259" w:bottom="0" w:gutter="0" w:footer="0" w:header="0"/>
        </w:sectPr>
      </w:pPr>
    </w:p>
    <w:bookmarkStart w:id="169" w:name="page170"/>
    <w:bookmarkEnd w:id="169"/>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Until Payment in Full, the Obligor Parties covenant and agree that:</w:t>
      </w:r>
    </w:p>
    <w:p>
      <w:pPr>
        <w:spacing w:after="0" w:line="22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Information Covenants</w:t>
      </w:r>
      <w:r>
        <w:rPr>
          <w:rFonts w:ascii="Arial" w:cs="Arial" w:eastAsia="Arial" w:hAnsi="Arial"/>
          <w:sz w:val="16"/>
          <w:szCs w:val="16"/>
          <w:color w:val="auto"/>
        </w:rPr>
        <w:t>. Each Obligor Party shall furnish or cause to be furnished to the Administrative Agent:</w:t>
      </w:r>
    </w:p>
    <w:p>
      <w:pPr>
        <w:spacing w:after="0" w:line="225" w:lineRule="exact"/>
        <w:rPr>
          <w:sz w:val="20"/>
          <w:szCs w:val="20"/>
          <w:color w:val="auto"/>
        </w:rPr>
      </w:pPr>
    </w:p>
    <w:p>
      <w:pPr>
        <w:ind w:right="140" w:firstLine="1305"/>
        <w:spacing w:after="0" w:line="271" w:lineRule="auto"/>
        <w:tabs>
          <w:tab w:leader="none" w:pos="1942" w:val="left"/>
        </w:tabs>
        <w:numPr>
          <w:ilvl w:val="0"/>
          <w:numId w:val="405"/>
        </w:numPr>
        <w:rPr>
          <w:rFonts w:ascii="Arial" w:cs="Arial" w:eastAsia="Arial" w:hAnsi="Arial"/>
          <w:sz w:val="17"/>
          <w:szCs w:val="17"/>
          <w:color w:val="auto"/>
        </w:rPr>
      </w:pPr>
      <w:r>
        <w:rPr>
          <w:rFonts w:ascii="Arial" w:cs="Arial" w:eastAsia="Arial" w:hAnsi="Arial"/>
          <w:sz w:val="17"/>
          <w:szCs w:val="17"/>
          <w:color w:val="auto"/>
        </w:rPr>
        <w:t xml:space="preserve">As soon as available, and in any event within 45 days after the end of each of the first three Fiscal Quarters in each Fiscal Year of WIL-Ireland (commencing with the Fiscal Quarter ended June 30, 2018), the Quarterly Report on Form 10-Q, or its equivalent, of WIL-Ireland for such Fiscal Quarter;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Obligor Parties shall be deemed to have furnished said Quarterly Report on Form 10-Q for purposes of this</w:t>
      </w:r>
    </w:p>
    <w:p>
      <w:pPr>
        <w:ind w:right="40"/>
        <w:spacing w:after="0" w:line="288" w:lineRule="auto"/>
        <w:rPr>
          <w:rFonts w:ascii="Arial" w:cs="Arial" w:eastAsia="Arial" w:hAnsi="Arial"/>
          <w:sz w:val="17"/>
          <w:szCs w:val="17"/>
          <w:color w:val="auto"/>
        </w:rPr>
      </w:pP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on the date the same shall have been made available on “EDGAR” (or any successor thereto) or on its home page on the worldwide web (which page is, as of the date of this Agreement, located at www.weatherford.com). Such Quarterly Report shall include, and to the extent it does not include shall be supplemented by, a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Principal Financial Officers as presenting fairly in all material respects the financial condition and results of operations of WIL-Ireland and its consolidated Subsidiaries on a consolidated basis in accordance with GAAP consistently applied, subject to normal year-end audit adjustments and the absence of footnotes.</w:t>
      </w:r>
    </w:p>
    <w:p>
      <w:pPr>
        <w:spacing w:after="0" w:line="168" w:lineRule="exact"/>
        <w:rPr>
          <w:rFonts w:ascii="Arial" w:cs="Arial" w:eastAsia="Arial" w:hAnsi="Arial"/>
          <w:sz w:val="17"/>
          <w:szCs w:val="17"/>
          <w:color w:val="auto"/>
        </w:rPr>
      </w:pPr>
    </w:p>
    <w:p>
      <w:pPr>
        <w:ind w:firstLine="1305"/>
        <w:spacing w:after="0" w:line="253" w:lineRule="auto"/>
        <w:tabs>
          <w:tab w:leader="none" w:pos="1952" w:val="left"/>
        </w:tabs>
        <w:numPr>
          <w:ilvl w:val="0"/>
          <w:numId w:val="405"/>
        </w:numPr>
        <w:rPr>
          <w:rFonts w:ascii="Arial" w:cs="Arial" w:eastAsia="Arial" w:hAnsi="Arial"/>
          <w:sz w:val="18"/>
          <w:szCs w:val="18"/>
          <w:color w:val="auto"/>
        </w:rPr>
      </w:pPr>
      <w:r>
        <w:rPr>
          <w:rFonts w:ascii="Arial" w:cs="Arial" w:eastAsia="Arial" w:hAnsi="Arial"/>
          <w:sz w:val="18"/>
          <w:szCs w:val="18"/>
          <w:color w:val="auto"/>
        </w:rPr>
        <w:t xml:space="preserve">As soon as available, and in any event within 90 days after the close of each Fiscal Year of WIL-Ireland, the Annual Report on Form 10-K, or its equivalent, of WIL-Ireland for such Fiscal Year, certified by KPMG LLP or other independent certified public accountants of recognized national standing reasonably acceptable to the Administrative Agent and the Required Lenders, whose certification shall be without qualification or limitation;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Obligor Parties shall be deemed to have furnished said Annual Report on Form 10-K for purposes of this </w:t>
      </w:r>
      <w:r>
        <w:rPr>
          <w:rFonts w:ascii="Arial" w:cs="Arial" w:eastAsia="Arial" w:hAnsi="Arial"/>
          <w:sz w:val="18"/>
          <w:szCs w:val="18"/>
          <w:u w:val="single" w:color="auto"/>
          <w:color w:val="auto"/>
        </w:rPr>
        <w:t>Section 7.01(b)</w:t>
      </w:r>
      <w:r>
        <w:rPr>
          <w:rFonts w:ascii="Arial" w:cs="Arial" w:eastAsia="Arial" w:hAnsi="Arial"/>
          <w:sz w:val="18"/>
          <w:szCs w:val="18"/>
          <w:color w:val="auto"/>
        </w:rPr>
        <w:t xml:space="preserve"> on the date the same shall have been made available on “EDGAR” (or any successor thereto) or on its home page on the worldwide web (which page is, as of the date of this Agreement, located at www.weatherford.com) and (ii) if said Annual Report on Form 10-K contains the report of such independent public accountants (without qualification or exception, and to the effect, as specified above), no Obligor Party shall be required to deliver such report. Such Annual Report shall include, and to the extent it does not include shall be supplemented by, WIL-Ireland’s audited consolidated balance sheet and related statements of operations, stockholders’ equity and cash flows as of the end of and for such year, setting forth in each case in comparative form the figures for the previous Fiscal Year,</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all reported on by KPMG LLP or other independent public accountants of recognized national standing (which opinion shall be without qualification or exception as to the scope of such audit) to the effect that such consolidated financial statements present fairly in all material respects the financial condition and results of operations of WIL-Ireland and its consolidated Subsidiaries on a consolidated basis in accordance with GAAP consistently applied.</w:t>
      </w:r>
    </w:p>
    <w:p>
      <w:pPr>
        <w:spacing w:after="0" w:line="147" w:lineRule="exact"/>
        <w:rPr>
          <w:sz w:val="20"/>
          <w:szCs w:val="20"/>
          <w:color w:val="auto"/>
        </w:rPr>
      </w:pPr>
    </w:p>
    <w:p>
      <w:pPr>
        <w:ind w:right="120" w:firstLine="1305"/>
        <w:spacing w:after="0" w:line="255" w:lineRule="auto"/>
        <w:tabs>
          <w:tab w:leader="none" w:pos="1955" w:val="left"/>
        </w:tabs>
        <w:numPr>
          <w:ilvl w:val="0"/>
          <w:numId w:val="406"/>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(whether on “EDGAR” (or any successor thereto) or WIL-Ireland’s homepage on the worldwide web or otherwise), notice to the Administrative Agent of the filing of all periodic reports on Form 10-K or Form 10-Q, and all amendments to such reports and all definitive proxy statements filed by any Obligor or any of its Subsidiaries with the SEC, or any Governmental Authority succeeding to any or all of the functions of the SEC, or with any national securities exchange, or distributed by WIL-Ireland to its shareholders generally, as the case may be (and in furtherance of the foregoing, WIL-Ireland will give to the Administrative Agent prompt written notice of any change at any time or from time to time of the location of WIL-Ireland’s home page on the worldwide web).</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Promptly, and in any event within five Business Days after:</w:t>
      </w:r>
    </w:p>
    <w:p>
      <w:pPr>
        <w:spacing w:after="0" w:line="225" w:lineRule="exact"/>
        <w:rPr>
          <w:rFonts w:ascii="Arial" w:cs="Arial" w:eastAsia="Arial" w:hAnsi="Arial"/>
          <w:sz w:val="18"/>
          <w:szCs w:val="18"/>
          <w:color w:val="auto"/>
        </w:rPr>
      </w:pPr>
    </w:p>
    <w:p>
      <w:pPr>
        <w:ind w:left="660" w:right="260" w:firstLine="1293"/>
        <w:spacing w:after="0" w:line="291" w:lineRule="auto"/>
        <w:tabs>
          <w:tab w:leader="none" w:pos="2626" w:val="left"/>
        </w:tabs>
        <w:numPr>
          <w:ilvl w:val="1"/>
          <w:numId w:val="406"/>
        </w:numPr>
        <w:rPr>
          <w:rFonts w:ascii="Arial" w:cs="Arial" w:eastAsia="Arial" w:hAnsi="Arial"/>
          <w:sz w:val="16"/>
          <w:szCs w:val="16"/>
          <w:color w:val="auto"/>
        </w:rPr>
      </w:pPr>
      <w:r>
        <w:rPr>
          <w:rFonts w:ascii="Arial" w:cs="Arial" w:eastAsia="Arial" w:hAnsi="Arial"/>
          <w:sz w:val="16"/>
          <w:szCs w:val="16"/>
          <w:color w:val="auto"/>
        </w:rPr>
        <w:t>the occurrence of any of the following with respect to any Obligor Party or any of its Restricted Subsidiaries: (A) the pendency or commencement of any litigation, arbitration or governmental proceeding against such Obligor or Restricted Subsidiary which would reasonably be expected to have a Material Adverse Effect, (B) the institution of any proceeding against any Obligor Party or any of its Restricted Subsidiaries with respect to, or the receipt of notice by such Person of potential liability or responsibility for violation or alleged violation of, any law, rule or regulation (including any Environmental Law) which would reasonably be expected to have a Material Adverse Effect and (C) any casualty or other insured damage to any material portion of the Collateral or the commencement of any action or proceeding for the taking of any material portion of the Collateral or interest therein under power of eminent domain or by condemnation or similar proceeding; or</w:t>
      </w:r>
    </w:p>
    <w:p>
      <w:pPr>
        <w:spacing w:after="0" w:line="167" w:lineRule="exact"/>
        <w:rPr>
          <w:rFonts w:ascii="Arial" w:cs="Arial" w:eastAsia="Arial" w:hAnsi="Arial"/>
          <w:sz w:val="16"/>
          <w:szCs w:val="16"/>
          <w:color w:val="auto"/>
        </w:rPr>
      </w:pPr>
    </w:p>
    <w:p>
      <w:pPr>
        <w:ind w:left="660" w:right="380" w:firstLine="1293"/>
        <w:spacing w:after="0" w:line="277" w:lineRule="auto"/>
        <w:tabs>
          <w:tab w:leader="none" w:pos="2636" w:val="left"/>
        </w:tabs>
        <w:numPr>
          <w:ilvl w:val="1"/>
          <w:numId w:val="406"/>
        </w:numPr>
        <w:rPr>
          <w:rFonts w:ascii="Arial" w:cs="Arial" w:eastAsia="Arial" w:hAnsi="Arial"/>
          <w:sz w:val="18"/>
          <w:szCs w:val="18"/>
          <w:color w:val="auto"/>
        </w:rPr>
      </w:pPr>
      <w:r>
        <w:rPr>
          <w:rFonts w:ascii="Arial" w:cs="Arial" w:eastAsia="Arial" w:hAnsi="Arial"/>
          <w:sz w:val="18"/>
          <w:szCs w:val="18"/>
          <w:color w:val="auto"/>
        </w:rPr>
        <w:t>any Responsible Officer of such Obligor Party obtains knowledge of the occurrence of any event or condition which constitutes a Default or an Event of Default; or</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406"/>
        </w:numPr>
        <w:rPr>
          <w:rFonts w:ascii="Arial" w:cs="Arial" w:eastAsia="Arial" w:hAnsi="Arial"/>
          <w:sz w:val="16"/>
          <w:szCs w:val="16"/>
          <w:color w:val="auto"/>
        </w:rPr>
      </w:pPr>
      <w:r>
        <w:rPr>
          <w:rFonts w:ascii="Arial" w:cs="Arial" w:eastAsia="Arial" w:hAnsi="Arial"/>
          <w:sz w:val="16"/>
          <w:szCs w:val="16"/>
          <w:color w:val="auto"/>
        </w:rPr>
        <w:t>any Responsible Officer of such Obligor Party obtains knowledge of the occurrence of a Change of Control or Change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Control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notice of such event, condition, occurrence or development, specifying the nature thereof.</w:t>
      </w:r>
    </w:p>
    <w:p>
      <w:pPr>
        <w:spacing w:after="0" w:line="225" w:lineRule="exact"/>
        <w:rPr>
          <w:sz w:val="20"/>
          <w:szCs w:val="20"/>
          <w:color w:val="auto"/>
        </w:rPr>
      </w:pPr>
    </w:p>
    <w:p>
      <w:pPr>
        <w:ind w:firstLine="1305"/>
        <w:spacing w:after="0" w:line="277" w:lineRule="auto"/>
        <w:tabs>
          <w:tab w:leader="none" w:pos="1955"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Within five Business Days after the delivery of the financial statements provided for in Sections 7.01(a) and 7.01(b), a Compliance Certificate with respect to the fiscal period covered by such financial statements.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Promptly, and in any event within 30 days after any Responsible Officer of such Obligor Party obtains knowledge thereof, notice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firstLine="1293"/>
        <w:spacing w:after="0" w:line="264" w:lineRule="auto"/>
        <w:tabs>
          <w:tab w:leader="none" w:pos="2626"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occurrence or expected occurrence of (A) any ERISA Event with respect to any Plan, (B) a failure to make any required contribution to a Plan before the due date (including extensions) thereof or (C) any Lien in favor of the PBGC or a Plan, in each case which would reasonably be expected to have a Material Adverse Effect; and</w:t>
      </w:r>
    </w:p>
    <w:p>
      <w:pPr>
        <w:spacing w:after="0" w:line="181" w:lineRule="exact"/>
        <w:rPr>
          <w:rFonts w:ascii="Arial" w:cs="Arial" w:eastAsia="Arial" w:hAnsi="Arial"/>
          <w:sz w:val="18"/>
          <w:szCs w:val="18"/>
          <w:color w:val="auto"/>
        </w:rPr>
      </w:pPr>
    </w:p>
    <w:p>
      <w:pPr>
        <w:ind w:left="660" w:right="240" w:firstLine="1293"/>
        <w:spacing w:after="0" w:line="342" w:lineRule="auto"/>
        <w:tabs>
          <w:tab w:leader="none" w:pos="2636" w:val="left"/>
        </w:tabs>
        <w:numPr>
          <w:ilvl w:val="0"/>
          <w:numId w:val="408"/>
        </w:numPr>
        <w:rPr>
          <w:rFonts w:ascii="Arial" w:cs="Arial" w:eastAsia="Arial" w:hAnsi="Arial"/>
          <w:sz w:val="16"/>
          <w:szCs w:val="16"/>
          <w:color w:val="auto"/>
        </w:rPr>
      </w:pPr>
      <w:r>
        <w:rPr>
          <w:rFonts w:ascii="Arial" w:cs="Arial" w:eastAsia="Arial" w:hAnsi="Arial"/>
          <w:sz w:val="16"/>
          <w:szCs w:val="16"/>
          <w:color w:val="auto"/>
        </w:rPr>
        <w:t>the institution of proceedings or the taking of any other action by the PBGC or WIL-Ireland or any ERISA Affiliate or any Multiemployer Plan with respect to the withdrawal from, or the termination, insolvency, endangered, critical or critical and declining status</w:t>
      </w:r>
    </w:p>
    <w:p>
      <w:pPr>
        <w:sectPr>
          <w:pgSz w:w="11900" w:h="16975" w:orient="portrait"/>
          <w:cols w:equalWidth="0" w:num="1">
            <w:col w:w="11400"/>
          </w:cols>
          <w:pgMar w:left="240" w:top="341" w:right="259" w:bottom="0" w:gutter="0" w:footer="0" w:header="0"/>
        </w:sectPr>
      </w:pPr>
    </w:p>
    <w:bookmarkStart w:id="170" w:name="page171"/>
    <w:bookmarkEnd w:id="170"/>
    <w:p>
      <w:pPr>
        <w:spacing w:after="0" w:line="96" w:lineRule="exact"/>
        <w:rPr>
          <w:sz w:val="20"/>
          <w:szCs w:val="20"/>
          <w:color w:val="auto"/>
        </w:rPr>
      </w:pPr>
    </w:p>
    <w:p>
      <w:pPr>
        <w:ind w:left="660" w:right="180"/>
        <w:spacing w:after="0" w:line="286" w:lineRule="auto"/>
        <w:rPr>
          <w:sz w:val="20"/>
          <w:szCs w:val="20"/>
          <w:color w:val="auto"/>
        </w:rPr>
      </w:pPr>
      <w:r>
        <w:rPr>
          <w:rFonts w:ascii="Arial" w:cs="Arial" w:eastAsia="Arial" w:hAnsi="Arial"/>
          <w:sz w:val="17"/>
          <w:szCs w:val="17"/>
          <w:color w:val="auto"/>
        </w:rPr>
        <w:t>(within the meaning of such terms as used in ERISA) of, any Plan, which withdrawal, termination, insolvency, endangered, critical or critical and declining status would reasonably be expected to have a Material Adverse Effect, except that no notice shall be required with respect to the merger of a defined contribution plan of one ERISA Affiliate into a defined contribution plan of another ERISA Affiliate.</w:t>
      </w:r>
    </w:p>
    <w:p>
      <w:pPr>
        <w:spacing w:after="0" w:line="166" w:lineRule="exact"/>
        <w:rPr>
          <w:sz w:val="20"/>
          <w:szCs w:val="20"/>
          <w:color w:val="auto"/>
        </w:rPr>
      </w:pPr>
    </w:p>
    <w:p>
      <w:pPr>
        <w:ind w:right="40" w:firstLine="1305"/>
        <w:spacing w:after="0" w:line="238" w:lineRule="auto"/>
        <w:tabs>
          <w:tab w:leader="none" w:pos="1965"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As soon as available, and in any event within (i) 60 days after the beginning of each Fiscal Year, an annual forecast with respect to such Fiscal Year and (ii) 45 days after the end of each Fiscal Quarter ending on June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each Fiscal Year (commencing with the 2018 Fiscal Year), an update to the annual forecast for such Fiscal Year delivered pursuant to this </w:t>
      </w:r>
      <w:r>
        <w:rPr>
          <w:rFonts w:ascii="Arial" w:cs="Arial" w:eastAsia="Arial" w:hAnsi="Arial"/>
          <w:sz w:val="18"/>
          <w:szCs w:val="18"/>
          <w:u w:val="single" w:color="auto"/>
          <w:color w:val="auto"/>
        </w:rPr>
        <w:t>Section 7.01(g)</w:t>
      </w:r>
      <w:r>
        <w:rPr>
          <w:rFonts w:ascii="Arial" w:cs="Arial" w:eastAsia="Arial" w:hAnsi="Arial"/>
          <w:sz w:val="18"/>
          <w:szCs w:val="18"/>
          <w:color w:val="auto"/>
        </w:rPr>
        <w:t xml:space="preserve"> (or, in the case of the 2018 Fiscal Year, delivered pursuant to the RCF Credit Agreement or the Term Loan Agreement).</w:t>
      </w:r>
    </w:p>
    <w:p>
      <w:pPr>
        <w:spacing w:after="0" w:line="202" w:lineRule="exact"/>
        <w:rPr>
          <w:rFonts w:ascii="Arial" w:cs="Arial" w:eastAsia="Arial" w:hAnsi="Arial"/>
          <w:sz w:val="18"/>
          <w:szCs w:val="18"/>
          <w:color w:val="auto"/>
        </w:rPr>
      </w:pPr>
    </w:p>
    <w:p>
      <w:pPr>
        <w:ind w:left="1960" w:hanging="655"/>
        <w:spacing w:after="0"/>
        <w:tabs>
          <w:tab w:leader="none" w:pos="1960" w:val="left"/>
        </w:tabs>
        <w:numPr>
          <w:ilvl w:val="0"/>
          <w:numId w:val="409"/>
        </w:numPr>
        <w:rPr>
          <w:rFonts w:ascii="Arial" w:cs="Arial" w:eastAsia="Arial" w:hAnsi="Arial"/>
          <w:sz w:val="16"/>
          <w:szCs w:val="16"/>
          <w:color w:val="auto"/>
        </w:rPr>
      </w:pPr>
      <w:r>
        <w:rPr>
          <w:rFonts w:ascii="Arial" w:cs="Arial" w:eastAsia="Arial" w:hAnsi="Arial"/>
          <w:sz w:val="16"/>
          <w:szCs w:val="16"/>
          <w:color w:val="auto"/>
        </w:rPr>
        <w:t>If as of the end of any Fiscal Quarter, (i) the total book value of all assets of the Other Subsidiaries Group represents more than</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2.5% of the total book value of the WIL-Ireland Group or (ii) the Consolidated Adjusted EBITDA of the Other Subsidiaries Group represents more than 2.5% of the Consolidated Adjusted EBITDA of the WIL-Ireland Group, WIL-Ireland shall deliver, as soon as available, and in any event within 45 days after the end of such Fiscal Quarter, a consolidating balance sheet and income statement with respect to the Other Subsidiaries Group (together with the applicable eliminating entries).</w:t>
      </w:r>
    </w:p>
    <w:p>
      <w:pPr>
        <w:spacing w:after="0" w:line="190" w:lineRule="exact"/>
        <w:rPr>
          <w:sz w:val="20"/>
          <w:szCs w:val="20"/>
          <w:color w:val="auto"/>
        </w:rPr>
      </w:pPr>
    </w:p>
    <w:p>
      <w:pPr>
        <w:ind w:right="120" w:firstLine="1305"/>
        <w:spacing w:after="0" w:line="297" w:lineRule="auto"/>
        <w:tabs>
          <w:tab w:leader="none" w:pos="1966" w:val="left"/>
        </w:tabs>
        <w:numPr>
          <w:ilvl w:val="0"/>
          <w:numId w:val="410"/>
        </w:numPr>
        <w:rPr>
          <w:rFonts w:ascii="Arial" w:cs="Arial" w:eastAsia="Arial" w:hAnsi="Arial"/>
          <w:sz w:val="16"/>
          <w:szCs w:val="16"/>
          <w:color w:val="auto"/>
        </w:rPr>
      </w:pPr>
      <w:r>
        <w:rPr>
          <w:rFonts w:ascii="Arial" w:cs="Arial" w:eastAsia="Arial" w:hAnsi="Arial"/>
          <w:sz w:val="16"/>
          <w:szCs w:val="16"/>
          <w:color w:val="auto"/>
        </w:rPr>
        <w:t xml:space="preserve">Within 30 days after the consummation of any Collateral Transfer involving Collateral with a book value (measured as of the last day of the most recently ended Fiscal Quarter for which financial statements are available) greater than $20,000,000, (A) written notice of such Collateral Transfer (including the book value of the Collateral subject to such Collateral Transfer) and (B) a certificate of a Principal Financial Officer of WIL-Ireland certifying that, after giving pro forma effect to such Collateral Transfer, WIL-Ireland would be in compliance with the Current Asset Coverage Ratio Covenant (calculated in accordance with </w:t>
      </w:r>
      <w:r>
        <w:rPr>
          <w:rFonts w:ascii="Arial" w:cs="Arial" w:eastAsia="Arial" w:hAnsi="Arial"/>
          <w:sz w:val="16"/>
          <w:szCs w:val="16"/>
          <w:u w:val="single" w:color="auto"/>
          <w:color w:val="auto"/>
        </w:rPr>
        <w:t>Section 1.04</w:t>
      </w:r>
      <w:r>
        <w:rPr>
          <w:rFonts w:ascii="Arial" w:cs="Arial" w:eastAsia="Arial" w:hAnsi="Arial"/>
          <w:sz w:val="16"/>
          <w:szCs w:val="16"/>
          <w:color w:val="auto"/>
        </w:rPr>
        <w:t>) and attaching reasonably detailed calculations demonstrating such compliance</w:t>
      </w:r>
      <w:r>
        <w:rPr>
          <w:rFonts w:ascii="Arial" w:cs="Arial" w:eastAsia="Arial" w:hAnsi="Arial"/>
          <w:sz w:val="16"/>
          <w:szCs w:val="16"/>
          <w:b w:val="1"/>
          <w:bCs w:val="1"/>
          <w:color w:val="auto"/>
        </w:rPr>
        <w:t>.</w:t>
      </w:r>
    </w:p>
    <w:p>
      <w:pPr>
        <w:spacing w:after="0" w:line="158" w:lineRule="exact"/>
        <w:rPr>
          <w:rFonts w:ascii="Arial" w:cs="Arial" w:eastAsia="Arial" w:hAnsi="Arial"/>
          <w:sz w:val="16"/>
          <w:szCs w:val="16"/>
          <w:color w:val="auto"/>
        </w:rPr>
      </w:pPr>
    </w:p>
    <w:p>
      <w:pPr>
        <w:ind w:right="100" w:firstLine="1305"/>
        <w:spacing w:after="0" w:line="297" w:lineRule="auto"/>
        <w:tabs>
          <w:tab w:leader="none" w:pos="1953" w:val="left"/>
        </w:tabs>
        <w:numPr>
          <w:ilvl w:val="0"/>
          <w:numId w:val="410"/>
        </w:numPr>
        <w:rPr>
          <w:rFonts w:ascii="Arial" w:cs="Arial" w:eastAsia="Arial" w:hAnsi="Arial"/>
          <w:sz w:val="16"/>
          <w:szCs w:val="16"/>
          <w:color w:val="auto"/>
        </w:rPr>
      </w:pPr>
      <w:r>
        <w:rPr>
          <w:rFonts w:ascii="Arial" w:cs="Arial" w:eastAsia="Arial" w:hAnsi="Arial"/>
          <w:sz w:val="16"/>
          <w:szCs w:val="16"/>
          <w:color w:val="auto"/>
        </w:rPr>
        <w:t xml:space="preserve">From time to time and with reasonable promptness, (x) such other information or documents (financial or otherwise) with respect to any Obligor or any of its Restricted Subsidiaries as the Administrative Agent or any Lender through the Administrative Agent may reasonably request, including any books and records with respect to any Collateral, and (y) information and documentation reasonably requested by the Administrative Agent or any Lender for purposes of compliance with applicable “know your customer” and anti-money laundering rules and regulations, including the PATRIOT Act and the Beneficial Ownership Regulation (to the extent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non-public information obtained by 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Person pursuant to such request shall be treated as confidential information in accordance with </w:t>
      </w:r>
      <w:r>
        <w:rPr>
          <w:rFonts w:ascii="Arial" w:cs="Arial" w:eastAsia="Arial" w:hAnsi="Arial"/>
          <w:sz w:val="17"/>
          <w:szCs w:val="17"/>
          <w:u w:val="single" w:color="auto"/>
          <w:color w:val="auto"/>
        </w:rPr>
        <w:t>Section 11.06</w:t>
      </w:r>
      <w:r>
        <w:rPr>
          <w:rFonts w:ascii="Arial" w:cs="Arial" w:eastAsia="Arial" w:hAnsi="Arial"/>
          <w:sz w:val="17"/>
          <w:szCs w:val="17"/>
          <w:color w:val="auto"/>
        </w:rPr>
        <w:t>. Notwithstanding the foregoing, no Obligor or any of its Restricted Subsidiaries shall be required to deliver any information or documents if the disclosure thereof to the Administrative Agent or any Lender would violate a binding confidentiality agreement with a Person that is not an Affiliate of WIL-Ireland or any Subsidiary.</w:t>
      </w:r>
    </w:p>
    <w:p>
      <w:pPr>
        <w:spacing w:after="0" w:line="16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Books, Records and Inspections</w:t>
      </w:r>
      <w:r>
        <w:rPr>
          <w:rFonts w:ascii="Arial" w:cs="Arial" w:eastAsia="Arial" w:hAnsi="Arial"/>
          <w:sz w:val="16"/>
          <w:szCs w:val="16"/>
          <w:color w:val="auto"/>
        </w:rPr>
        <w:t xml:space="preserve">. Each Obligor Party shall permit, or cause to be permitted, any Lender, upon written notice, to visit and inspect any of the properties of such Obligor Party and its Restricted Subsidiaries, to examine the books and financial records of such Obligor Party and its Restricted Subsidiaries and to discuss the affairs, finances and accounts of such Obligor Party and its Restricted Subsidiaries with any Responsible Officer of such Obligor Party or Restricted Subsidiary, including inspections of Collateral and records relating to Collateral and discussions with respect to Collateral and records relating to Collateral, all at such reasonable times and as often as any Lender, through the Administrative Agent, may reasonably request, and all at such Obligor Party’s or Restricted Subsidiary’s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non-public information obtained by any Person during any such visitation, inspection, examination or discussion shall be treated as confidential information in accordance with </w:t>
      </w:r>
      <w:r>
        <w:rPr>
          <w:rFonts w:ascii="Arial" w:cs="Arial" w:eastAsia="Arial" w:hAnsi="Arial"/>
          <w:sz w:val="16"/>
          <w:szCs w:val="16"/>
          <w:u w:val="single" w:color="auto"/>
          <w:color w:val="auto"/>
        </w:rPr>
        <w:t>Section 11.06</w:t>
      </w:r>
      <w:r>
        <w:rPr>
          <w:rFonts w:ascii="Arial" w:cs="Arial" w:eastAsia="Arial" w:hAnsi="Arial"/>
          <w:sz w:val="16"/>
          <w:szCs w:val="16"/>
          <w:color w:val="auto"/>
        </w:rPr>
        <w:t>.</w:t>
      </w:r>
    </w:p>
    <w:p>
      <w:pPr>
        <w:spacing w:after="0" w:line="16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Insurance</w:t>
      </w:r>
      <w:r>
        <w:rPr>
          <w:rFonts w:ascii="Arial" w:cs="Arial" w:eastAsia="Arial" w:hAnsi="Arial"/>
          <w:sz w:val="17"/>
          <w:szCs w:val="17"/>
          <w:color w:val="auto"/>
        </w:rPr>
        <w:t>. WIL-Ireland and its Subsidiaries shall maintain or cause to be maintained (including through self-insurance)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as WIL-Ireland and its Subsidiaries (taken as a whole), as such customary industry practice may change from time to time. WIL-Ireland will furnish to the Lenders, upon request of the Administrative Agent, information in reasonable detail as to the insurance so maintained. In the event WIL-Ireland or any other Obligor at any time or times hereafter shall fail to obtain or maintain any of the policies or insurance required herein, then the Administrative Agent or the Collateral Agent, without waiving or releasing any obligations or resulting Default hereunder, may at any time or times thereafter (but shall be under no obligation to do so) obtain and maintain such policies of insurance and pay premiums and take any other action with respect thereto which the Administrative Agent or the Collateral Agent, as applicable, deems advisable. All sums so disbursed by the Administrative Agent or the Collateral Agent shall constitute part of the Obligations, payable as provided in this Agreement. Without limiting the foregoing, to the extent that any Secured Obligor is entitled to receive proceeds under any insurance policy, it shall direct the applicable insurer to deposit such proceeds (and such proceeds shall be so deposited) into a deposit account that is subject to a deposit account control agreement in form and substance reasonably acceptable to the Collateral Agent, which, subject to the terms of the Intercreditor Agreement, establishes “control” (within the meaning of Section 9-104 of the UCC) with respect to such deposit account by the Collateral Agent on behalf of the Secured Parties.</w:t>
      </w:r>
    </w:p>
    <w:p>
      <w:pPr>
        <w:spacing w:after="0" w:line="185"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Payment of Taxes and other Claims</w:t>
      </w:r>
      <w:r>
        <w:rPr>
          <w:rFonts w:ascii="Arial" w:cs="Arial" w:eastAsia="Arial" w:hAnsi="Arial"/>
          <w:sz w:val="18"/>
          <w:szCs w:val="18"/>
          <w:color w:val="auto"/>
        </w:rPr>
        <w:t>. Each Obligor Party shall, and WIL-Ireland shall cause each Subsidiary to, pay or discharge or cause to be paid or discharged, before the same shall become delinquent, all Taxes levied or imposed upon such Obligor Party or such Subsidiary, as applicable, or upon the income, profits or property of such Obligor Party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such Subsidiary, as applicable, except for (i) such Taxes the non-payment or non-discharge of which would not, individually or in the aggregate, have a Material Adverse Effect and (ii) any such Tax whose amount, applicability or validity is being contested in good faith by appropriate proceedings and for which adequate reserves have been established in accordance with GAAP.</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u w:val="single" w:color="auto"/>
          <w:color w:val="auto"/>
        </w:rPr>
        <w:t>Existence</w:t>
      </w:r>
      <w:r>
        <w:rPr>
          <w:rFonts w:ascii="Arial" w:cs="Arial" w:eastAsia="Arial" w:hAnsi="Arial"/>
          <w:sz w:val="16"/>
          <w:szCs w:val="16"/>
          <w:color w:val="auto"/>
        </w:rPr>
        <w:t xml:space="preserve">. Except as expressly permitted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WIL-Ireland shall, and will cause each Restricted Subsidiary to, do all things necessary to (a) preserve and keep in full force and effect the corporate or other existence of WIL-Ireland or such Restricted Subsidiary as applicable (which, for the avoidance of doubt, shall not prohibit a change in corporate form or domiciliation), and (b) preserve and keep in full force and effect the rights and franchises of WIL-Ireland or such Restricted Subsidiary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(b) shall not require WIL-Ireland or such Restricted Subsidiary to preserve or maintain any rights or franchises if WIL-Ireland or such Restricted Subsidiary shall determine that (i) the preservation and maintenance thereof is no longer desirable in the conduct of the business of WIL-Ireland or such Restricted Subsidiary, taken as a</w:t>
      </w:r>
    </w:p>
    <w:p>
      <w:pPr>
        <w:sectPr>
          <w:pgSz w:w="11900" w:h="16934" w:orient="portrait"/>
          <w:cols w:equalWidth="0" w:num="1">
            <w:col w:w="11400"/>
          </w:cols>
          <w:pgMar w:left="240" w:top="125" w:right="259" w:bottom="0" w:gutter="0" w:footer="0" w:header="0"/>
        </w:sectPr>
      </w:pPr>
    </w:p>
    <w:bookmarkStart w:id="171" w:name="page172"/>
    <w:bookmarkEnd w:id="171"/>
    <w:p>
      <w:pPr>
        <w:ind w:right="220"/>
        <w:spacing w:after="0" w:line="277" w:lineRule="auto"/>
        <w:rPr>
          <w:sz w:val="20"/>
          <w:szCs w:val="20"/>
          <w:color w:val="auto"/>
        </w:rPr>
      </w:pPr>
      <w:r>
        <w:rPr>
          <w:rFonts w:ascii="Arial" w:cs="Arial" w:eastAsia="Arial" w:hAnsi="Arial"/>
          <w:sz w:val="18"/>
          <w:szCs w:val="18"/>
          <w:color w:val="auto"/>
        </w:rPr>
        <w:t>whole, and that the loss thereof is not disadvantageous in any material respect to the Lenders, or (ii) the failure to maintain and preserve the same could not reasonably be expected, in the aggregate, to result in a Material Adverse Effect.</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ERISA Compliance</w:t>
      </w:r>
      <w:r>
        <w:rPr>
          <w:rFonts w:ascii="Arial" w:cs="Arial" w:eastAsia="Arial" w:hAnsi="Arial"/>
          <w:sz w:val="18"/>
          <w:szCs w:val="18"/>
          <w:color w:val="auto"/>
        </w:rPr>
        <w:t>. WIL-Ireland and each Borrower shall, and shall cause each ERISA Affiliate to, comply with respect to each Plan and Multiemployer Plan, with all applicable provisions of ERISA and the Code, except to the extent that any failure to comply would not reasonably be expected to have a Material Adverse Effect.</w:t>
      </w:r>
    </w:p>
    <w:p>
      <w:pPr>
        <w:spacing w:after="0" w:line="181"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u w:val="single" w:color="auto"/>
          <w:color w:val="auto"/>
        </w:rPr>
        <w:t>Compliance with Laws and Material Contractual Obligations</w:t>
      </w:r>
      <w:r>
        <w:rPr>
          <w:rFonts w:ascii="Arial" w:cs="Arial" w:eastAsia="Arial" w:hAnsi="Arial"/>
          <w:sz w:val="16"/>
          <w:szCs w:val="16"/>
          <w:color w:val="auto"/>
        </w:rPr>
        <w:t>. WIL-Ireland will, and will cause each of its Subsidiaries to,</w:t>
      </w:r>
    </w:p>
    <w:p>
      <w:pPr>
        <w:spacing w:after="0" w:line="23" w:lineRule="exact"/>
        <w:rPr>
          <w:sz w:val="20"/>
          <w:szCs w:val="20"/>
          <w:color w:val="auto"/>
        </w:rPr>
      </w:pPr>
    </w:p>
    <w:p>
      <w:pPr>
        <w:ind w:left="220" w:hanging="212"/>
        <w:spacing w:after="0"/>
        <w:tabs>
          <w:tab w:leader="none" w:pos="22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comply with all laws, rules, regulations and orders of any Governmental Authority applicable to it or its property (including Environmental Laws) and</w:t>
      </w:r>
    </w:p>
    <w:p>
      <w:pPr>
        <w:spacing w:after="0" w:line="20" w:lineRule="exact"/>
        <w:rPr>
          <w:rFonts w:ascii="Arial" w:cs="Arial" w:eastAsia="Arial" w:hAnsi="Arial"/>
          <w:sz w:val="17"/>
          <w:szCs w:val="17"/>
          <w:color w:val="auto"/>
        </w:rPr>
      </w:pPr>
    </w:p>
    <w:p>
      <w:pPr>
        <w:jc w:val="both"/>
        <w:ind w:right="60" w:firstLine="8"/>
        <w:spacing w:after="0" w:line="254" w:lineRule="auto"/>
        <w:tabs>
          <w:tab w:leader="none" w:pos="265" w:val="left"/>
        </w:tabs>
        <w:numPr>
          <w:ilvl w:val="0"/>
          <w:numId w:val="411"/>
        </w:numPr>
        <w:rPr>
          <w:rFonts w:ascii="Arial" w:cs="Arial" w:eastAsia="Arial" w:hAnsi="Arial"/>
          <w:sz w:val="18"/>
          <w:szCs w:val="18"/>
          <w:color w:val="auto"/>
        </w:rPr>
      </w:pPr>
      <w:r>
        <w:rPr>
          <w:rFonts w:ascii="Arial" w:cs="Arial" w:eastAsia="Arial" w:hAnsi="Arial"/>
          <w:sz w:val="18"/>
          <w:szCs w:val="18"/>
          <w:color w:val="auto"/>
        </w:rPr>
        <w:t>perform in all material respects its obligations under material agreements to which it is a party, except in the case of each of clauses (i) and (ii) where the failure to do so, individually or in the aggregate, could not reasonably be expected to result in a Material Adverse Effect. WIL-Ireland will maintain in effect and enforce policies and procedures designed to ensure compliance by WIL-Ireland, its Subsidiaries and their respective directors, officers, employees and agents with Anti-Corruption Laws and applicable Sanctions.</w:t>
      </w:r>
    </w:p>
    <w:p>
      <w:pPr>
        <w:spacing w:after="0" w:line="190"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6"/>
          <w:szCs w:val="16"/>
          <w:u w:val="single" w:color="auto"/>
          <w:color w:val="auto"/>
        </w:rPr>
        <w:t>Additional Guarantors; Additional Collateral; Additional Specified Jurisdictions; Further Assurances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55" w:lineRule="auto"/>
        <w:tabs>
          <w:tab w:leader="none" w:pos="1942" w:val="left"/>
        </w:tabs>
        <w:numPr>
          <w:ilvl w:val="0"/>
          <w:numId w:val="412"/>
        </w:numPr>
        <w:rPr>
          <w:rFonts w:ascii="Arial" w:cs="Arial" w:eastAsia="Arial" w:hAnsi="Arial"/>
          <w:sz w:val="18"/>
          <w:szCs w:val="18"/>
          <w:color w:val="auto"/>
        </w:rPr>
      </w:pPr>
      <w:r>
        <w:rPr>
          <w:rFonts w:ascii="Arial" w:cs="Arial" w:eastAsia="Arial" w:hAnsi="Arial"/>
          <w:sz w:val="18"/>
          <w:szCs w:val="18"/>
          <w:color w:val="auto"/>
        </w:rPr>
        <w:t xml:space="preserve">If (i) as of the time of delivery of a Compliance Certificate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it is determined that any Restricted Subsidiary is a Material Specified Subsidiary that is organized in a Specified Jurisdiction, (ii) any Restricted Subsidiary Guarantees or otherwise becomes an obligor in respect of Indebtedness or other obligations under the Term Loan Facility or the RCF or any other third party Indebtedness for borrowed money of WIL-Bermuda or a Holdco Guarantor in an aggregate principal amount in excess of $20,000,000 or (iii) any Wholly-Owned Subsidiary that is not a Guarantor becomes a Borrower pursuant to </w:t>
      </w:r>
      <w:r>
        <w:rPr>
          <w:rFonts w:ascii="Arial" w:cs="Arial" w:eastAsia="Arial" w:hAnsi="Arial"/>
          <w:sz w:val="18"/>
          <w:szCs w:val="18"/>
          <w:u w:val="single" w:color="auto"/>
          <w:color w:val="auto"/>
        </w:rPr>
        <w:t>Section 11.01(c)</w:t>
      </w:r>
      <w:r>
        <w:rPr>
          <w:rFonts w:ascii="Arial" w:cs="Arial" w:eastAsia="Arial" w:hAnsi="Arial"/>
          <w:sz w:val="18"/>
          <w:szCs w:val="18"/>
          <w:color w:val="auto"/>
        </w:rPr>
        <w:t>, WIL-Ireland shall (A) with respect to a determination made pursuant to clause (a)(i) above, within 45 days (or such later date as may be agreed upon by the Administrative Agent in its sole discretion) after such determination (or, in the case of a Material Specified</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Subsidiary organized in a new Specified Jurisdiction, 45 days after the Administrative Agent designates such new Specified Jurisdiction pursuant to</w:t>
      </w:r>
    </w:p>
    <w:p>
      <w:pPr>
        <w:spacing w:after="0" w:line="35" w:lineRule="exact"/>
        <w:rPr>
          <w:sz w:val="20"/>
          <w:szCs w:val="20"/>
          <w:color w:val="auto"/>
        </w:rPr>
      </w:pPr>
    </w:p>
    <w:p>
      <w:pPr>
        <w:spacing w:after="0" w:line="287" w:lineRule="auto"/>
        <w:rPr>
          <w:sz w:val="20"/>
          <w:szCs w:val="20"/>
          <w:color w:val="auto"/>
        </w:rPr>
      </w:pPr>
      <w:r>
        <w:rPr>
          <w:rFonts w:ascii="Arial" w:cs="Arial" w:eastAsia="Arial" w:hAnsi="Arial"/>
          <w:sz w:val="16"/>
          <w:szCs w:val="16"/>
          <w:u w:val="single" w:color="auto"/>
          <w:color w:val="auto"/>
        </w:rPr>
        <w:t>Section 7.08(b)</w:t>
      </w:r>
      <w:r>
        <w:rPr>
          <w:rFonts w:ascii="Arial" w:cs="Arial" w:eastAsia="Arial" w:hAnsi="Arial"/>
          <w:sz w:val="16"/>
          <w:szCs w:val="16"/>
          <w:color w:val="auto"/>
        </w:rPr>
        <w:t xml:space="preserve">, as such time period may be extended by the Administrative Agent in its sole discretion), (B) with respect any Guarantee provided pursuant to clause </w:t>
      </w:r>
      <w:r>
        <w:rPr>
          <w:rFonts w:ascii="Arial" w:cs="Arial" w:eastAsia="Arial" w:hAnsi="Arial"/>
          <w:sz w:val="16"/>
          <w:szCs w:val="16"/>
          <w:u w:val="single" w:color="auto"/>
          <w:color w:val="auto"/>
        </w:rPr>
        <w:t>(a)(ii)</w:t>
      </w:r>
      <w:r>
        <w:rPr>
          <w:rFonts w:ascii="Arial" w:cs="Arial" w:eastAsia="Arial" w:hAnsi="Arial"/>
          <w:sz w:val="16"/>
          <w:szCs w:val="16"/>
          <w:color w:val="auto"/>
        </w:rPr>
        <w:t xml:space="preserve"> immediately above, contemporaneously with the provision of such Guarantee or (C) with respect to becoming a Borrower as described in clause </w:t>
      </w:r>
      <w:r>
        <w:rPr>
          <w:rFonts w:ascii="Arial" w:cs="Arial" w:eastAsia="Arial" w:hAnsi="Arial"/>
          <w:sz w:val="16"/>
          <w:szCs w:val="16"/>
          <w:u w:val="single" w:color="auto"/>
          <w:color w:val="auto"/>
        </w:rPr>
        <w:t>(a)(iii)</w:t>
      </w:r>
      <w:r>
        <w:rPr>
          <w:rFonts w:ascii="Arial" w:cs="Arial" w:eastAsia="Arial" w:hAnsi="Arial"/>
          <w:sz w:val="16"/>
          <w:szCs w:val="16"/>
          <w:color w:val="auto"/>
        </w:rPr>
        <w:t xml:space="preserve"> immediately above, contemporaneously therewith, cause such Restricted Subsidiary to (1) become a Guarantor by delivering to the Administrative Agent a duly executed Guaranty Agreement or supplement to a Guaranty Agreement or such other document as the Administrative Agent shall deem appropriate for such purpose, (2) deliver to the Administrative Agent such opinions (including an opinion as to such Guarantor’s ability to guarantee the Guaranteed Obligations pursuant to such Guaranty Agreement, supplement or other document), organizational and authorization documents and certificates of the type referred to in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as may be reasonably requested by the Administrative Agent and (3) deliver to the Administrative Agent such other documents as may be reasonably requested by the Administrative Agent, all in form, content and scope reasonably satisfactory to the Administrative Agent.</w:t>
      </w:r>
    </w:p>
    <w:p>
      <w:pPr>
        <w:spacing w:after="0" w:line="170" w:lineRule="exact"/>
        <w:rPr>
          <w:sz w:val="20"/>
          <w:szCs w:val="20"/>
          <w:color w:val="auto"/>
        </w:rPr>
      </w:pPr>
    </w:p>
    <w:p>
      <w:pPr>
        <w:jc w:val="both"/>
        <w:ind w:right="80" w:firstLine="1305"/>
        <w:spacing w:after="0" w:line="259" w:lineRule="auto"/>
        <w:tabs>
          <w:tab w:leader="none" w:pos="1952" w:val="left"/>
        </w:tabs>
        <w:numPr>
          <w:ilvl w:val="0"/>
          <w:numId w:val="413"/>
        </w:numPr>
        <w:rPr>
          <w:rFonts w:ascii="Arial" w:cs="Arial" w:eastAsia="Arial" w:hAnsi="Arial"/>
          <w:sz w:val="18"/>
          <w:szCs w:val="18"/>
          <w:color w:val="auto"/>
        </w:rPr>
      </w:pPr>
      <w:r>
        <w:rPr>
          <w:rFonts w:ascii="Arial" w:cs="Arial" w:eastAsia="Arial" w:hAnsi="Arial"/>
          <w:sz w:val="18"/>
          <w:szCs w:val="18"/>
          <w:color w:val="auto"/>
        </w:rPr>
        <w:t xml:space="preserve">If, in the most recent Compliance Certificate delivered pursuant to </w:t>
      </w:r>
      <w:r>
        <w:rPr>
          <w:rFonts w:ascii="Arial" w:cs="Arial" w:eastAsia="Arial" w:hAnsi="Arial"/>
          <w:sz w:val="18"/>
          <w:szCs w:val="18"/>
          <w:u w:val="single" w:color="auto"/>
          <w:color w:val="auto"/>
        </w:rPr>
        <w:t>Section 7.01(e)</w:t>
      </w:r>
      <w:r>
        <w:rPr>
          <w:rFonts w:ascii="Arial" w:cs="Arial" w:eastAsia="Arial" w:hAnsi="Arial"/>
          <w:sz w:val="18"/>
          <w:szCs w:val="18"/>
          <w:color w:val="auto"/>
        </w:rPr>
        <w:t>, WIL-Ireland identifies any Material Specified Subsidiary that is organized in a jurisdiction that is not a then existing Specified Jurisdiction or an Excluded Jurisdiction, then the Administrative Agent shall have the right to designate such jurisdiction as a Specified Jurisdiction by providing written notice of such designation to WIL-Ireland, which designation shall be deemed to take effect on the Business Day such designation is made.</w:t>
      </w:r>
    </w:p>
    <w:p>
      <w:pPr>
        <w:spacing w:after="0" w:line="186" w:lineRule="exact"/>
        <w:rPr>
          <w:rFonts w:ascii="Arial" w:cs="Arial" w:eastAsia="Arial" w:hAnsi="Arial"/>
          <w:sz w:val="18"/>
          <w:szCs w:val="18"/>
          <w:color w:val="auto"/>
        </w:rPr>
      </w:pPr>
    </w:p>
    <w:p>
      <w:pPr>
        <w:ind w:right="60" w:firstLine="1305"/>
        <w:spacing w:after="0" w:line="270" w:lineRule="auto"/>
        <w:tabs>
          <w:tab w:leader="none" w:pos="1955" w:val="left"/>
        </w:tabs>
        <w:numPr>
          <w:ilvl w:val="0"/>
          <w:numId w:val="413"/>
        </w:numPr>
        <w:rPr>
          <w:rFonts w:ascii="Arial" w:cs="Arial" w:eastAsia="Arial" w:hAnsi="Arial"/>
          <w:sz w:val="17"/>
          <w:szCs w:val="17"/>
          <w:color w:val="auto"/>
        </w:rPr>
      </w:pPr>
      <w:r>
        <w:rPr>
          <w:rFonts w:ascii="Arial" w:cs="Arial" w:eastAsia="Arial" w:hAnsi="Arial"/>
          <w:sz w:val="17"/>
          <w:szCs w:val="17"/>
          <w:color w:val="auto"/>
        </w:rPr>
        <w:t xml:space="preserve">In the case of (i) any Person (other than an Initial Secured Obligor or a Subsidiary of WIL-Ireland that is required to become a Secured Obligor pursuant to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that becomes an Obligor pursuant to this </w:t>
      </w:r>
      <w:r>
        <w:rPr>
          <w:rFonts w:ascii="Arial" w:cs="Arial" w:eastAsia="Arial" w:hAnsi="Arial"/>
          <w:sz w:val="17"/>
          <w:szCs w:val="17"/>
          <w:u w:val="single" w:color="auto"/>
          <w:color w:val="auto"/>
        </w:rPr>
        <w:t>Section 7.08</w:t>
      </w:r>
      <w:r>
        <w:rPr>
          <w:rFonts w:ascii="Arial" w:cs="Arial" w:eastAsia="Arial" w:hAnsi="Arial"/>
          <w:sz w:val="17"/>
          <w:szCs w:val="17"/>
          <w:color w:val="auto"/>
        </w:rPr>
        <w:t xml:space="preserve"> or (ii) any Person that is an Obligor, but not a Secured Obligor, on the Closing Date, in the case of clause (i) or (ii), to the extent such Obligor is an Eligible Current Assets Collateral Grantor, WIL-Bermuda may elect, in its sole discretion, to cause such Person to deliver to the Administrative Agent and the Collateral Agent Collateral Documents and the Intercreditor Agreement (or one or more joinders thereto) reasonably satisfactory to the Collateral Agent pursuant to which such Person agrees to be bound by the terms and provisions thereof, to be accompanied, upon the reasonable request of the Collateral Agent, by appropriate corporate resolutions, other corporate documentation and legal opinions in form and substance reasonably satisfactory to the Collateral Agent and its counsel. Notwithstanding anything to the contrary herein, (i) none of WIL-Ireland nor any of its Subsidiaries shall become a party to any Collateral Document or the Intercreditor Agreement unless such Person is an Eligible Current Assets Collateral Grantor and (ii) no Eligible Current Assets Collateral Grantor shall have any obligation to provide a Lien on any Current Assets that are not subject to a Lien securing the Term Loan Obligations.</w:t>
      </w:r>
    </w:p>
    <w:p>
      <w:pPr>
        <w:spacing w:after="0" w:line="177" w:lineRule="exact"/>
        <w:rPr>
          <w:rFonts w:ascii="Arial" w:cs="Arial" w:eastAsia="Arial" w:hAnsi="Arial"/>
          <w:sz w:val="17"/>
          <w:szCs w:val="17"/>
          <w:color w:val="auto"/>
        </w:rPr>
      </w:pPr>
    </w:p>
    <w:p>
      <w:pPr>
        <w:ind w:firstLine="1305"/>
        <w:spacing w:after="0" w:line="312" w:lineRule="auto"/>
        <w:tabs>
          <w:tab w:leader="none" w:pos="1952" w:val="left"/>
        </w:tabs>
        <w:numPr>
          <w:ilvl w:val="0"/>
          <w:numId w:val="413"/>
        </w:numPr>
        <w:rPr>
          <w:rFonts w:ascii="Arial" w:cs="Arial" w:eastAsia="Arial" w:hAnsi="Arial"/>
          <w:sz w:val="16"/>
          <w:szCs w:val="16"/>
          <w:color w:val="auto"/>
        </w:rPr>
      </w:pPr>
      <w:r>
        <w:rPr>
          <w:rFonts w:ascii="Arial" w:cs="Arial" w:eastAsia="Arial" w:hAnsi="Arial"/>
          <w:sz w:val="16"/>
          <w:szCs w:val="16"/>
          <w:color w:val="auto"/>
        </w:rPr>
        <w:t>As promptly as possible but in any event within 45 days (or such later date as may be agreed upon by the Administrative Agent) after any Secured Obligor acquires any Current Asset that is not an Excluded Asset and is not already subject to a second priority, perfected (or any analogous concept to the extent perfection does not apply in the relevant jurisdiction) Lien in accordance with the Collateral Documents, such Secured Obligor shall</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cause such personal property to be subject to a perfected (or any analogous concept to the extent perfection does not apply in the relevant jurisdiction) Lien in favor of the Collateral Agent for the benefit of the Secured Parties to secure the Secured Obligations in accordance with the terms and conditions of, and subject to the exceptions set forth in, the Collateral Documents, having priority over all other Liens on the Collateral except for Liens permitted by</w:t>
      </w:r>
    </w:p>
    <w:p>
      <w:pPr>
        <w:ind w:right="400"/>
        <w:spacing w:after="0" w:line="261" w:lineRule="auto"/>
        <w:rPr>
          <w:sz w:val="20"/>
          <w:szCs w:val="20"/>
          <w:color w:val="auto"/>
        </w:rPr>
      </w:pPr>
      <w:r>
        <w:rPr>
          <w:rFonts w:ascii="Arial" w:cs="Arial" w:eastAsia="Arial" w:hAnsi="Arial"/>
          <w:sz w:val="18"/>
          <w:szCs w:val="18"/>
          <w:u w:val="single" w:color="auto"/>
          <w:color w:val="auto"/>
        </w:rPr>
        <w:t>Section 8.04</w:t>
      </w:r>
      <w:r>
        <w:rPr>
          <w:rFonts w:ascii="Arial" w:cs="Arial" w:eastAsia="Arial" w:hAnsi="Arial"/>
          <w:sz w:val="18"/>
          <w:szCs w:val="18"/>
          <w:color w:val="auto"/>
        </w:rPr>
        <w:t>; provided, that notwithstanding anything to the contrary set forth herein or in any other Loan Document, no Secured Obligor shall have any obligation to provide a Lien on any Current Assets that are not subject to a Lien securing the Term Loan Obligations.</w:t>
      </w:r>
    </w:p>
    <w:p>
      <w:pPr>
        <w:spacing w:after="0" w:line="184" w:lineRule="exact"/>
        <w:rPr>
          <w:sz w:val="20"/>
          <w:szCs w:val="20"/>
          <w:color w:val="auto"/>
        </w:rPr>
      </w:pPr>
    </w:p>
    <w:p>
      <w:pPr>
        <w:ind w:right="40" w:firstLine="1305"/>
        <w:spacing w:after="0" w:line="291" w:lineRule="auto"/>
        <w:tabs>
          <w:tab w:leader="none" w:pos="1955" w:val="left"/>
        </w:tabs>
        <w:numPr>
          <w:ilvl w:val="0"/>
          <w:numId w:val="414"/>
        </w:numPr>
        <w:rPr>
          <w:rFonts w:ascii="Arial" w:cs="Arial" w:eastAsia="Arial" w:hAnsi="Arial"/>
          <w:sz w:val="16"/>
          <w:szCs w:val="16"/>
          <w:color w:val="auto"/>
        </w:rPr>
      </w:pPr>
      <w:r>
        <w:rPr>
          <w:rFonts w:ascii="Arial" w:cs="Arial" w:eastAsia="Arial" w:hAnsi="Arial"/>
          <w:sz w:val="16"/>
          <w:szCs w:val="16"/>
          <w:color w:val="auto"/>
        </w:rPr>
        <w:t xml:space="preserve">Without limiting the foregoing, WIL-Ireland shall, and shall cause each Secured Obligor to, execute and deliver, or cause to be executed and delivered, to the Administrative Agent and the Collateral Agent such documents, agreements, instruments, forms and notices and will take or cause to be taken such further actions (including the filing and recording of financing statements and other documents serving notices of assignment and such other actions or deliveries of the type required by </w:t>
      </w:r>
      <w:r>
        <w:rPr>
          <w:rFonts w:ascii="Arial" w:cs="Arial" w:eastAsia="Arial" w:hAnsi="Arial"/>
          <w:sz w:val="16"/>
          <w:szCs w:val="16"/>
          <w:u w:val="single" w:color="auto"/>
          <w:color w:val="auto"/>
        </w:rPr>
        <w:t>Section 5.01</w:t>
      </w:r>
      <w:r>
        <w:rPr>
          <w:rFonts w:ascii="Arial" w:cs="Arial" w:eastAsia="Arial" w:hAnsi="Arial"/>
          <w:sz w:val="16"/>
          <w:szCs w:val="16"/>
          <w:color w:val="auto"/>
        </w:rPr>
        <w:t>, as applicable), which may be required by law or which the Administrative Agent or the Collateral Agent may, from time to time, reasonably request to carry out the terms and conditions of this Agreement and the other Loan Documents and to ensure perfection (or any analogous concept to the extent perfection does not apply in the relevant jurisdiction) and, subject to the Intercreditor Agreement, priority of the Liens created or intended to be created by the Collateral Documents, all at the expense of the Secured Obligors.</w:t>
      </w:r>
    </w:p>
    <w:p>
      <w:pPr>
        <w:sectPr>
          <w:pgSz w:w="11900" w:h="16838" w:orient="portrait"/>
          <w:cols w:equalWidth="0" w:num="1">
            <w:col w:w="11400"/>
          </w:cols>
          <w:pgMar w:left="240" w:top="125" w:right="259" w:bottom="0" w:gutter="0" w:footer="0" w:header="0"/>
        </w:sectPr>
      </w:pPr>
    </w:p>
    <w:bookmarkStart w:id="172" w:name="page173"/>
    <w:bookmarkEnd w:id="172"/>
    <w:p>
      <w:pPr>
        <w:spacing w:after="0" w:line="107" w:lineRule="exact"/>
        <w:rPr>
          <w:sz w:val="20"/>
          <w:szCs w:val="20"/>
          <w:color w:val="auto"/>
        </w:rPr>
      </w:pPr>
    </w:p>
    <w:p>
      <w:pPr>
        <w:ind w:right="160" w:firstLine="1305"/>
        <w:spacing w:after="0" w:line="272" w:lineRule="auto"/>
        <w:tabs>
          <w:tab w:leader="none" w:pos="1949" w:val="left"/>
        </w:tabs>
        <w:numPr>
          <w:ilvl w:val="0"/>
          <w:numId w:val="415"/>
        </w:numPr>
        <w:rPr>
          <w:rFonts w:ascii="Arial" w:cs="Arial" w:eastAsia="Arial" w:hAnsi="Arial"/>
          <w:sz w:val="17"/>
          <w:szCs w:val="17"/>
          <w:color w:val="auto"/>
        </w:rPr>
      </w:pPr>
      <w:r>
        <w:rPr>
          <w:rFonts w:ascii="Arial" w:cs="Arial" w:eastAsia="Arial" w:hAnsi="Arial"/>
          <w:sz w:val="17"/>
          <w:szCs w:val="17"/>
          <w:color w:val="auto"/>
        </w:rPr>
        <w:t xml:space="preserve">At any time, at its option, WIL-Ireland may cause any Subsidiary to (i) become a Guarantor by delivering to the Administrative Agent a duly executed Guaranty Agreement or supplement to a Guaranty Agreement or such other document as the Administrative Agent shall deem appropriate for such purpose, (ii) deliver to the Administrative Agent such opinions (including an opinion as to such Guarantor’s ability to guarantee the Guaranteed Obligations pursuant to such Guaranty Agreement, supplement or other document), organizational and authorization documents and certificates of the type referred to in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as may be reasonably requested by the Administrative Agent and (iii) deliver to the Administrative Agent such other documents as may be reasonably requested by the Administrative Agent, all in form, content and scope reasonably satisfactory to the Administrative Agent (any such Subsidiary, an “</w:t>
      </w:r>
      <w:r>
        <w:rPr>
          <w:rFonts w:ascii="Arial" w:cs="Arial" w:eastAsia="Arial" w:hAnsi="Arial"/>
          <w:sz w:val="17"/>
          <w:szCs w:val="17"/>
          <w:u w:val="single" w:color="auto"/>
          <w:color w:val="auto"/>
        </w:rPr>
        <w:t>Added Optional Guarantor</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firstLine="1305"/>
        <w:spacing w:after="0" w:line="291" w:lineRule="auto"/>
        <w:tabs>
          <w:tab w:leader="none" w:pos="1965" w:val="left"/>
        </w:tabs>
        <w:numPr>
          <w:ilvl w:val="0"/>
          <w:numId w:val="415"/>
        </w:numPr>
        <w:rPr>
          <w:rFonts w:ascii="Arial" w:cs="Arial" w:eastAsia="Arial" w:hAnsi="Arial"/>
          <w:sz w:val="16"/>
          <w:szCs w:val="16"/>
          <w:color w:val="auto"/>
        </w:rPr>
      </w:pPr>
      <w:r>
        <w:rPr>
          <w:rFonts w:ascii="Arial" w:cs="Arial" w:eastAsia="Arial" w:hAnsi="Arial"/>
          <w:sz w:val="16"/>
          <w:szCs w:val="16"/>
          <w:color w:val="auto"/>
        </w:rPr>
        <w:t>Notwithstanding anything contained herein or in any other Loan Document to the contrary (including any representation, warranty, covenant or Event of Default requiring the Secured Obligors to maintain a perfected or prior Lien on all or any portion of the Collateral), (i) at no time shall any deposit account of any Secured Obligor that is maintained in any jurisdiction that is not a Specified Jurisdiction be required to be subject to a Deposit Account Control Agreement (as defined in the US Security Agreement), any other similar tri-party control agreement or any security instrument governed by the laws of such jurisdiction, (ii) no Secured Obligor shall be required to take any actions in, or under the laws of, such jurisdiction in order to create, maintain or perfect a security interest in such deposit account and (iii) no Secured Obligor that is party to a Security Agreement shall be required to enter into any separate pledge agreement, charge over shares or other similar agreement, or any other security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pursuant to which such Secured Obligor grants Liens solely on any Capital Stock owned by such Secured Obligor to secure the Secured Obligations.</w:t>
      </w:r>
    </w:p>
    <w:p>
      <w:pPr>
        <w:spacing w:after="0" w:line="237"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6"/>
          <w:szCs w:val="16"/>
          <w:u w:val="single" w:color="auto"/>
          <w:color w:val="auto"/>
        </w:rPr>
        <w:t>Designation of Unrestricted Subsidiaries; Redesignation of Unrestricted Subsidiaries as Restricted Subsidiaries</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416"/>
        </w:numPr>
        <w:rPr>
          <w:rFonts w:ascii="Arial" w:cs="Arial" w:eastAsia="Arial" w:hAnsi="Arial"/>
          <w:sz w:val="16"/>
          <w:szCs w:val="16"/>
          <w:color w:val="auto"/>
        </w:rPr>
      </w:pPr>
      <w:r>
        <w:rPr>
          <w:rFonts w:ascii="Arial" w:cs="Arial" w:eastAsia="Arial" w:hAnsi="Arial"/>
          <w:sz w:val="16"/>
          <w:szCs w:val="16"/>
          <w:color w:val="auto"/>
        </w:rPr>
        <w:t xml:space="preserve">Unless designated as an Unrestricted Subsidiary pursuant to this </w:t>
      </w:r>
      <w:r>
        <w:rPr>
          <w:rFonts w:ascii="Arial" w:cs="Arial" w:eastAsia="Arial" w:hAnsi="Arial"/>
          <w:sz w:val="16"/>
          <w:szCs w:val="16"/>
          <w:u w:val="single" w:color="auto"/>
          <w:color w:val="auto"/>
        </w:rPr>
        <w:t>Section 7.09</w:t>
      </w:r>
      <w:r>
        <w:rPr>
          <w:rFonts w:ascii="Arial" w:cs="Arial" w:eastAsia="Arial" w:hAnsi="Arial"/>
          <w:sz w:val="16"/>
          <w:szCs w:val="16"/>
          <w:color w:val="auto"/>
        </w:rPr>
        <w:t>, each Subsidiary shall be classified as a Restricted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211" w:lineRule="exact"/>
        <w:rPr>
          <w:sz w:val="20"/>
          <w:szCs w:val="20"/>
          <w:color w:val="auto"/>
        </w:rPr>
      </w:pPr>
    </w:p>
    <w:p>
      <w:pPr>
        <w:jc w:val="both"/>
        <w:ind w:right="360" w:firstLine="1305"/>
        <w:spacing w:after="0" w:line="264" w:lineRule="auto"/>
        <w:tabs>
          <w:tab w:leader="none" w:pos="1952" w:val="left"/>
        </w:tabs>
        <w:numPr>
          <w:ilvl w:val="1"/>
          <w:numId w:val="417"/>
        </w:numPr>
        <w:rPr>
          <w:rFonts w:ascii="Arial" w:cs="Arial" w:eastAsia="Arial" w:hAnsi="Arial"/>
          <w:sz w:val="18"/>
          <w:szCs w:val="18"/>
          <w:color w:val="auto"/>
        </w:rPr>
      </w:pPr>
      <w:r>
        <w:rPr>
          <w:rFonts w:ascii="Arial" w:cs="Arial" w:eastAsia="Arial" w:hAnsi="Arial"/>
          <w:sz w:val="18"/>
          <w:szCs w:val="18"/>
          <w:color w:val="auto"/>
        </w:rPr>
        <w:t>If WIL-Ireland designates any Subsidiary as an Unrestricted Subsidiary pursuant to paragraph (c) below, WIL-Ireland shall be deemed to have made an Investment in such Unrestricted Subsidiary in an amount equal to the fair market value as of the date of such designation of the consolidated assets of such Subsidiary.</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417"/>
        </w:numPr>
        <w:rPr>
          <w:rFonts w:ascii="Arial" w:cs="Arial" w:eastAsia="Arial" w:hAnsi="Arial"/>
          <w:sz w:val="17"/>
          <w:szCs w:val="17"/>
          <w:color w:val="auto"/>
        </w:rPr>
      </w:pPr>
      <w:r>
        <w:rPr>
          <w:rFonts w:ascii="Arial" w:cs="Arial" w:eastAsia="Arial" w:hAnsi="Arial"/>
          <w:sz w:val="17"/>
          <w:szCs w:val="17"/>
          <w:color w:val="auto"/>
        </w:rPr>
        <w:t>WIL-Ireland may designate, by written notice to the Administrative Agent, any Subsidiary to be an Unrestricted Subsidiary if</w:t>
      </w:r>
    </w:p>
    <w:p>
      <w:pPr>
        <w:spacing w:after="0" w:line="34" w:lineRule="exact"/>
        <w:rPr>
          <w:rFonts w:ascii="Arial" w:cs="Arial" w:eastAsia="Arial" w:hAnsi="Arial"/>
          <w:sz w:val="17"/>
          <w:szCs w:val="17"/>
          <w:color w:val="auto"/>
        </w:rPr>
      </w:pPr>
    </w:p>
    <w:p>
      <w:pPr>
        <w:ind w:right="180" w:firstLine="8"/>
        <w:spacing w:after="0" w:line="253" w:lineRule="auto"/>
        <w:tabs>
          <w:tab w:leader="none" w:pos="215" w:val="left"/>
        </w:tabs>
        <w:numPr>
          <w:ilvl w:val="0"/>
          <w:numId w:val="418"/>
        </w:numPr>
        <w:rPr>
          <w:rFonts w:ascii="Arial" w:cs="Arial" w:eastAsia="Arial" w:hAnsi="Arial"/>
          <w:sz w:val="18"/>
          <w:szCs w:val="18"/>
          <w:color w:val="auto"/>
        </w:rPr>
      </w:pPr>
      <w:r>
        <w:rPr>
          <w:rFonts w:ascii="Arial" w:cs="Arial" w:eastAsia="Arial" w:hAnsi="Arial"/>
          <w:sz w:val="18"/>
          <w:szCs w:val="18"/>
          <w:color w:val="auto"/>
        </w:rPr>
        <w:t xml:space="preserve">before and after giving effect to such designation, no Default or Event of Default shall exist, (ii) WIL-Ireland shall be in pro forma compliance with the Financial Covenants both before and after giving effect to such designation, (iii) the deemed Investment by WIL-Ireland in such Unrestricted Subsidiary resulting from such designation would be permitted to be made at the time of such designation under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and (iv) such Subsidiary otherwise meets the requirements set forth in the definition of “Unrestricted Subsidiary”. Such written notice shall be accompanied by a certificate of a Principal Financial Officer, certifying as to the matters set forth in the preceding sentence.</w:t>
      </w:r>
    </w:p>
    <w:p>
      <w:pPr>
        <w:spacing w:after="0" w:line="191" w:lineRule="exact"/>
        <w:rPr>
          <w:rFonts w:ascii="Arial" w:cs="Arial" w:eastAsia="Arial" w:hAnsi="Arial"/>
          <w:sz w:val="18"/>
          <w:szCs w:val="18"/>
          <w:color w:val="auto"/>
        </w:rPr>
      </w:pPr>
    </w:p>
    <w:p>
      <w:pPr>
        <w:ind w:left="1960" w:hanging="655"/>
        <w:spacing w:after="0"/>
        <w:tabs>
          <w:tab w:leader="none" w:pos="1960" w:val="left"/>
        </w:tabs>
        <w:numPr>
          <w:ilvl w:val="1"/>
          <w:numId w:val="418"/>
        </w:numPr>
        <w:rPr>
          <w:rFonts w:ascii="Arial" w:cs="Arial" w:eastAsia="Arial" w:hAnsi="Arial"/>
          <w:sz w:val="16"/>
          <w:szCs w:val="16"/>
          <w:color w:val="auto"/>
        </w:rPr>
      </w:pPr>
      <w:r>
        <w:rPr>
          <w:rFonts w:ascii="Arial" w:cs="Arial" w:eastAsia="Arial" w:hAnsi="Arial"/>
          <w:sz w:val="16"/>
          <w:szCs w:val="16"/>
          <w:color w:val="auto"/>
        </w:rPr>
        <w:t>WIL-Ireland may designate any Unrestricted Subsidiary to be a Restricted Subsidiary if, after giving effect to such designation:</w:t>
      </w:r>
    </w:p>
    <w:p>
      <w:pPr>
        <w:spacing w:after="0" w:line="46" w:lineRule="exact"/>
        <w:rPr>
          <w:rFonts w:ascii="Arial" w:cs="Arial" w:eastAsia="Arial" w:hAnsi="Arial"/>
          <w:sz w:val="16"/>
          <w:szCs w:val="16"/>
          <w:color w:val="auto"/>
        </w:rPr>
      </w:pPr>
    </w:p>
    <w:p>
      <w:pPr>
        <w:ind w:right="20" w:firstLine="8"/>
        <w:spacing w:after="0" w:line="287" w:lineRule="auto"/>
        <w:tabs>
          <w:tab w:leader="none" w:pos="215" w:val="left"/>
        </w:tabs>
        <w:numPr>
          <w:ilvl w:val="0"/>
          <w:numId w:val="419"/>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Obligors contained in each of the Loan Documents are true and correct in all material respects (or, in the case of any such representations and warranties that are qualified as to materiality in the text thereof, such representations and warranties must be true and correct in all respects) on and as of the date of such designation as if made on and as of the date of such designation (or, if stated to have been made expressly as of an earlier date, were true and correct in all material respects as of such date), (ii) no Default or Event of Default would exist, (iii) any Indebtedness of such Subsidiary (which shall be deemed to be incurred by a Restricted Subsidiary as of the date of designation) is permitted to be incurred as of such date under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(iv) any Liens on assets of such Subsidiary (which shall be deemed to be created or incurred by a Restricted Subsidiary as of the date of designation) are permitted to be created or incurred as of such date under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and (v) Investments in or of such Subsidiary (which shall be deemed to be created or incurred by a Restricted Subsidiary as of the date of designation) are permitted to be created or incurred as of such date under </w:t>
      </w:r>
      <w:r>
        <w:rPr>
          <w:rFonts w:ascii="Arial" w:cs="Arial" w:eastAsia="Arial" w:hAnsi="Arial"/>
          <w:sz w:val="16"/>
          <w:szCs w:val="16"/>
          <w:u w:val="single" w:color="auto"/>
          <w:color w:val="auto"/>
        </w:rPr>
        <w:t>Section 8.06</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right="640" w:firstLine="1305"/>
        <w:spacing w:after="0" w:line="264" w:lineRule="auto"/>
        <w:tabs>
          <w:tab w:leader="none" w:pos="1955" w:val="left"/>
        </w:tabs>
        <w:numPr>
          <w:ilvl w:val="1"/>
          <w:numId w:val="419"/>
        </w:numPr>
        <w:rPr>
          <w:rFonts w:ascii="Arial" w:cs="Arial" w:eastAsia="Arial" w:hAnsi="Arial"/>
          <w:sz w:val="18"/>
          <w:szCs w:val="18"/>
          <w:color w:val="auto"/>
        </w:rPr>
      </w:pPr>
      <w:r>
        <w:rPr>
          <w:rFonts w:ascii="Arial" w:cs="Arial" w:eastAsia="Arial" w:hAnsi="Arial"/>
          <w:sz w:val="18"/>
          <w:szCs w:val="18"/>
          <w:color w:val="auto"/>
        </w:rPr>
        <w:t xml:space="preserve">Any merger, consolidation or amalgamation of an Unrestricted Subsidiary into a Restricted Subsidiary shall be deemed to constitute a designation of such Unrestricted Subsidiary as a Restricted Subsidiary for purposes of this Agreement and, as such, must be permitted by </w:t>
      </w:r>
      <w:r>
        <w:rPr>
          <w:rFonts w:ascii="Arial" w:cs="Arial" w:eastAsia="Arial" w:hAnsi="Arial"/>
          <w:sz w:val="18"/>
          <w:szCs w:val="18"/>
          <w:u w:val="single" w:color="auto"/>
          <w:color w:val="auto"/>
        </w:rPr>
        <w:t>Section 7.09(d)</w:t>
      </w:r>
      <w:r>
        <w:rPr>
          <w:rFonts w:ascii="Arial" w:cs="Arial" w:eastAsia="Arial" w:hAnsi="Arial"/>
          <w:sz w:val="18"/>
          <w:szCs w:val="18"/>
          <w:color w:val="auto"/>
        </w:rPr>
        <w:t xml:space="preserve"> (in addition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any other relevant provisions herein).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Notwithstanding the foregoing or anything to the contrary contained herein, no Obligor may be an Unrestricted Subsidiary.</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SECTION 7.10</w:t>
      </w:r>
      <w:r>
        <w:rPr>
          <w:rFonts w:ascii="Arial" w:cs="Arial" w:eastAsia="Arial" w:hAnsi="Arial"/>
          <w:sz w:val="16"/>
          <w:szCs w:val="16"/>
          <w:u w:val="single" w:color="auto"/>
          <w:color w:val="auto"/>
        </w:rPr>
        <w:t>More Favorable Financial Covenants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86" w:lineRule="auto"/>
        <w:tabs>
          <w:tab w:leader="none" w:pos="1942" w:val="left"/>
        </w:tabs>
        <w:numPr>
          <w:ilvl w:val="1"/>
          <w:numId w:val="421"/>
        </w:numPr>
        <w:rPr>
          <w:rFonts w:ascii="Arial" w:cs="Arial" w:eastAsia="Arial" w:hAnsi="Arial"/>
          <w:sz w:val="16"/>
          <w:szCs w:val="16"/>
          <w:color w:val="auto"/>
        </w:rPr>
      </w:pPr>
      <w:r>
        <w:rPr>
          <w:rFonts w:ascii="Arial" w:cs="Arial" w:eastAsia="Arial" w:hAnsi="Arial"/>
          <w:sz w:val="16"/>
          <w:szCs w:val="16"/>
          <w:color w:val="auto"/>
        </w:rPr>
        <w:t>If, on any date, any Other Debt Agreement governing Indebtedness and/or letters of credit, bank guaranties and bankers’ acceptances in a principal amount in excess of $20,000,000 (with committed but unutilized amounts under such Other Debt Agreement being deemed fully drawn for purposes of measuring such limit) includes one or more Additional Financial Covenants (including, for the avoidance of doubt, as a result of any amendment, supplement, waiver or other modification to any Other Debt Agreement causing it to contain one or more Additional Financial Covenants), then</w:t>
      </w:r>
    </w:p>
    <w:p>
      <w:pPr>
        <w:spacing w:after="0" w:line="1" w:lineRule="exact"/>
        <w:rPr>
          <w:rFonts w:ascii="Arial" w:cs="Arial" w:eastAsia="Arial" w:hAnsi="Arial"/>
          <w:sz w:val="16"/>
          <w:szCs w:val="16"/>
          <w:color w:val="auto"/>
        </w:rPr>
      </w:pPr>
    </w:p>
    <w:p>
      <w:pPr>
        <w:ind w:right="100" w:firstLine="8"/>
        <w:spacing w:after="0" w:line="269" w:lineRule="auto"/>
        <w:tabs>
          <w:tab w:leader="none" w:pos="215" w:val="left"/>
        </w:tabs>
        <w:numPr>
          <w:ilvl w:val="0"/>
          <w:numId w:val="422"/>
        </w:numPr>
        <w:rPr>
          <w:rFonts w:ascii="Arial" w:cs="Arial" w:eastAsia="Arial" w:hAnsi="Arial"/>
          <w:sz w:val="17"/>
          <w:szCs w:val="17"/>
          <w:color w:val="auto"/>
        </w:rPr>
      </w:pPr>
      <w:r>
        <w:rPr>
          <w:rFonts w:ascii="Arial" w:cs="Arial" w:eastAsia="Arial" w:hAnsi="Arial"/>
          <w:sz w:val="17"/>
          <w:szCs w:val="17"/>
          <w:color w:val="auto"/>
        </w:rPr>
        <w:t xml:space="preserve">on or prior to the third Business Day following the effectiveness of any such Additional Financial Covenants, WIL-Ireland shall notify the Administrative Agent thereof, and (ii) whether or not WIL-Ireland provides such notice, the terms of this Agreement shall, without any further action on the part of any Obligor Party, the Administrative Agent or any Lender, be deemed to be amended automatically to include each Additional Financial Covenant in this Agreement. Each Obligor Party further covenants to promptly execute and deliver at its expense an amendment to this Agreement in form and substance reasonably satisfactory to the Required Lenders evidencing the amendment of this Agreement to include such Additional Financial Covenants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execution and delivery of such amendment shall not be a precondition to the effectiveness of such amendment as provided for in this </w:t>
      </w:r>
      <w:r>
        <w:rPr>
          <w:rFonts w:ascii="Arial" w:cs="Arial" w:eastAsia="Arial" w:hAnsi="Arial"/>
          <w:sz w:val="17"/>
          <w:szCs w:val="17"/>
          <w:u w:val="single" w:color="auto"/>
          <w:color w:val="auto"/>
        </w:rPr>
        <w:t>Section 7.10(a)</w:t>
      </w:r>
      <w:r>
        <w:rPr>
          <w:rFonts w:ascii="Arial" w:cs="Arial" w:eastAsia="Arial" w:hAnsi="Arial"/>
          <w:sz w:val="17"/>
          <w:szCs w:val="17"/>
          <w:color w:val="auto"/>
        </w:rPr>
        <w:t>, but shall merely be for the convenience of the parties hereto.</w:t>
      </w:r>
    </w:p>
    <w:p>
      <w:pPr>
        <w:spacing w:after="0" w:line="180" w:lineRule="exact"/>
        <w:rPr>
          <w:rFonts w:ascii="Arial" w:cs="Arial" w:eastAsia="Arial" w:hAnsi="Arial"/>
          <w:sz w:val="17"/>
          <w:szCs w:val="17"/>
          <w:color w:val="auto"/>
        </w:rPr>
      </w:pPr>
    </w:p>
    <w:p>
      <w:pPr>
        <w:ind w:firstLine="1305"/>
        <w:spacing w:after="0" w:line="302" w:lineRule="auto"/>
        <w:tabs>
          <w:tab w:leader="none" w:pos="1952" w:val="left"/>
        </w:tabs>
        <w:numPr>
          <w:ilvl w:val="1"/>
          <w:numId w:val="422"/>
        </w:numPr>
        <w:rPr>
          <w:rFonts w:ascii="Arial" w:cs="Arial" w:eastAsia="Arial" w:hAnsi="Arial"/>
          <w:sz w:val="16"/>
          <w:szCs w:val="16"/>
          <w:color w:val="auto"/>
        </w:rPr>
      </w:pPr>
      <w:r>
        <w:rPr>
          <w:rFonts w:ascii="Arial" w:cs="Arial" w:eastAsia="Arial" w:hAnsi="Arial"/>
          <w:sz w:val="16"/>
          <w:szCs w:val="16"/>
          <w:color w:val="auto"/>
        </w:rPr>
        <w:t xml:space="preserve">If after the time this Agreement is amended pursuant to </w:t>
      </w:r>
      <w:r>
        <w:rPr>
          <w:rFonts w:ascii="Arial" w:cs="Arial" w:eastAsia="Arial" w:hAnsi="Arial"/>
          <w:sz w:val="16"/>
          <w:szCs w:val="16"/>
          <w:u w:val="single" w:color="auto"/>
          <w:color w:val="auto"/>
        </w:rPr>
        <w:t>Section 7.10(a)</w:t>
      </w:r>
      <w:r>
        <w:rPr>
          <w:rFonts w:ascii="Arial" w:cs="Arial" w:eastAsia="Arial" w:hAnsi="Arial"/>
          <w:sz w:val="16"/>
          <w:szCs w:val="16"/>
          <w:color w:val="auto"/>
        </w:rPr>
        <w:t xml:space="preserve"> to include in this Agreement any Additional Financial Covenant (an “</w:t>
      </w:r>
      <w:r>
        <w:rPr>
          <w:rFonts w:ascii="Arial" w:cs="Arial" w:eastAsia="Arial" w:hAnsi="Arial"/>
          <w:sz w:val="16"/>
          <w:szCs w:val="16"/>
          <w:u w:val="single" w:color="auto"/>
          <w:color w:val="auto"/>
        </w:rPr>
        <w:t>Incorporated Financial Covenant</w:t>
      </w:r>
      <w:r>
        <w:rPr>
          <w:rFonts w:ascii="Arial" w:cs="Arial" w:eastAsia="Arial" w:hAnsi="Arial"/>
          <w:sz w:val="16"/>
          <w:szCs w:val="16"/>
          <w:color w:val="auto"/>
        </w:rPr>
        <w:t>”) contained in any Other Debt Agreement, such Incorporated Financial Covenant ceases to be in effect under, or is deleted from, such Other Debt Agreement (including as a result of the termination of such Other Debt Agreement upon the repayment in full of all Indebtedness outstanding thereunder and the termination of all commitments thereunder), or is amended or modified for the purposes of such Other Debt</w:t>
      </w:r>
    </w:p>
    <w:p>
      <w:pPr>
        <w:sectPr>
          <w:pgSz w:w="11900" w:h="16945" w:orient="portrait"/>
          <w:cols w:equalWidth="0" w:num="1">
            <w:col w:w="11400"/>
          </w:cols>
          <w:pgMar w:left="240" w:top="126" w:right="259" w:bottom="0" w:gutter="0" w:footer="0" w:header="0"/>
        </w:sectPr>
      </w:pPr>
    </w:p>
    <w:bookmarkStart w:id="173" w:name="page174"/>
    <w:bookmarkEnd w:id="173"/>
    <w:p>
      <w:pPr>
        <w:ind w:right="20"/>
        <w:spacing w:after="0" w:line="270" w:lineRule="auto"/>
        <w:rPr>
          <w:sz w:val="20"/>
          <w:szCs w:val="20"/>
          <w:color w:val="auto"/>
        </w:rPr>
      </w:pPr>
      <w:r>
        <w:rPr>
          <w:rFonts w:ascii="Arial" w:cs="Arial" w:eastAsia="Arial" w:hAnsi="Arial"/>
          <w:sz w:val="17"/>
          <w:szCs w:val="17"/>
          <w:color w:val="auto"/>
        </w:rPr>
        <w:t xml:space="preserve">Agreement so as to become less restrictive with respect to WIL-Ireland or any of its Restricted Subsidiaries, then, upon the request of WIL-Ireland, the Required Lenders will amend this Agreement to delete or similarly amend or modify, as the case may be, such Incorporated Financial Covenant as in effect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in the case of the termination of such Other Debt Agreement upon the repayment in full of all Indebtedness outstanding thereunder and the termination of all commitments thereunder, no Default or Event of Default in respect of such Incorporated Financial Covenant shall be in existence immediately before or after such deletion, amendment or modification. Notwithstanding the foregoing, no amendment to this Agreement pursuant to this </w:t>
      </w:r>
      <w:r>
        <w:rPr>
          <w:rFonts w:ascii="Arial" w:cs="Arial" w:eastAsia="Arial" w:hAnsi="Arial"/>
          <w:sz w:val="17"/>
          <w:szCs w:val="17"/>
          <w:u w:val="single" w:color="auto"/>
          <w:color w:val="auto"/>
        </w:rPr>
        <w:t>Section 7.10(b)</w:t>
      </w:r>
      <w:r>
        <w:rPr>
          <w:rFonts w:ascii="Arial" w:cs="Arial" w:eastAsia="Arial" w:hAnsi="Arial"/>
          <w:sz w:val="17"/>
          <w:szCs w:val="17"/>
          <w:color w:val="auto"/>
        </w:rPr>
        <w:t xml:space="preserve"> as the result of any Incorporated Financial Covenant ceasing to be in effect or being deleted, amended or otherwise modified shall cause any covenant or Event of Default in this Agreement to be less restrictive as to WIL-Ireland or any Restricted Subsidiary than such covenant or Event of Default as contained in this Agreement as in effect on the Effective Date, and as amended, supplemented or otherwise modified thereafter (other than as the result of the application of </w:t>
      </w:r>
      <w:r>
        <w:rPr>
          <w:rFonts w:ascii="Arial" w:cs="Arial" w:eastAsia="Arial" w:hAnsi="Arial"/>
          <w:sz w:val="17"/>
          <w:szCs w:val="17"/>
          <w:u w:val="single" w:color="auto"/>
          <w:color w:val="auto"/>
        </w:rPr>
        <w:t>Section 7.10(a)</w:t>
      </w:r>
      <w:r>
        <w:rPr>
          <w:rFonts w:ascii="Arial" w:cs="Arial" w:eastAsia="Arial" w:hAnsi="Arial"/>
          <w:sz w:val="17"/>
          <w:szCs w:val="17"/>
          <w:color w:val="auto"/>
        </w:rPr>
        <w: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u w:val="single" w:color="auto"/>
          <w:color w:val="auto"/>
        </w:rPr>
        <w:t>Post-Closing Matters</w:t>
      </w:r>
      <w:r>
        <w:rPr>
          <w:rFonts w:ascii="Arial" w:cs="Arial" w:eastAsia="Arial" w:hAnsi="Arial"/>
          <w:sz w:val="17"/>
          <w:szCs w:val="17"/>
          <w:color w:val="auto"/>
        </w:rPr>
        <w:t xml:space="preserve">. WIL-Ireland shall, and shall cause each Restricted Subsidiary to, satisfy each requirement set forth on </w:t>
      </w:r>
      <w:r>
        <w:rPr>
          <w:rFonts w:ascii="Arial" w:cs="Arial" w:eastAsia="Arial" w:hAnsi="Arial"/>
          <w:sz w:val="17"/>
          <w:szCs w:val="17"/>
          <w:u w:val="single" w:color="auto"/>
          <w:color w:val="auto"/>
        </w:rPr>
        <w:t>Schedule 7.11</w:t>
      </w:r>
      <w:r>
        <w:rPr>
          <w:rFonts w:ascii="Arial" w:cs="Arial" w:eastAsia="Arial" w:hAnsi="Arial"/>
          <w:sz w:val="17"/>
          <w:szCs w:val="17"/>
          <w:color w:val="auto"/>
        </w:rPr>
        <w:t xml:space="preserve"> on or before the date set forth on such Schedule (or such later date as the Administrative Agent may agree in its sole discretion).</w:t>
      </w:r>
    </w:p>
    <w:p>
      <w:pPr>
        <w:spacing w:after="0" w:line="147"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u w:val="single" w:color="auto"/>
          <w:color w:val="auto"/>
        </w:rPr>
        <w:t>Compliance with the Swiss Non-Bank Rules</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77" w:lineRule="auto"/>
        <w:tabs>
          <w:tab w:leader="none" w:pos="1942" w:val="left"/>
        </w:tabs>
        <w:numPr>
          <w:ilvl w:val="0"/>
          <w:numId w:val="423"/>
        </w:numPr>
        <w:rPr>
          <w:rFonts w:ascii="Arial" w:cs="Arial" w:eastAsia="Arial" w:hAnsi="Arial"/>
          <w:sz w:val="18"/>
          <w:szCs w:val="18"/>
          <w:color w:val="auto"/>
        </w:rPr>
      </w:pPr>
      <w:r>
        <w:rPr>
          <w:rFonts w:ascii="Arial" w:cs="Arial" w:eastAsia="Arial" w:hAnsi="Arial"/>
          <w:sz w:val="18"/>
          <w:szCs w:val="18"/>
          <w:color w:val="auto"/>
        </w:rPr>
        <w:t xml:space="preserve">Each Swiss Obligor shall comply with the Swiss Non-Bank Rules;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Swiss Obligor shall not be in breach of this covenant if the permitted number of Swiss Non-Qualifying Lenders is exceeded solely by reason of:</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 xml:space="preserve">a failure by one or more Lenders or Participants to comply with their obligations under </w:t>
      </w:r>
      <w:r>
        <w:rPr>
          <w:rFonts w:ascii="Arial" w:cs="Arial" w:eastAsia="Arial" w:hAnsi="Arial"/>
          <w:sz w:val="18"/>
          <w:szCs w:val="18"/>
          <w:u w:val="single" w:color="auto"/>
          <w:color w:val="auto"/>
        </w:rPr>
        <w:t>Section 11.05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423"/>
        </w:numPr>
        <w:rPr>
          <w:rFonts w:ascii="Arial" w:cs="Arial" w:eastAsia="Arial" w:hAnsi="Arial"/>
          <w:sz w:val="16"/>
          <w:szCs w:val="16"/>
          <w:color w:val="auto"/>
        </w:rPr>
      </w:pPr>
      <w:r>
        <w:rPr>
          <w:rFonts w:ascii="Arial" w:cs="Arial" w:eastAsia="Arial" w:hAnsi="Arial"/>
          <w:sz w:val="16"/>
          <w:szCs w:val="16"/>
          <w:color w:val="auto"/>
        </w:rPr>
        <w:t>a confirmation made by one or more Lenders or Participants to be one single Swiss Non-Qualifying Lender is incorrect;</w:t>
      </w:r>
    </w:p>
    <w:p>
      <w:pPr>
        <w:spacing w:after="0" w:line="248" w:lineRule="exact"/>
        <w:rPr>
          <w:rFonts w:ascii="Arial" w:cs="Arial" w:eastAsia="Arial" w:hAnsi="Arial"/>
          <w:sz w:val="16"/>
          <w:szCs w:val="16"/>
          <w:color w:val="auto"/>
        </w:rPr>
      </w:pPr>
    </w:p>
    <w:p>
      <w:pPr>
        <w:ind w:left="660" w:right="280" w:firstLine="1293"/>
        <w:spacing w:after="0" w:line="277" w:lineRule="auto"/>
        <w:tabs>
          <w:tab w:leader="none" w:pos="2645" w:val="left"/>
        </w:tabs>
        <w:numPr>
          <w:ilvl w:val="1"/>
          <w:numId w:val="423"/>
        </w:numPr>
        <w:rPr>
          <w:rFonts w:ascii="Arial" w:cs="Arial" w:eastAsia="Arial" w:hAnsi="Arial"/>
          <w:sz w:val="18"/>
          <w:szCs w:val="18"/>
          <w:color w:val="auto"/>
        </w:rPr>
      </w:pPr>
      <w:r>
        <w:rPr>
          <w:rFonts w:ascii="Arial" w:cs="Arial" w:eastAsia="Arial" w:hAnsi="Arial"/>
          <w:sz w:val="18"/>
          <w:szCs w:val="18"/>
          <w:color w:val="auto"/>
        </w:rPr>
        <w:t>one or more Lenders or Participants ceasing to be a Swiss Qualifying Lender (to the extent such Lender or Participant confirmed to be a Swiss Qualifying Lender) as a result of any reason attributable to such Lender or Participant;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423"/>
        </w:numPr>
        <w:rPr>
          <w:rFonts w:ascii="Arial" w:cs="Arial" w:eastAsia="Arial" w:hAnsi="Arial"/>
          <w:sz w:val="16"/>
          <w:szCs w:val="16"/>
          <w:color w:val="auto"/>
        </w:rPr>
      </w:pPr>
      <w:r>
        <w:rPr>
          <w:rFonts w:ascii="Arial" w:cs="Arial" w:eastAsia="Arial" w:hAnsi="Arial"/>
          <w:sz w:val="16"/>
          <w:szCs w:val="16"/>
          <w:color w:val="auto"/>
        </w:rPr>
        <w:t>an assignment or participation of any Loan under this Agreement to a Swiss Non-Qualifying Lender after the occurrence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an Event of Default.</w:t>
      </w:r>
    </w:p>
    <w:p>
      <w:pPr>
        <w:spacing w:after="0" w:line="210" w:lineRule="exact"/>
        <w:rPr>
          <w:rFonts w:ascii="Arial" w:cs="Arial" w:eastAsia="Arial" w:hAnsi="Arial"/>
          <w:sz w:val="16"/>
          <w:szCs w:val="16"/>
          <w:color w:val="auto"/>
        </w:rPr>
      </w:pPr>
    </w:p>
    <w:p>
      <w:pPr>
        <w:ind w:right="400" w:firstLine="1305"/>
        <w:spacing w:after="0" w:line="277" w:lineRule="auto"/>
        <w:tabs>
          <w:tab w:leader="none" w:pos="1952" w:val="left"/>
        </w:tabs>
        <w:numPr>
          <w:ilvl w:val="0"/>
          <w:numId w:val="423"/>
        </w:numPr>
        <w:rPr>
          <w:rFonts w:ascii="Arial" w:cs="Arial" w:eastAsia="Arial" w:hAnsi="Arial"/>
          <w:sz w:val="18"/>
          <w:szCs w:val="18"/>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7.12</w:t>
      </w:r>
      <w:r>
        <w:rPr>
          <w:rFonts w:ascii="Arial" w:cs="Arial" w:eastAsia="Arial" w:hAnsi="Arial"/>
          <w:sz w:val="18"/>
          <w:szCs w:val="18"/>
          <w:color w:val="auto"/>
        </w:rPr>
        <w:t>, each Swiss Obligor shall assume that the aggregate number of Lenders and Participants under this Agreement which are Swiss Non-Qualifying Lenders is eight (8).</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SECTION 7.13 </w:t>
      </w:r>
      <w:r>
        <w:rPr>
          <w:rFonts w:ascii="Arial" w:cs="Arial" w:eastAsia="Arial" w:hAnsi="Arial"/>
          <w:sz w:val="17"/>
          <w:szCs w:val="17"/>
          <w:u w:val="single" w:color="auto"/>
          <w:color w:val="auto"/>
        </w:rPr>
        <w:t>Secured Facility Covenant</w:t>
      </w:r>
      <w:r>
        <w:rPr>
          <w:rFonts w:ascii="Arial" w:cs="Arial" w:eastAsia="Arial" w:hAnsi="Arial"/>
          <w:sz w:val="17"/>
          <w:szCs w:val="17"/>
          <w:color w:val="auto"/>
        </w:rPr>
        <w:t>. If WIL-Ireland or any Restricted Subsidiary shall be required to grant any Lien on any of its property to secure any of the Existing Senior Notes, other senior notes or any Permitted Refinancing Indebtedness in respect of any of the foregoing, WIL-Ireland shall, and shall cause its Restricted Subsidiaries to, grant Liens (to the extent they have not already done so) to secure the Secured Obligations equally and ratably with, or prior to, such Existing Senior Notes, other senior notes or Permitted Refinancing Indebtedness.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NEGATIVE COVENANTS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Until Payment in Full, the Obligor Parties covenant and agree that: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Indebtedness</w:t>
      </w:r>
      <w:r>
        <w:rPr>
          <w:rFonts w:ascii="Arial" w:cs="Arial" w:eastAsia="Arial" w:hAnsi="Arial"/>
          <w:sz w:val="18"/>
          <w:szCs w:val="18"/>
          <w:color w:val="auto"/>
        </w:rPr>
        <w:t>. WIL-Ireland shall not, and shall not permit any Restricted Subsidiary to, create, incur, assume or permit to exist any Indebtedness, except:</w:t>
      </w:r>
    </w:p>
    <w:p>
      <w:pPr>
        <w:spacing w:after="0" w:line="170" w:lineRule="exact"/>
        <w:rPr>
          <w:sz w:val="20"/>
          <w:szCs w:val="20"/>
          <w:color w:val="auto"/>
        </w:rPr>
      </w:pPr>
    </w:p>
    <w:p>
      <w:pPr>
        <w:ind w:left="1940" w:hanging="635"/>
        <w:spacing w:after="0"/>
        <w:tabs>
          <w:tab w:leader="none" w:pos="194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225" w:lineRule="exact"/>
        <w:rPr>
          <w:rFonts w:ascii="Arial" w:cs="Arial" w:eastAsia="Arial" w:hAnsi="Arial"/>
          <w:sz w:val="18"/>
          <w:szCs w:val="18"/>
          <w:color w:val="auto"/>
        </w:rPr>
      </w:pPr>
    </w:p>
    <w:p>
      <w:pPr>
        <w:ind w:right="940" w:firstLine="1305"/>
        <w:spacing w:after="0" w:line="277" w:lineRule="auto"/>
        <w:tabs>
          <w:tab w:leader="none" w:pos="1952"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 Indebtedness of the Obligors incurred under the Term Loan Facility in an aggregate principal amount not to exceed $500,000,000 at any time outstanding and Permitted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Refinancing Indebtedness in respect thereof and (ii) Indebtedness of the Obligors incurred under the RCF in an aggregate principal amount (including undrawn or available committed amounts thereunder) not to exceed, when taken together with the amount of the Aggregate Commitments, $1,500,000,000 at any time outstanding and Permitted Refinancing Indebtedness in respect thereof;</w:t>
      </w:r>
    </w:p>
    <w:p>
      <w:pPr>
        <w:spacing w:after="0" w:line="181" w:lineRule="exact"/>
        <w:rPr>
          <w:sz w:val="20"/>
          <w:szCs w:val="20"/>
          <w:color w:val="auto"/>
        </w:rPr>
      </w:pPr>
    </w:p>
    <w:p>
      <w:pPr>
        <w:ind w:left="1960" w:hanging="655"/>
        <w:spacing w:after="0"/>
        <w:tabs>
          <w:tab w:leader="none" w:pos="19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Permitted Existing Indebtedness and Permitted Refinancing Indebtedness in respect thereof;</w:t>
      </w:r>
    </w:p>
    <w:p>
      <w:pPr>
        <w:spacing w:after="0" w:line="225" w:lineRule="exact"/>
        <w:rPr>
          <w:rFonts w:ascii="Arial" w:cs="Arial" w:eastAsia="Arial" w:hAnsi="Arial"/>
          <w:sz w:val="18"/>
          <w:szCs w:val="18"/>
          <w:color w:val="auto"/>
        </w:rPr>
      </w:pPr>
    </w:p>
    <w:p>
      <w:pPr>
        <w:ind w:firstLine="1305"/>
        <w:spacing w:after="0" w:line="273" w:lineRule="auto"/>
        <w:tabs>
          <w:tab w:leader="none" w:pos="1952" w:val="left"/>
        </w:tabs>
        <w:numPr>
          <w:ilvl w:val="0"/>
          <w:numId w:val="425"/>
        </w:numPr>
        <w:rPr>
          <w:rFonts w:ascii="Arial" w:cs="Arial" w:eastAsia="Arial" w:hAnsi="Arial"/>
          <w:sz w:val="17"/>
          <w:szCs w:val="17"/>
          <w:color w:val="auto"/>
        </w:rPr>
      </w:pPr>
      <w:r>
        <w:rPr>
          <w:rFonts w:ascii="Arial" w:cs="Arial" w:eastAsia="Arial" w:hAnsi="Arial"/>
          <w:sz w:val="17"/>
          <w:szCs w:val="17"/>
          <w:color w:val="auto"/>
        </w:rPr>
        <w:t xml:space="preserve">Indebtedness arising from intercompany loans and advances owing by any Obligor or any Specified Group Member to any Obligor or any Specified Group Member;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Indebtedness incurred after the RCF Effective Date (including Indebtedness incurred after the RCF Effective Date pursuant to an agreement or arrangement existing on the RCF Effective Date) is owing by an Obligor to a Specified Group Member that is not an Obligor, such Indebtedness shall be Subordinated, to the extent not prohibited by applicable Requirements of Law and to the extent not giving rise to material adverse tax consequences and (ii) any such intercompany loans and advances made to any Specified Group Member that is not a Wholly-Owned Subsidiary shall be subject to the limitations set forth in </w:t>
      </w:r>
      <w:r>
        <w:rPr>
          <w:rFonts w:ascii="Arial" w:cs="Arial" w:eastAsia="Arial" w:hAnsi="Arial"/>
          <w:sz w:val="17"/>
          <w:szCs w:val="17"/>
          <w:u w:val="single" w:color="auto"/>
          <w:color w:val="auto"/>
        </w:rPr>
        <w:t>Section 8.06</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180" w:firstLine="1305"/>
        <w:spacing w:after="0" w:line="257" w:lineRule="auto"/>
        <w:tabs>
          <w:tab w:leader="none" w:pos="1955" w:val="left"/>
        </w:tabs>
        <w:numPr>
          <w:ilvl w:val="0"/>
          <w:numId w:val="425"/>
        </w:numPr>
        <w:rPr>
          <w:rFonts w:ascii="Arial" w:cs="Arial" w:eastAsia="Arial" w:hAnsi="Arial"/>
          <w:sz w:val="18"/>
          <w:szCs w:val="18"/>
          <w:color w:val="auto"/>
        </w:rPr>
      </w:pPr>
      <w:r>
        <w:rPr>
          <w:rFonts w:ascii="Arial" w:cs="Arial" w:eastAsia="Arial" w:hAnsi="Arial"/>
          <w:sz w:val="18"/>
          <w:szCs w:val="18"/>
          <w:color w:val="auto"/>
        </w:rPr>
        <w:t xml:space="preserve">Indebtedness arising from intercompany loans and advances owing by any Obligor, any Specified Group Member or any Other Subsidiaries Group Member to any Other Subsidiaries Group Member;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Indebtedness incurred after the RCF Effective Date (including Indebtedness incurred after the RCF Effective Date pursuant to an agreement or arrangement existing on the RCF Effective Date) is owing by an Obligor to an Other Subsidiaries Group Member, such Indebtedness shall be Subordinated, to the extent not prohibited by applicable Requirements of Law and to the extent not giving rise to material adverse tax consequences;</w:t>
      </w:r>
    </w:p>
    <w:p>
      <w:pPr>
        <w:sectPr>
          <w:pgSz w:w="11900" w:h="16838" w:orient="portrait"/>
          <w:cols w:equalWidth="0" w:num="1">
            <w:col w:w="11400"/>
          </w:cols>
          <w:pgMar w:left="240" w:top="125" w:right="259" w:bottom="0" w:gutter="0" w:footer="0" w:header="0"/>
        </w:sectPr>
      </w:pPr>
    </w:p>
    <w:bookmarkStart w:id="174" w:name="page175"/>
    <w:bookmarkEnd w:id="174"/>
    <w:p>
      <w:pPr>
        <w:ind w:right="260" w:firstLine="1305"/>
        <w:spacing w:after="0" w:line="342" w:lineRule="auto"/>
        <w:tabs>
          <w:tab w:leader="none" w:pos="1949" w:val="left"/>
        </w:tabs>
        <w:numPr>
          <w:ilvl w:val="0"/>
          <w:numId w:val="426"/>
        </w:numPr>
        <w:rPr>
          <w:rFonts w:ascii="Arial" w:cs="Arial" w:eastAsia="Arial" w:hAnsi="Arial"/>
          <w:sz w:val="16"/>
          <w:szCs w:val="16"/>
          <w:color w:val="auto"/>
        </w:rPr>
      </w:pPr>
      <w:r>
        <w:rPr>
          <w:rFonts w:ascii="Arial" w:cs="Arial" w:eastAsia="Arial" w:hAnsi="Arial"/>
          <w:sz w:val="16"/>
          <w:szCs w:val="16"/>
          <w:color w:val="auto"/>
        </w:rPr>
        <w:t xml:space="preserve">Indebtedness arising from intercompany loans and advances owing by any Other Subsidiaries Group Member to any Obligor or any Specified Group Member;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intercompany loans and advances shall be subject to the limitations set forth in </w:t>
      </w:r>
      <w:r>
        <w:rPr>
          <w:rFonts w:ascii="Arial" w:cs="Arial" w:eastAsia="Arial" w:hAnsi="Arial"/>
          <w:sz w:val="16"/>
          <w:szCs w:val="16"/>
          <w:u w:val="single" w:color="auto"/>
          <w:color w:val="auto"/>
        </w:rPr>
        <w:t>Section 8.06</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120" w:firstLine="1305"/>
        <w:spacing w:after="0" w:line="277" w:lineRule="auto"/>
        <w:tabs>
          <w:tab w:leader="none" w:pos="1965" w:val="left"/>
        </w:tabs>
        <w:numPr>
          <w:ilvl w:val="0"/>
          <w:numId w:val="426"/>
        </w:numPr>
        <w:rPr>
          <w:rFonts w:ascii="Arial" w:cs="Arial" w:eastAsia="Arial" w:hAnsi="Arial"/>
          <w:sz w:val="18"/>
          <w:szCs w:val="18"/>
          <w:color w:val="auto"/>
        </w:rPr>
      </w:pPr>
      <w:r>
        <w:rPr>
          <w:rFonts w:ascii="Arial" w:cs="Arial" w:eastAsia="Arial" w:hAnsi="Arial"/>
          <w:sz w:val="18"/>
          <w:szCs w:val="18"/>
          <w:color w:val="auto"/>
        </w:rPr>
        <w:t>Guarantees by any Other Subsidiaries Group Member of Indebtedness of any Obligor, any Specified Group Member or any other Other Subsidiaries Group Member;</w:t>
      </w:r>
    </w:p>
    <w:p>
      <w:pPr>
        <w:spacing w:after="0" w:line="170" w:lineRule="exact"/>
        <w:rPr>
          <w:rFonts w:ascii="Arial" w:cs="Arial" w:eastAsia="Arial" w:hAnsi="Arial"/>
          <w:sz w:val="18"/>
          <w:szCs w:val="18"/>
          <w:color w:val="auto"/>
        </w:rPr>
      </w:pPr>
    </w:p>
    <w:p>
      <w:pPr>
        <w:ind w:right="440" w:firstLine="1305"/>
        <w:spacing w:after="0" w:line="277" w:lineRule="auto"/>
        <w:tabs>
          <w:tab w:leader="none" w:pos="1952" w:val="left"/>
        </w:tabs>
        <w:numPr>
          <w:ilvl w:val="0"/>
          <w:numId w:val="426"/>
        </w:numPr>
        <w:rPr>
          <w:rFonts w:ascii="Arial" w:cs="Arial" w:eastAsia="Arial" w:hAnsi="Arial"/>
          <w:sz w:val="18"/>
          <w:szCs w:val="18"/>
          <w:color w:val="auto"/>
        </w:rPr>
      </w:pPr>
      <w:r>
        <w:rPr>
          <w:rFonts w:ascii="Arial" w:cs="Arial" w:eastAsia="Arial" w:hAnsi="Arial"/>
          <w:sz w:val="18"/>
          <w:szCs w:val="18"/>
          <w:color w:val="auto"/>
        </w:rPr>
        <w:t xml:space="preserve">Guarantees by any Obligor or any Specified Group Member of Indebtedness of any Other Subsidiaries Group Member to the extent such Investment is permitted by </w:t>
      </w:r>
      <w:r>
        <w:rPr>
          <w:rFonts w:ascii="Arial" w:cs="Arial" w:eastAsia="Arial" w:hAnsi="Arial"/>
          <w:sz w:val="18"/>
          <w:szCs w:val="18"/>
          <w:u w:val="single" w:color="auto"/>
          <w:color w:val="auto"/>
        </w:rPr>
        <w:t>Section 8.06(f)</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right="280" w:firstLine="1305"/>
        <w:spacing w:after="0" w:line="259" w:lineRule="auto"/>
        <w:tabs>
          <w:tab w:leader="none" w:pos="1966"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Indebtedness of Restricted Subsidiaries in respect of overdrafts, working capital borrowings and facilities, short term loans and cash management requirements (and Guarantees thereof) that, in each case, are required to be repaid or are repaid within 30 days following the incurrence thereof (which Indebtedness may be continuously rolled-over for successive 30-day periods), provided that the aggregate outstanding amount of such Indebtedness does not at any time exceed $200,000,000;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1"/>
          <w:numId w:val="427"/>
        </w:numPr>
        <w:rPr>
          <w:rFonts w:ascii="Arial" w:cs="Arial" w:eastAsia="Arial" w:hAnsi="Arial"/>
          <w:sz w:val="16"/>
          <w:szCs w:val="16"/>
          <w:color w:val="auto"/>
        </w:rPr>
      </w:pPr>
      <w:r>
        <w:rPr>
          <w:rFonts w:ascii="Arial" w:cs="Arial" w:eastAsia="Arial" w:hAnsi="Arial"/>
          <w:sz w:val="16"/>
          <w:szCs w:val="16"/>
          <w:color w:val="auto"/>
        </w:rPr>
        <w:t xml:space="preserve">Specified Senior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such Specified Senior Indebtedness may be incurred prior to May 13, 2019,</w:t>
      </w:r>
    </w:p>
    <w:p>
      <w:pPr>
        <w:spacing w:after="0" w:line="46" w:lineRule="exact"/>
        <w:rPr>
          <w:rFonts w:ascii="Arial" w:cs="Arial" w:eastAsia="Arial" w:hAnsi="Arial"/>
          <w:sz w:val="16"/>
          <w:szCs w:val="16"/>
          <w:color w:val="auto"/>
        </w:rPr>
      </w:pPr>
    </w:p>
    <w:p>
      <w:pPr>
        <w:ind w:right="20" w:firstLine="8"/>
        <w:spacing w:after="0" w:line="281" w:lineRule="auto"/>
        <w:tabs>
          <w:tab w:leader="none" w:pos="265" w:val="left"/>
        </w:tabs>
        <w:numPr>
          <w:ilvl w:val="0"/>
          <w:numId w:val="428"/>
        </w:numPr>
        <w:rPr>
          <w:rFonts w:ascii="Arial" w:cs="Arial" w:eastAsia="Arial" w:hAnsi="Arial"/>
          <w:sz w:val="16"/>
          <w:szCs w:val="16"/>
          <w:color w:val="auto"/>
        </w:rPr>
      </w:pPr>
      <w:r>
        <w:rPr>
          <w:rFonts w:ascii="Arial" w:cs="Arial" w:eastAsia="Arial" w:hAnsi="Arial"/>
          <w:sz w:val="16"/>
          <w:szCs w:val="16"/>
          <w:color w:val="auto"/>
        </w:rPr>
        <w:t xml:space="preserve">as a condition to incurring any such Specified Senior Indebtedness, (A) no Default or Event of Default shall have occurred and be continuing at the time of and immediately after giving pro forma effect to the incurrence of such Indebtedness, (B) the aggregate principal amount of all Indebtedness incurred pursuant to this </w:t>
      </w:r>
      <w:r>
        <w:rPr>
          <w:rFonts w:ascii="Arial" w:cs="Arial" w:eastAsia="Arial" w:hAnsi="Arial"/>
          <w:sz w:val="16"/>
          <w:szCs w:val="16"/>
          <w:u w:val="single" w:color="auto"/>
          <w:color w:val="auto"/>
        </w:rPr>
        <w:t>Section 8.01(j)</w:t>
      </w:r>
      <w:r>
        <w:rPr>
          <w:rFonts w:ascii="Arial" w:cs="Arial" w:eastAsia="Arial" w:hAnsi="Arial"/>
          <w:sz w:val="16"/>
          <w:szCs w:val="16"/>
          <w:color w:val="auto"/>
        </w:rPr>
        <w:t xml:space="preserve"> would not exceed $200,000,000 at any time and (C) after giving pro forma effect to the incurrence of such Indebtedness, the Specified Senior Leverage Ratio (calculated as of the last day of the most recently ended Testing Period for which financial statements are available as if such Indebtedness had been incurred on the last day of such Testing Period) would not exceed 2.00 to 1.00 and (iii) as of the date of incurrence, such Specified Senior Indebtedness shall have a stated maturity date no sooner than 91 days after the latest to occur of (A) the Maturity Date, (B) the RCF Maturity Date and</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 the Term Loan Maturity Date;</w:t>
      </w:r>
    </w:p>
    <w:p>
      <w:pPr>
        <w:spacing w:after="0" w:line="210" w:lineRule="exact"/>
        <w:rPr>
          <w:rFonts w:ascii="Arial" w:cs="Arial" w:eastAsia="Arial" w:hAnsi="Arial"/>
          <w:sz w:val="16"/>
          <w:szCs w:val="16"/>
          <w:color w:val="auto"/>
        </w:rPr>
      </w:pPr>
    </w:p>
    <w:p>
      <w:pPr>
        <w:ind w:firstLine="1305"/>
        <w:spacing w:after="0" w:line="255" w:lineRule="auto"/>
        <w:tabs>
          <w:tab w:leader="none" w:pos="1952" w:val="left"/>
        </w:tabs>
        <w:numPr>
          <w:ilvl w:val="1"/>
          <w:numId w:val="428"/>
        </w:numPr>
        <w:rPr>
          <w:rFonts w:ascii="Arial" w:cs="Arial" w:eastAsia="Arial" w:hAnsi="Arial"/>
          <w:sz w:val="18"/>
          <w:szCs w:val="18"/>
          <w:color w:val="auto"/>
        </w:rPr>
      </w:pPr>
      <w:r>
        <w:rPr>
          <w:rFonts w:ascii="Arial" w:cs="Arial" w:eastAsia="Arial" w:hAnsi="Arial"/>
          <w:sz w:val="18"/>
          <w:szCs w:val="18"/>
          <w:color w:val="auto"/>
        </w:rPr>
        <w:t xml:space="preserve">unsecured Indebtedness incurred by WIL-Ireland, WIL-Bermuda, WIL-Delaware and Other Subsidiaries Group Members;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Default or Event of Default shall have occurred and be continuing at the time of and immediately after giving effect to the incurrence of such Indebtedness, (ii) after giving pro forma effect to the incurrence of such Indebtedness, WIL-Ireland would be in compliance with the Financial Covenants (calculated as of the last day of the most recently ended Testing Period for which financial statements are available as if such Indebtedness had been incurred on the last day of such Testing Period) and (iii) except with respect to Indebtedness in an aggregate amount not to exceed $90,000,000, as of the date of incurrence, such Indebtedness shall have a stated maturity date no sooner than 91 days after the latest to occur of (A) the Maturity Date, (B) the RCF Maturity Date and (C) the Term Loan Maturity Date;</w:t>
      </w:r>
    </w:p>
    <w:p>
      <w:pPr>
        <w:spacing w:after="0" w:line="189" w:lineRule="exact"/>
        <w:rPr>
          <w:rFonts w:ascii="Arial" w:cs="Arial" w:eastAsia="Arial" w:hAnsi="Arial"/>
          <w:sz w:val="18"/>
          <w:szCs w:val="18"/>
          <w:color w:val="auto"/>
        </w:rPr>
      </w:pPr>
    </w:p>
    <w:p>
      <w:pPr>
        <w:ind w:right="260" w:firstLine="1305"/>
        <w:spacing w:after="0" w:line="286" w:lineRule="auto"/>
        <w:tabs>
          <w:tab w:leader="none" w:pos="1966" w:val="left"/>
        </w:tabs>
        <w:numPr>
          <w:ilvl w:val="1"/>
          <w:numId w:val="428"/>
        </w:numPr>
        <w:rPr>
          <w:rFonts w:ascii="Arial" w:cs="Arial" w:eastAsia="Arial" w:hAnsi="Arial"/>
          <w:sz w:val="16"/>
          <w:szCs w:val="16"/>
          <w:color w:val="auto"/>
        </w:rPr>
      </w:pPr>
      <w:r>
        <w:rPr>
          <w:rFonts w:ascii="Arial" w:cs="Arial" w:eastAsia="Arial" w:hAnsi="Arial"/>
          <w:sz w:val="16"/>
          <w:szCs w:val="16"/>
          <w:color w:val="auto"/>
        </w:rPr>
        <w:t xml:space="preserve">Subordinated Indebtedness of any Obligor (other than Subordinated Indebtedness consisting of Guarantees by any Specified Obligor of Indebtedness incurred pursuant to </w:t>
      </w:r>
      <w:r>
        <w:rPr>
          <w:rFonts w:ascii="Arial" w:cs="Arial" w:eastAsia="Arial" w:hAnsi="Arial"/>
          <w:sz w:val="16"/>
          <w:szCs w:val="16"/>
          <w:u w:val="single" w:color="auto"/>
          <w:color w:val="auto"/>
        </w:rPr>
        <w:t>Section 8.01(c)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8.01(j)</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8.01(k)</w:t>
      </w:r>
      <w:r>
        <w:rPr>
          <w:rFonts w:ascii="Arial" w:cs="Arial" w:eastAsia="Arial" w:hAnsi="Arial"/>
          <w:sz w:val="16"/>
          <w:szCs w:val="16"/>
          <w:color w:val="auto"/>
        </w:rPr>
        <w:t xml:space="preserve"> or Indebtedness not permitted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Default or Event of Default shall have occurred and be continuing at the time of and immediately after giving effect to the incurrence of such Indebtedness, and (ii) as of the date of incurrence, such Indebtedness shall have a stated maturity date no sooner than 91 days after the latest to occur of</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 the Maturity Date, (B) the Term Loan Maturity Date and (C) the RCF Maturity Date;</w:t>
      </w:r>
    </w:p>
    <w:p>
      <w:pPr>
        <w:spacing w:after="0" w:line="210" w:lineRule="exact"/>
        <w:rPr>
          <w:rFonts w:ascii="Arial" w:cs="Arial" w:eastAsia="Arial" w:hAnsi="Arial"/>
          <w:sz w:val="16"/>
          <w:szCs w:val="16"/>
          <w:color w:val="auto"/>
        </w:rPr>
      </w:pPr>
    </w:p>
    <w:p>
      <w:pPr>
        <w:ind w:right="60" w:firstLine="1305"/>
        <w:spacing w:after="0" w:line="255" w:lineRule="auto"/>
        <w:tabs>
          <w:tab w:leader="none" w:pos="1948" w:val="left"/>
        </w:tabs>
        <w:numPr>
          <w:ilvl w:val="1"/>
          <w:numId w:val="428"/>
        </w:numPr>
        <w:rPr>
          <w:rFonts w:ascii="Arial" w:cs="Arial" w:eastAsia="Arial" w:hAnsi="Arial"/>
          <w:sz w:val="18"/>
          <w:szCs w:val="18"/>
          <w:color w:val="auto"/>
        </w:rPr>
      </w:pPr>
      <w:r>
        <w:rPr>
          <w:rFonts w:ascii="Arial" w:cs="Arial" w:eastAsia="Arial" w:hAnsi="Arial"/>
          <w:sz w:val="18"/>
          <w:szCs w:val="18"/>
          <w:color w:val="auto"/>
        </w:rPr>
        <w:t xml:space="preserve">Indebtedness of WIL-Ireland or any Restricted Subsidiary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provided that (i) such Indebtedness is incurred prior to or within 90 days after such acquisition or the completion of such construction or improvement and (ii) the aggregate principal amount of Indebtedness incurred pursuant to this </w:t>
      </w:r>
      <w:r>
        <w:rPr>
          <w:rFonts w:ascii="Arial" w:cs="Arial" w:eastAsia="Arial" w:hAnsi="Arial"/>
          <w:sz w:val="18"/>
          <w:szCs w:val="18"/>
          <w:u w:val="single" w:color="auto"/>
          <w:color w:val="auto"/>
        </w:rPr>
        <w:t>Section 8.01(m)</w:t>
      </w:r>
      <w:r>
        <w:rPr>
          <w:rFonts w:ascii="Arial" w:cs="Arial" w:eastAsia="Arial" w:hAnsi="Arial"/>
          <w:sz w:val="18"/>
          <w:szCs w:val="18"/>
          <w:color w:val="auto"/>
        </w:rPr>
        <w:t xml:space="preserve"> shall not at any time exceed $175,000,000;</w:t>
      </w:r>
    </w:p>
    <w:p>
      <w:pPr>
        <w:spacing w:after="0" w:line="193" w:lineRule="exact"/>
        <w:rPr>
          <w:rFonts w:ascii="Arial" w:cs="Arial" w:eastAsia="Arial" w:hAnsi="Arial"/>
          <w:sz w:val="18"/>
          <w:szCs w:val="18"/>
          <w:color w:val="auto"/>
        </w:rPr>
      </w:pPr>
    </w:p>
    <w:p>
      <w:pPr>
        <w:ind w:right="640" w:firstLine="1305"/>
        <w:spacing w:after="0" w:line="277" w:lineRule="auto"/>
        <w:tabs>
          <w:tab w:leader="none" w:pos="1952" w:val="left"/>
        </w:tabs>
        <w:numPr>
          <w:ilvl w:val="1"/>
          <w:numId w:val="428"/>
        </w:numPr>
        <w:rPr>
          <w:rFonts w:ascii="Arial" w:cs="Arial" w:eastAsia="Arial" w:hAnsi="Arial"/>
          <w:sz w:val="18"/>
          <w:szCs w:val="18"/>
          <w:color w:val="auto"/>
        </w:rPr>
      </w:pPr>
      <w:r>
        <w:rPr>
          <w:rFonts w:ascii="Arial" w:cs="Arial" w:eastAsia="Arial" w:hAnsi="Arial"/>
          <w:sz w:val="18"/>
          <w:szCs w:val="18"/>
          <w:color w:val="auto"/>
        </w:rPr>
        <w:t>Indebtedness incurred to finance insurance premiums of any Restricted Subsidiary in the ordinary course of business in an aggregate principal amount not to exceed the amount of such insurance premiums;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firstLine="1305"/>
        <w:spacing w:after="0" w:line="279" w:lineRule="auto"/>
        <w:tabs>
          <w:tab w:leader="none" w:pos="1952" w:val="left"/>
        </w:tabs>
        <w:numPr>
          <w:ilvl w:val="0"/>
          <w:numId w:val="429"/>
        </w:numPr>
        <w:rPr>
          <w:rFonts w:ascii="Arial" w:cs="Arial" w:eastAsia="Arial" w:hAnsi="Arial"/>
          <w:sz w:val="17"/>
          <w:szCs w:val="17"/>
          <w:color w:val="auto"/>
        </w:rPr>
      </w:pPr>
      <w:r>
        <w:rPr>
          <w:rFonts w:ascii="Arial" w:cs="Arial" w:eastAsia="Arial" w:hAnsi="Arial"/>
          <w:sz w:val="17"/>
          <w:szCs w:val="17"/>
          <w:color w:val="auto"/>
        </w:rPr>
        <w:t>indemnification, adjustment of purchase price, earnout or similar obligations (including any earnout obligations), in each case, incurred or assumed in connection with any acquisition or Disposition otherwise permitted hereunder of any business or assets of WIL-Ireland and any Restricted Subsidiary or Capital Stock of a Subsidiary, other than guarantees of Indebtedness incurred by any Person acquiring all or any portion of such business, assets or Capital Stock for the purpose of financing or in contemplation of any such acquisition;</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 xml:space="preserve">other Indebtedness in an aggregate principal amount at any time outstanding pursuant to this </w:t>
      </w:r>
      <w:r>
        <w:rPr>
          <w:rFonts w:ascii="Arial" w:cs="Arial" w:eastAsia="Arial" w:hAnsi="Arial"/>
          <w:sz w:val="17"/>
          <w:szCs w:val="17"/>
          <w:u w:val="single" w:color="auto"/>
          <w:color w:val="auto"/>
        </w:rPr>
        <w:t>Section 8.01(p)</w:t>
      </w:r>
      <w:r>
        <w:rPr>
          <w:rFonts w:ascii="Arial" w:cs="Arial" w:eastAsia="Arial" w:hAnsi="Arial"/>
          <w:sz w:val="17"/>
          <w:szCs w:val="17"/>
          <w:color w:val="auto"/>
        </w:rPr>
        <w:t xml:space="preserve"> not in excess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$10,000,000;</w:t>
      </w:r>
    </w:p>
    <w:p>
      <w:pPr>
        <w:spacing w:after="0" w:line="210" w:lineRule="exact"/>
        <w:rPr>
          <w:rFonts w:ascii="Arial" w:cs="Arial" w:eastAsia="Arial" w:hAnsi="Arial"/>
          <w:sz w:val="17"/>
          <w:szCs w:val="17"/>
          <w:color w:val="auto"/>
        </w:rPr>
      </w:pPr>
    </w:p>
    <w:p>
      <w:pPr>
        <w:jc w:val="both"/>
        <w:ind w:right="340" w:firstLine="1305"/>
        <w:spacing w:after="0" w:line="264" w:lineRule="auto"/>
        <w:tabs>
          <w:tab w:leader="none" w:pos="1952"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8.15</w:t>
      </w:r>
      <w:r>
        <w:rPr>
          <w:rFonts w:ascii="Arial" w:cs="Arial" w:eastAsia="Arial" w:hAnsi="Arial"/>
          <w:sz w:val="18"/>
          <w:szCs w:val="18"/>
          <w:color w:val="auto"/>
        </w:rPr>
        <w:t>, non-contingent reimbursement obligations of WIL-Ireland and its Restricted Subsidiaries in respect of letters of credit, bank guaranties, bankers’ acceptances, bid bonds, surety bonds, performance bonds, customs bonds, advance payment bonds and similar instruments; and</w:t>
      </w:r>
    </w:p>
    <w:p>
      <w:pPr>
        <w:spacing w:after="0" w:line="181" w:lineRule="exact"/>
        <w:rPr>
          <w:rFonts w:ascii="Arial" w:cs="Arial" w:eastAsia="Arial" w:hAnsi="Arial"/>
          <w:sz w:val="18"/>
          <w:szCs w:val="18"/>
          <w:color w:val="auto"/>
        </w:rPr>
      </w:pPr>
    </w:p>
    <w:p>
      <w:pPr>
        <w:ind w:right="20" w:firstLine="1305"/>
        <w:spacing w:after="0" w:line="276" w:lineRule="auto"/>
        <w:tabs>
          <w:tab w:leader="none" w:pos="1963" w:val="left"/>
        </w:tabs>
        <w:numPr>
          <w:ilvl w:val="0"/>
          <w:numId w:val="429"/>
        </w:numPr>
        <w:rPr>
          <w:rFonts w:ascii="Arial" w:cs="Arial" w:eastAsia="Arial" w:hAnsi="Arial"/>
          <w:sz w:val="17"/>
          <w:szCs w:val="17"/>
          <w:color w:val="auto"/>
        </w:rPr>
      </w:pPr>
      <w:r>
        <w:rPr>
          <w:rFonts w:ascii="Arial" w:cs="Arial" w:eastAsia="Arial" w:hAnsi="Arial"/>
          <w:sz w:val="17"/>
          <w:szCs w:val="17"/>
          <w:color w:val="auto"/>
        </w:rPr>
        <w:t>support, reimbursement, hold harmless, indemnity and similar letters or agreements provided by, or entered into solely between, WIL-Ireland and/or any of its Restricted Subsidiaries (whether before, simultaneous with, or after the Effective Date), but only to the extent any such letters or agreements both (i) relate to the guarantee of Obligations and/or pledge of assets by WIL-Ireland and/or any Restricted Subsidiary under a Loan Document and (ii) do not modify, limit or otherwise adversely affect any obligation of any Guarantor or pledgor of assets to a Lender, the Administrative Agent or the Collateral Agent (or any rights a Lender, the Administrative Agent or the Collateral Agent has under the Loan Documents).</w:t>
      </w:r>
    </w:p>
    <w:p>
      <w:pPr>
        <w:spacing w:after="0" w:line="173"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8.01</w:t>
      </w:r>
      <w:r>
        <w:rPr>
          <w:rFonts w:ascii="Arial" w:cs="Arial" w:eastAsia="Arial" w:hAnsi="Arial"/>
          <w:sz w:val="17"/>
          <w:szCs w:val="17"/>
          <w:color w:val="auto"/>
        </w:rPr>
        <w:t>, any payment by WIL-Ireland or any Restricted Subsidiary of any interest on any Indebtedness in kind (by adding the amount of such interest to the principal amount of such Indebtedness) shall be deemed to be an incurrence of Indebtedness.</w:t>
      </w:r>
    </w:p>
    <w:p>
      <w:pPr>
        <w:sectPr>
          <w:pgSz w:w="11900" w:h="16838" w:orient="portrait"/>
          <w:cols w:equalWidth="0" w:num="1">
            <w:col w:w="11400"/>
          </w:cols>
          <w:pgMar w:left="240" w:top="125" w:right="259" w:bottom="0" w:gutter="0" w:footer="0" w:header="0"/>
        </w:sectPr>
      </w:pPr>
    </w:p>
    <w:bookmarkStart w:id="175" w:name="page176"/>
    <w:bookmarkEnd w:id="175"/>
    <w:p>
      <w:pPr>
        <w:spacing w:after="0" w:line="50"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5"/>
          <w:szCs w:val="15"/>
          <w:u w:val="single" w:color="auto"/>
          <w:color w:val="auto"/>
        </w:rPr>
        <w:t>Fundamental Changes</w:t>
      </w:r>
      <w:r>
        <w:rPr>
          <w:rFonts w:ascii="Arial" w:cs="Arial" w:eastAsia="Arial" w:hAnsi="Arial"/>
          <w:sz w:val="15"/>
          <w:szCs w:val="15"/>
          <w:color w:val="auto"/>
        </w:rPr>
        <w:t>.</w:t>
      </w:r>
    </w:p>
    <w:p>
      <w:pPr>
        <w:spacing w:after="0" w:line="225" w:lineRule="exact"/>
        <w:rPr>
          <w:sz w:val="20"/>
          <w:szCs w:val="20"/>
          <w:color w:val="auto"/>
        </w:rPr>
      </w:pPr>
    </w:p>
    <w:p>
      <w:pPr>
        <w:ind w:right="20" w:firstLine="1305"/>
        <w:spacing w:after="0" w:line="269" w:lineRule="auto"/>
        <w:tabs>
          <w:tab w:leader="none" w:pos="1942" w:val="left"/>
        </w:tabs>
        <w:numPr>
          <w:ilvl w:val="0"/>
          <w:numId w:val="430"/>
        </w:numPr>
        <w:rPr>
          <w:rFonts w:ascii="Arial" w:cs="Arial" w:eastAsia="Arial" w:hAnsi="Arial"/>
          <w:sz w:val="17"/>
          <w:szCs w:val="17"/>
          <w:color w:val="auto"/>
        </w:rPr>
      </w:pPr>
      <w:r>
        <w:rPr>
          <w:rFonts w:ascii="Arial" w:cs="Arial" w:eastAsia="Arial" w:hAnsi="Arial"/>
          <w:sz w:val="17"/>
          <w:szCs w:val="17"/>
          <w:color w:val="auto"/>
        </w:rPr>
        <w:t xml:space="preserve">WIL-Ireland shall not, and shall not permit any Restricted Subsidiary to, merge into or consolidate or amalgamate with any other Person, or permit any other Person to merge into or consolidate or amalgamate with it, except that, if at the time thereof and immediately after giving effect thereto no Default or Event of Default shall have occurred and be continuing, any Person may merge, consolidate or amalgamate with (i) any Obligor, any Specified Group Member or any Other Subsidiaries Group Member or (ii) any non-Affiliate to facilitate any acquisition or Disposition otherwise permitted by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each of clauses (i) and (ii), each of the following conditions must be met: (A) if such merger, consolidation or amalgamation involves WIL-Bermuda, WIL-Bermuda shall be the surviving or continuing Person; (B) if such merger, consolidation or amalgamation involves a Borrower (other than WIL-Bermuda), a Borrower shall be the surviving or continuing Person, (C) other than in the case of facilitating a Disposition otherwise permitted by the Loan Documents, if such merger, consolidation or amalgamation involves an Obligor (other than a Borrower), an Obligor shall be the surviving or continuing Person, (D) if such merger, consolidation or amalgamation involves a Specified Obligor, either (1) a Specified Obligor shall be the surviving or continuing Person or (2) after giving pro forma effect to such merger, consolidation or amalgamation and treating the surviving or continuing Person as a member of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Specified Group (disregarding the definition thereof for this purpose), WIL-Ireland would be in compliance with the Financial Covenants (calculated as of the last day of the most recently ended Testing Period for which financial statements are available as if such merger, consolidation or amalgamation had been consummated on the first day of such Testing Period) and (E) other than in the case of any merger, consolidation or amalgamation involving only Secured Obligors, after giving pro forma effect to such merger, consolidation or amalgamation, WIL-Ireland would be in compliance with the Current Asset Coverage Ratio Covenant (calculated as of the last day of the most recently ended Fiscal Quarter for which financial statements are available as if such merger, consolidation or amalgamation occurred on such day);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each case, any such merger, consolidation or amalgamation involving a Person that is not a Wholly-Owned Subsidiary immediately prior to such merger, consolidation or amalgamation shall not be permitted unless it is also permitted by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and, in the case of a Person that is an Unrestricted Subsidiary immediately prior to such merger, consolidation or amalgamation, </w:t>
      </w:r>
      <w:r>
        <w:rPr>
          <w:rFonts w:ascii="Arial" w:cs="Arial" w:eastAsia="Arial" w:hAnsi="Arial"/>
          <w:sz w:val="16"/>
          <w:szCs w:val="16"/>
          <w:u w:val="single" w:color="auto"/>
          <w:color w:val="auto"/>
        </w:rPr>
        <w:t>Section 7.09</w:t>
      </w:r>
      <w:r>
        <w:rPr>
          <w:rFonts w:ascii="Arial" w:cs="Arial" w:eastAsia="Arial" w:hAnsi="Arial"/>
          <w:sz w:val="16"/>
          <w:szCs w:val="16"/>
          <w:color w:val="auto"/>
        </w:rPr>
        <w:t>.</w:t>
      </w:r>
    </w:p>
    <w:p>
      <w:pPr>
        <w:spacing w:after="0" w:line="166" w:lineRule="exact"/>
        <w:rPr>
          <w:sz w:val="20"/>
          <w:szCs w:val="20"/>
          <w:color w:val="auto"/>
        </w:rPr>
      </w:pPr>
    </w:p>
    <w:p>
      <w:pPr>
        <w:ind w:right="20" w:firstLine="1305"/>
        <w:spacing w:after="0" w:line="284" w:lineRule="auto"/>
        <w:tabs>
          <w:tab w:leader="none" w:pos="1952" w:val="left"/>
        </w:tabs>
        <w:numPr>
          <w:ilvl w:val="0"/>
          <w:numId w:val="431"/>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shall not prohibit any Redomestication;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a Redomestication of WIL-Ireland of the type described in clause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of the definition thereof, the Surviving Person shall (A) execute and deliver to the Administrative Agent an instrument, in form and substance reasonably satisfactory to the Administrative Agent, whereby such Surviving Person shall become a party to this Agreement, the Affiliate Guaranty and each Collateral Document to which WIL-Ireland is a party (if any) (or such similar Collateral Documents as are necessary in the reasonable discretion of the Administrative Agent for such Surviving Person to comply with </w:t>
      </w:r>
      <w:r>
        <w:rPr>
          <w:rFonts w:ascii="Arial" w:cs="Arial" w:eastAsia="Arial" w:hAnsi="Arial"/>
          <w:sz w:val="16"/>
          <w:szCs w:val="16"/>
          <w:u w:val="single" w:color="auto"/>
          <w:color w:val="auto"/>
        </w:rPr>
        <w:t>Section 7.08</w:t>
      </w:r>
      <w:r>
        <w:rPr>
          <w:rFonts w:ascii="Arial" w:cs="Arial" w:eastAsia="Arial" w:hAnsi="Arial"/>
          <w:sz w:val="16"/>
          <w:szCs w:val="16"/>
          <w:color w:val="auto"/>
        </w:rPr>
        <w:t>) and assume all rights and obligations of WIL-Ireland hereunder and thereunder and (B) deliver to the Administrative Agent one or more opinions of counsel in form, scope and substance reasonably satisfactory to the Administrative Agent, and (ii) in the case of a Redomestication of WIL-Ireland of the type described in</w:t>
      </w:r>
    </w:p>
    <w:p>
      <w:pPr>
        <w:spacing w:after="0" w:line="2" w:lineRule="exact"/>
        <w:rPr>
          <w:rFonts w:ascii="Arial" w:cs="Arial" w:eastAsia="Arial" w:hAnsi="Arial"/>
          <w:sz w:val="16"/>
          <w:szCs w:val="16"/>
          <w:color w:val="auto"/>
        </w:rPr>
      </w:pPr>
    </w:p>
    <w:p>
      <w:pPr>
        <w:ind w:right="180"/>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clause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the definition thereof in which the Person formed pursuant to such Redomestication is a different legal entity than WIL-Ireland, the Person formed pursuant to such Redomestication shall (A) execute and deliver to the Administrative Agent an instrument, in form and substance reasonably satisfactory to the Administrative Agent, whereby such Person shall become a party to this Agreement, the Affiliate Guaranty and the Collateral Documents to which WIL-Ireland is a party (if any) (or such similar Collateral Documents as are necessary in the reasonable discretion of the Administrative Agent for such Surviving Person to comply with </w:t>
      </w:r>
      <w:r>
        <w:rPr>
          <w:rFonts w:ascii="Arial" w:cs="Arial" w:eastAsia="Arial" w:hAnsi="Arial"/>
          <w:sz w:val="16"/>
          <w:szCs w:val="16"/>
          <w:u w:val="single" w:color="auto"/>
          <w:color w:val="auto"/>
        </w:rPr>
        <w:t>Section 7.08</w:t>
      </w:r>
      <w:r>
        <w:rPr>
          <w:rFonts w:ascii="Arial" w:cs="Arial" w:eastAsia="Arial" w:hAnsi="Arial"/>
          <w:sz w:val="16"/>
          <w:szCs w:val="16"/>
          <w:color w:val="auto"/>
        </w:rPr>
        <w:t>) and assume all rights and obligations of such Obligor hereunder and thereunder and (B) deliver to the Administrative Agent one or more opinions of counsel in form, scope and substance reasonably satisfactory to the Administrative Agent.</w:t>
      </w:r>
    </w:p>
    <w:p>
      <w:pPr>
        <w:spacing w:after="0" w:line="164" w:lineRule="exact"/>
        <w:rPr>
          <w:rFonts w:ascii="Arial" w:cs="Arial" w:eastAsia="Arial" w:hAnsi="Arial"/>
          <w:sz w:val="16"/>
          <w:szCs w:val="16"/>
          <w:color w:val="auto"/>
        </w:rPr>
      </w:pPr>
    </w:p>
    <w:p>
      <w:pPr>
        <w:ind w:firstLine="1305"/>
        <w:spacing w:after="0" w:line="297" w:lineRule="auto"/>
        <w:tabs>
          <w:tab w:leader="none" w:pos="1955" w:val="left"/>
        </w:tabs>
        <w:numPr>
          <w:ilvl w:val="0"/>
          <w:numId w:val="431"/>
        </w:numPr>
        <w:rPr>
          <w:rFonts w:ascii="Arial" w:cs="Arial" w:eastAsia="Arial" w:hAnsi="Arial"/>
          <w:sz w:val="16"/>
          <w:szCs w:val="16"/>
          <w:color w:val="auto"/>
        </w:rPr>
      </w:pPr>
      <w:r>
        <w:rPr>
          <w:rFonts w:ascii="Arial" w:cs="Arial" w:eastAsia="Arial" w:hAnsi="Arial"/>
          <w:sz w:val="16"/>
          <w:szCs w:val="16"/>
          <w:color w:val="auto"/>
        </w:rPr>
        <w:t xml:space="preserve">WIL-Ireland shall not, and shall not permit any Restricted Subsidiary to, wind up, liquidate or dissolve;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the time thereof and immediately after giving effect thereto no Default or Event of Default shall have occurred and be continuing, (i) any Restricted Subsidiary that is not an Obligor may wind up, liquidate or dissolve if WIL-Ireland determines in good faith that such winding up, liquidation or dissolution is in the best interests of WIL-Ireland and its other Restricted Subsidiaries and is not materially disadvantageous to the Lenders and (ii) any Specified Obligor may wind up, liquidate or dissolve if (A) the owner of all of the Capital Stock of such Specified Obligor immediately prior to such event shall be 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Wholly-Owned Subsidiary of WIL-Ireland (other than WIL-Bermuda or WIL-Delaware, unless the Subsidiaries directly owned by WIL-Bermuda or WIL-Delaware winding up, liquidating or dissolving in the aggregate since the RCF Effective Date do not have assets representing more than 2.5% of the Total Specified Asset Value as of the last day of any Fiscal Quarter ended for which financial statements have been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7.01(b)</w:t>
      </w:r>
      <w:r>
        <w:rPr>
          <w:rFonts w:ascii="Arial" w:cs="Arial" w:eastAsia="Arial" w:hAnsi="Arial"/>
          <w:sz w:val="16"/>
          <w:szCs w:val="16"/>
          <w:color w:val="auto"/>
        </w:rPr>
        <w:t xml:space="preserve"> or generate more than 2.5% of Consolidated Adjusted EBITDA of the Specified Group for the four consecutive Fiscal Quarter period ending on such date) that is organized in a Specified Jurisdiction; (B) if such owner is not then an Obligor, such owner shall execute and deliver to the Administrative Agent (1) a guaranty of the Obligations in form and substance reasonably satisfactory to the Administrative Agent, (2) an opinion, reasonably satisfactory in form, scope and substance to the Administrative Agent, of counsel reasonably satisfactory to the Administrative Agent, addressing such matters in connection with such event as the Administrative Agent or any Lender may reasonably request, (3) any Collateral Documents necessary in the reasonable discretion of the Administrative Agent for such Person to comply with </w:t>
      </w:r>
      <w:r>
        <w:rPr>
          <w:rFonts w:ascii="Arial" w:cs="Arial" w:eastAsia="Arial" w:hAnsi="Arial"/>
          <w:sz w:val="16"/>
          <w:szCs w:val="16"/>
          <w:u w:val="single" w:color="auto"/>
          <w:color w:val="auto"/>
        </w:rPr>
        <w:t>Section 7.08</w:t>
      </w:r>
      <w:r>
        <w:rPr>
          <w:rFonts w:ascii="Arial" w:cs="Arial" w:eastAsia="Arial" w:hAnsi="Arial"/>
          <w:sz w:val="16"/>
          <w:szCs w:val="16"/>
          <w:color w:val="auto"/>
        </w:rPr>
        <w:t xml:space="preserve">) and (4) such other documentation as the Administrative Agent may reasonably request; and (C) other than in the case of any winding up, liquidation or dissolution of a Restricted Subsidiary all of the Capital Stock of which is directly owned by one or more Secured Obligors, after giving pro forma effect to such winding up, liquidation or dissolution, WIL-Ireland would be in compliance with the Current Asset Coverage Ratio Covenant (calculated as of the last day of the most recently ended Fiscal Quarter for which financial statements are available as if such winding up, liquidation or dissolution occurred on such day);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WIL-Ireland shall comply with the conditions set forth in </w:t>
      </w:r>
      <w:r>
        <w:rPr>
          <w:rFonts w:ascii="Arial" w:cs="Arial" w:eastAsia="Arial" w:hAnsi="Arial"/>
          <w:sz w:val="16"/>
          <w:szCs w:val="16"/>
          <w:u w:val="single" w:color="auto"/>
          <w:color w:val="auto"/>
        </w:rPr>
        <w:t>Sections 11.01(d)(i)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11.01(d)(ii)</w:t>
      </w:r>
      <w:r>
        <w:rPr>
          <w:rFonts w:ascii="Arial" w:cs="Arial" w:eastAsia="Arial" w:hAnsi="Arial"/>
          <w:sz w:val="16"/>
          <w:szCs w:val="16"/>
          <w:color w:val="auto"/>
        </w:rPr>
        <w:t xml:space="preserve"> with respect to any Specified Obligor that is a Borrower (for purposes of this </w:t>
      </w:r>
      <w:r>
        <w:rPr>
          <w:rFonts w:ascii="Arial" w:cs="Arial" w:eastAsia="Arial" w:hAnsi="Arial"/>
          <w:sz w:val="16"/>
          <w:szCs w:val="16"/>
          <w:u w:val="single" w:color="auto"/>
          <w:color w:val="auto"/>
        </w:rPr>
        <w:t>Section 8.02(c)</w:t>
      </w:r>
      <w:r>
        <w:rPr>
          <w:rFonts w:ascii="Arial" w:cs="Arial" w:eastAsia="Arial" w:hAnsi="Arial"/>
          <w:sz w:val="16"/>
          <w:szCs w:val="16"/>
          <w:color w:val="auto"/>
        </w:rPr>
        <w:t xml:space="preserve">, the references to “Borrower Removal Date” in </w:t>
      </w:r>
      <w:r>
        <w:rPr>
          <w:rFonts w:ascii="Arial" w:cs="Arial" w:eastAsia="Arial" w:hAnsi="Arial"/>
          <w:sz w:val="16"/>
          <w:szCs w:val="16"/>
          <w:u w:val="single" w:color="auto"/>
          <w:color w:val="auto"/>
        </w:rPr>
        <w:t>Sections 11.01(d)(i)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11.01(d)(ii)</w:t>
      </w:r>
      <w:r>
        <w:rPr>
          <w:rFonts w:ascii="Arial" w:cs="Arial" w:eastAsia="Arial" w:hAnsi="Arial"/>
          <w:sz w:val="16"/>
          <w:szCs w:val="16"/>
          <w:color w:val="auto"/>
        </w:rPr>
        <w:t xml:space="preserve"> being understood to refer to the date on which such Borrower winds up, liquidates or dissolves pursuant to this </w:t>
      </w:r>
      <w:r>
        <w:rPr>
          <w:rFonts w:ascii="Arial" w:cs="Arial" w:eastAsia="Arial" w:hAnsi="Arial"/>
          <w:sz w:val="16"/>
          <w:szCs w:val="16"/>
          <w:u w:val="single" w:color="auto"/>
          <w:color w:val="auto"/>
        </w:rPr>
        <w:t>Section 8.02(c)</w:t>
      </w:r>
      <w:r>
        <w:rPr>
          <w:rFonts w:ascii="Arial" w:cs="Arial" w:eastAsia="Arial" w:hAnsi="Arial"/>
          <w:sz w:val="16"/>
          <w:szCs w:val="16"/>
          <w:color w:val="auto"/>
        </w:rPr>
        <w:t xml:space="preserve">). Notwithstanding anything to the contrary contained herein, in the event that any Borrower shall cease to be a Borrower hereunder as a result of a transaction permitted under this </w:t>
      </w:r>
      <w:r>
        <w:rPr>
          <w:rFonts w:ascii="Arial" w:cs="Arial" w:eastAsia="Arial" w:hAnsi="Arial"/>
          <w:sz w:val="16"/>
          <w:szCs w:val="16"/>
          <w:u w:val="single" w:color="auto"/>
          <w:color w:val="auto"/>
        </w:rPr>
        <w:t>Section 8.02(c)</w:t>
      </w:r>
      <w:r>
        <w:rPr>
          <w:rFonts w:ascii="Arial" w:cs="Arial" w:eastAsia="Arial" w:hAnsi="Arial"/>
          <w:sz w:val="16"/>
          <w:szCs w:val="16"/>
          <w:color w:val="auto"/>
        </w:rPr>
        <w:t xml:space="preserve">, the other Obligors shall remain jointly and severally liable with respect to each Loan made to such Borrower outstanding on the date on which such Borrower winds up, liquidates or dissolves pursuant to this </w:t>
      </w:r>
      <w:r>
        <w:rPr>
          <w:rFonts w:ascii="Arial" w:cs="Arial" w:eastAsia="Arial" w:hAnsi="Arial"/>
          <w:sz w:val="16"/>
          <w:szCs w:val="16"/>
          <w:u w:val="single" w:color="auto"/>
          <w:color w:val="auto"/>
        </w:rPr>
        <w:t>Section 8.02(c)</w:t>
      </w:r>
      <w:r>
        <w:rPr>
          <w:rFonts w:ascii="Arial" w:cs="Arial" w:eastAsia="Arial" w:hAnsi="Arial"/>
          <w:sz w:val="16"/>
          <w:szCs w:val="16"/>
          <w:color w:val="auto"/>
        </w:rPr>
        <w:t>.</w:t>
      </w:r>
    </w:p>
    <w:p>
      <w:pPr>
        <w:spacing w:after="0" w:line="173"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Material Change in Business</w:t>
      </w:r>
      <w:r>
        <w:rPr>
          <w:rFonts w:ascii="Arial" w:cs="Arial" w:eastAsia="Arial" w:hAnsi="Arial"/>
          <w:sz w:val="17"/>
          <w:szCs w:val="17"/>
          <w:color w:val="auto"/>
        </w:rPr>
        <w:t>. WIL-Ireland and its Restricted Subsidiaries (taken as a whole) shall not engage in any material business substantially different from those businesses of WIL-Ireland and its Subsidiaries described in the Form 10-K of WIL-Ireland for the Fiscal Year ended December 31, 2015, as filed with the SEC, and any businesses reasonably related, ancillary or complementary thereto.</w:t>
      </w:r>
    </w:p>
    <w:p>
      <w:pPr>
        <w:spacing w:after="0" w:line="166"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u w:val="single" w:color="auto"/>
          <w:color w:val="auto"/>
        </w:rPr>
        <w:t>Liens</w:t>
      </w:r>
      <w:r>
        <w:rPr>
          <w:rFonts w:ascii="Arial" w:cs="Arial" w:eastAsia="Arial" w:hAnsi="Arial"/>
          <w:sz w:val="16"/>
          <w:szCs w:val="16"/>
          <w:color w:val="auto"/>
        </w:rPr>
        <w:t>. WIL-Ireland shall not, and shall not permit any Restricted Subsidiary to, create, incur, assume or permit to exist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Lien on any property or asset now owned or hereafter acquired by it, except:</w:t>
      </w:r>
    </w:p>
    <w:p>
      <w:pPr>
        <w:sectPr>
          <w:pgSz w:w="11900" w:h="16888" w:orient="portrait"/>
          <w:cols w:equalWidth="0" w:num="1">
            <w:col w:w="11420"/>
          </w:cols>
          <w:pgMar w:left="240" w:top="125" w:right="239" w:bottom="0" w:gutter="0" w:footer="0" w:header="0"/>
        </w:sectPr>
      </w:pPr>
    </w:p>
    <w:bookmarkStart w:id="176" w:name="page177"/>
    <w:bookmarkEnd w:id="176"/>
    <w:p>
      <w:pPr>
        <w:spacing w:after="0" w:line="96" w:lineRule="exact"/>
        <w:rPr>
          <w:sz w:val="20"/>
          <w:szCs w:val="20"/>
          <w:color w:val="auto"/>
        </w:rPr>
      </w:pPr>
    </w:p>
    <w:p>
      <w:pPr>
        <w:ind w:left="1940" w:hanging="635"/>
        <w:spacing w:after="0"/>
        <w:tabs>
          <w:tab w:leader="none" w:pos="19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Liens created pursuant to any Loan Document;</w:t>
      </w:r>
    </w:p>
    <w:p>
      <w:pPr>
        <w:spacing w:after="0" w:line="225" w:lineRule="exact"/>
        <w:rPr>
          <w:rFonts w:ascii="Arial" w:cs="Arial" w:eastAsia="Arial" w:hAnsi="Arial"/>
          <w:sz w:val="18"/>
          <w:szCs w:val="18"/>
          <w:color w:val="auto"/>
        </w:rPr>
      </w:pPr>
    </w:p>
    <w:p>
      <w:pPr>
        <w:ind w:right="220" w:firstLine="1305"/>
        <w:spacing w:after="0" w:line="277" w:lineRule="auto"/>
        <w:tabs>
          <w:tab w:leader="none" w:pos="1952" w:val="left"/>
        </w:tabs>
        <w:numPr>
          <w:ilvl w:val="0"/>
          <w:numId w:val="432"/>
        </w:numPr>
        <w:rPr>
          <w:rFonts w:ascii="Arial" w:cs="Arial" w:eastAsia="Arial" w:hAnsi="Arial"/>
          <w:sz w:val="18"/>
          <w:szCs w:val="18"/>
          <w:color w:val="auto"/>
        </w:rPr>
      </w:pPr>
      <w:r>
        <w:rPr>
          <w:rFonts w:ascii="Arial" w:cs="Arial" w:eastAsia="Arial" w:hAnsi="Arial"/>
          <w:sz w:val="18"/>
          <w:szCs w:val="18"/>
          <w:color w:val="auto"/>
        </w:rPr>
        <w:t>(i) Liens arising under the Term Loan Documents that secure the Term Loan Obligations, which Liens may be prior to the Liens securing the Secured Obligations on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terms and conditions set forth in the Intercreditor Agreement, and (ii) Liens arising under the RCF Loan Documents that secure the RCF Obligations;</w:t>
      </w:r>
    </w:p>
    <w:p>
      <w:pPr>
        <w:spacing w:after="0" w:line="237" w:lineRule="exact"/>
        <w:rPr>
          <w:sz w:val="20"/>
          <w:szCs w:val="20"/>
          <w:color w:val="auto"/>
        </w:rPr>
      </w:pPr>
    </w:p>
    <w:p>
      <w:pPr>
        <w:ind w:left="1960" w:hanging="655"/>
        <w:spacing w:after="0"/>
        <w:tabs>
          <w:tab w:leader="none" w:pos="19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25" w:lineRule="exact"/>
        <w:rPr>
          <w:rFonts w:ascii="Arial" w:cs="Arial" w:eastAsia="Arial" w:hAnsi="Arial"/>
          <w:sz w:val="18"/>
          <w:szCs w:val="18"/>
          <w:color w:val="auto"/>
        </w:rPr>
      </w:pPr>
    </w:p>
    <w:p>
      <w:pPr>
        <w:ind w:right="160" w:firstLine="1305"/>
        <w:spacing w:after="0" w:line="286" w:lineRule="auto"/>
        <w:tabs>
          <w:tab w:leader="none" w:pos="1952" w:val="left"/>
        </w:tabs>
        <w:numPr>
          <w:ilvl w:val="0"/>
          <w:numId w:val="433"/>
        </w:numPr>
        <w:rPr>
          <w:rFonts w:ascii="Arial" w:cs="Arial" w:eastAsia="Arial" w:hAnsi="Arial"/>
          <w:sz w:val="17"/>
          <w:szCs w:val="17"/>
          <w:color w:val="auto"/>
        </w:rPr>
      </w:pPr>
      <w:r>
        <w:rPr>
          <w:rFonts w:ascii="Arial" w:cs="Arial" w:eastAsia="Arial" w:hAnsi="Arial"/>
          <w:sz w:val="17"/>
          <w:szCs w:val="17"/>
          <w:color w:val="auto"/>
        </w:rPr>
        <w:t xml:space="preserve">any Lien on any property or asset of WIL-Ireland or any Restricted Subsidiary existing on the date hereof and set forth in </w:t>
      </w:r>
      <w:r>
        <w:rPr>
          <w:rFonts w:ascii="Arial" w:cs="Arial" w:eastAsia="Arial" w:hAnsi="Arial"/>
          <w:sz w:val="17"/>
          <w:szCs w:val="17"/>
          <w:u w:val="single" w:color="auto"/>
          <w:color w:val="auto"/>
        </w:rPr>
        <w:t>Schedule 8.04</w:t>
      </w:r>
      <w:r>
        <w:rPr>
          <w:rFonts w:ascii="Arial" w:cs="Arial" w:eastAsia="Arial" w:hAnsi="Arial"/>
          <w:sz w:val="17"/>
          <w:szCs w:val="17"/>
          <w:color w:val="auto"/>
        </w:rPr>
        <w:t>, provided that (i) such Lien shall not apply to any other property or asset of WIL-Ireland or any Restricted Subsidiary and (ii) such Lien shall secure only those obligations that it secures on the date hereof and Permitted Refinancing Indebtedness in respect thereof;</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precautionary Liens on Receivables and Receivables Related Security arising in connection with Permitted Factoring Transactions;</w:t>
      </w:r>
    </w:p>
    <w:p>
      <w:pPr>
        <w:spacing w:after="0" w:line="248" w:lineRule="exact"/>
        <w:rPr>
          <w:rFonts w:ascii="Arial" w:cs="Arial" w:eastAsia="Arial" w:hAnsi="Arial"/>
          <w:sz w:val="16"/>
          <w:szCs w:val="16"/>
          <w:color w:val="auto"/>
        </w:rPr>
      </w:pPr>
    </w:p>
    <w:p>
      <w:pPr>
        <w:ind w:right="20" w:firstLine="1305"/>
        <w:spacing w:after="0" w:line="279" w:lineRule="auto"/>
        <w:tabs>
          <w:tab w:leader="none" w:pos="1949" w:val="left"/>
        </w:tabs>
        <w:numPr>
          <w:ilvl w:val="0"/>
          <w:numId w:val="433"/>
        </w:numPr>
        <w:rPr>
          <w:rFonts w:ascii="Arial" w:cs="Arial" w:eastAsia="Arial" w:hAnsi="Arial"/>
          <w:sz w:val="17"/>
          <w:szCs w:val="17"/>
          <w:color w:val="auto"/>
        </w:rPr>
      </w:pPr>
      <w:r>
        <w:rPr>
          <w:rFonts w:ascii="Arial" w:cs="Arial" w:eastAsia="Arial" w:hAnsi="Arial"/>
          <w:sz w:val="17"/>
          <w:szCs w:val="17"/>
          <w:color w:val="auto"/>
        </w:rPr>
        <w:t xml:space="preserve">Liens on cash and Cash Equivalents (and deposit accounts in which such cash and Cash Equivalents are held) to secure obligations (contingent or otherwise) in respect of letters of credit or letter of credit facilities, bank guarantees or bank guarantee facilities, bid bonds, surety bonds, performance bonds, customs bonds, advance payment bonds and similar instruments and facilities permitted under </w:t>
      </w:r>
      <w:r>
        <w:rPr>
          <w:rFonts w:ascii="Arial" w:cs="Arial" w:eastAsia="Arial" w:hAnsi="Arial"/>
          <w:sz w:val="17"/>
          <w:szCs w:val="17"/>
          <w:u w:val="single" w:color="auto"/>
          <w:color w:val="auto"/>
        </w:rPr>
        <w:t>Section 8.15</w:t>
      </w:r>
      <w:r>
        <w:rPr>
          <w:rFonts w:ascii="Arial" w:cs="Arial" w:eastAsia="Arial" w:hAnsi="Arial"/>
          <w:sz w:val="17"/>
          <w:szCs w:val="17"/>
          <w:color w:val="auto"/>
        </w:rPr>
        <w:t xml:space="preserve"> so long as the aggregate principal amount of the Indebtedness and other obligations secured by such Liens does not at any time exceed $100,000,000; and</w:t>
      </w:r>
    </w:p>
    <w:p>
      <w:pPr>
        <w:spacing w:after="0" w:line="171" w:lineRule="exact"/>
        <w:rPr>
          <w:rFonts w:ascii="Arial" w:cs="Arial" w:eastAsia="Arial" w:hAnsi="Arial"/>
          <w:sz w:val="17"/>
          <w:szCs w:val="17"/>
          <w:color w:val="auto"/>
        </w:rPr>
      </w:pPr>
    </w:p>
    <w:p>
      <w:pPr>
        <w:ind w:firstLine="1305"/>
        <w:spacing w:after="0" w:line="277" w:lineRule="auto"/>
        <w:tabs>
          <w:tab w:leader="none" w:pos="1965" w:val="left"/>
        </w:tabs>
        <w:numPr>
          <w:ilvl w:val="0"/>
          <w:numId w:val="433"/>
        </w:numPr>
        <w:rPr>
          <w:rFonts w:ascii="Arial" w:cs="Arial" w:eastAsia="Arial" w:hAnsi="Arial"/>
          <w:sz w:val="18"/>
          <w:szCs w:val="18"/>
          <w:color w:val="auto"/>
        </w:rPr>
      </w:pPr>
      <w:r>
        <w:rPr>
          <w:rFonts w:ascii="Arial" w:cs="Arial" w:eastAsia="Arial" w:hAnsi="Arial"/>
          <w:sz w:val="18"/>
          <w:szCs w:val="18"/>
          <w:color w:val="auto"/>
        </w:rPr>
        <w:t>Liens on assets so long as the aggregate principal amount of the Indebtedness and other obligations secured by such Liens does not at any time exceed $15,000,000.</w:t>
      </w:r>
    </w:p>
    <w:p>
      <w:pPr>
        <w:spacing w:after="0" w:line="170"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u w:val="single" w:color="auto"/>
          <w:color w:val="auto"/>
        </w:rPr>
        <w:t>Asset Dispositions</w:t>
      </w:r>
      <w:r>
        <w:rPr>
          <w:rFonts w:ascii="Arial" w:cs="Arial" w:eastAsia="Arial" w:hAnsi="Arial"/>
          <w:sz w:val="16"/>
          <w:szCs w:val="16"/>
          <w:color w:val="auto"/>
        </w:rPr>
        <w:t>. WIL-Ireland shall not, and shall not permit any Restricted Subsidiary to, Dispose of any assets to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Person, except that:</w:t>
      </w:r>
    </w:p>
    <w:p>
      <w:pPr>
        <w:spacing w:after="0" w:line="211" w:lineRule="exact"/>
        <w:rPr>
          <w:sz w:val="20"/>
          <w:szCs w:val="20"/>
          <w:color w:val="auto"/>
        </w:rPr>
      </w:pPr>
    </w:p>
    <w:p>
      <w:pPr>
        <w:ind w:right="480" w:firstLine="1305"/>
        <w:spacing w:after="0" w:line="277" w:lineRule="auto"/>
        <w:tabs>
          <w:tab w:leader="none" w:pos="1942"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any Obligor or any Specified Group Member may Dispose of assets to any Obligor or any Specified Group Member that is a Wholly-Owned Subsidiary;</w:t>
      </w:r>
    </w:p>
    <w:p>
      <w:pPr>
        <w:spacing w:after="0" w:line="170" w:lineRule="exact"/>
        <w:rPr>
          <w:rFonts w:ascii="Arial" w:cs="Arial" w:eastAsia="Arial" w:hAnsi="Arial"/>
          <w:sz w:val="18"/>
          <w:szCs w:val="18"/>
          <w:color w:val="auto"/>
        </w:rPr>
      </w:pPr>
    </w:p>
    <w:p>
      <w:pPr>
        <w:ind w:right="300" w:firstLine="1305"/>
        <w:spacing w:after="0" w:line="277" w:lineRule="auto"/>
        <w:tabs>
          <w:tab w:leader="none" w:pos="1952"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any Other Subsidiaries Group Member may Dispose of assets to any Obligor, any Specified Group Member or any other Other Subsidiaries Group Member;</w:t>
      </w:r>
    </w:p>
    <w:p>
      <w:pPr>
        <w:spacing w:after="0" w:line="170" w:lineRule="exact"/>
        <w:rPr>
          <w:rFonts w:ascii="Arial" w:cs="Arial" w:eastAsia="Arial" w:hAnsi="Arial"/>
          <w:sz w:val="18"/>
          <w:szCs w:val="18"/>
          <w:color w:val="auto"/>
        </w:rPr>
      </w:pPr>
    </w:p>
    <w:p>
      <w:pPr>
        <w:ind w:right="140" w:firstLine="1305"/>
        <w:spacing w:after="0" w:line="279" w:lineRule="auto"/>
        <w:tabs>
          <w:tab w:leader="none" w:pos="1955" w:val="left"/>
        </w:tabs>
        <w:numPr>
          <w:ilvl w:val="0"/>
          <w:numId w:val="434"/>
        </w:numPr>
        <w:rPr>
          <w:rFonts w:ascii="Arial" w:cs="Arial" w:eastAsia="Arial" w:hAnsi="Arial"/>
          <w:sz w:val="17"/>
          <w:szCs w:val="17"/>
          <w:color w:val="auto"/>
        </w:rPr>
      </w:pPr>
      <w:r>
        <w:rPr>
          <w:rFonts w:ascii="Arial" w:cs="Arial" w:eastAsia="Arial" w:hAnsi="Arial"/>
          <w:sz w:val="17"/>
          <w:szCs w:val="17"/>
          <w:color w:val="auto"/>
        </w:rPr>
        <w:t xml:space="preserve">any Obligor or any Specified Group Member may Dispose of assets to any Other Subsidiaries Group Member or any Specified Group Member that is not a Wholly-Owned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value of all assets Disposed of in reliance on this </w:t>
      </w:r>
      <w:r>
        <w:rPr>
          <w:rFonts w:ascii="Arial" w:cs="Arial" w:eastAsia="Arial" w:hAnsi="Arial"/>
          <w:sz w:val="17"/>
          <w:szCs w:val="17"/>
          <w:u w:val="single" w:color="auto"/>
          <w:color w:val="auto"/>
        </w:rPr>
        <w:t>Section 8.05(c)</w:t>
      </w:r>
      <w:r>
        <w:rPr>
          <w:rFonts w:ascii="Arial" w:cs="Arial" w:eastAsia="Arial" w:hAnsi="Arial"/>
          <w:sz w:val="17"/>
          <w:szCs w:val="17"/>
          <w:color w:val="auto"/>
        </w:rPr>
        <w:t xml:space="preserve"> (net of the value of any such assets subsequently transferred to any Obligor or any Specified Group Member) since the RCF Effective Date, together with the aggregate amount of all Investments made pursuant to </w:t>
      </w:r>
      <w:r>
        <w:rPr>
          <w:rFonts w:ascii="Arial" w:cs="Arial" w:eastAsia="Arial" w:hAnsi="Arial"/>
          <w:sz w:val="17"/>
          <w:szCs w:val="17"/>
          <w:u w:val="single" w:color="auto"/>
          <w:color w:val="auto"/>
        </w:rPr>
        <w:t>Section 8.06(f)</w:t>
      </w:r>
      <w:r>
        <w:rPr>
          <w:rFonts w:ascii="Arial" w:cs="Arial" w:eastAsia="Arial" w:hAnsi="Arial"/>
          <w:sz w:val="17"/>
          <w:szCs w:val="17"/>
          <w:color w:val="auto"/>
        </w:rPr>
        <w:t xml:space="preserve"> and then outstanding, shall not exceed $200,000,000;</w:t>
      </w:r>
    </w:p>
    <w:p>
      <w:pPr>
        <w:spacing w:after="0" w:line="171" w:lineRule="exact"/>
        <w:rPr>
          <w:rFonts w:ascii="Arial" w:cs="Arial" w:eastAsia="Arial" w:hAnsi="Arial"/>
          <w:sz w:val="17"/>
          <w:szCs w:val="17"/>
          <w:color w:val="auto"/>
        </w:rPr>
      </w:pPr>
    </w:p>
    <w:p>
      <w:pPr>
        <w:jc w:val="both"/>
        <w:ind w:firstLine="1305"/>
        <w:spacing w:after="0" w:line="264" w:lineRule="auto"/>
        <w:tabs>
          <w:tab w:leader="none" w:pos="1952" w:val="left"/>
        </w:tabs>
        <w:numPr>
          <w:ilvl w:val="0"/>
          <w:numId w:val="434"/>
        </w:numPr>
        <w:rPr>
          <w:rFonts w:ascii="Arial" w:cs="Arial" w:eastAsia="Arial" w:hAnsi="Arial"/>
          <w:sz w:val="18"/>
          <w:szCs w:val="18"/>
          <w:color w:val="auto"/>
        </w:rPr>
      </w:pPr>
      <w:r>
        <w:rPr>
          <w:rFonts w:ascii="Arial" w:cs="Arial" w:eastAsia="Arial" w:hAnsi="Arial"/>
          <w:sz w:val="18"/>
          <w:szCs w:val="18"/>
          <w:color w:val="auto"/>
        </w:rPr>
        <w:t>subject to compliance with the provisions of Sections 2.06(c) and 2.08(e) of the RCF Credit Agreement, if applicable, WIL-Ireland and its Restricted Subsidiaries may consummate the Land Rig Sale, so long as (i) at the time thereof and immediately after giving effect thereto, no Default or Event of Default shall have occurred and be continuing, (ii) at least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60% of the consideration received by WIL-Ireland and its Restricted Subsidiaries in respect of the Land Rig Sale shall be cash or Cash Equivalents and</w:t>
      </w:r>
    </w:p>
    <w:p>
      <w:pPr>
        <w:spacing w:after="0" w:line="35" w:lineRule="exact"/>
        <w:rPr>
          <w:sz w:val="20"/>
          <w:szCs w:val="20"/>
          <w:color w:val="auto"/>
        </w:rPr>
      </w:pPr>
    </w:p>
    <w:p>
      <w:pPr>
        <w:ind w:right="60" w:firstLine="8"/>
        <w:spacing w:after="0" w:line="255" w:lineRule="auto"/>
        <w:tabs>
          <w:tab w:leader="none" w:pos="315"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consideration received in respect of the Land Rig Sale shall be equal to or greater than the fair market value of the assets subject to the Land Rig Sale (as reasonably determined by a Principal Financial Officer of WIL-Ireland, and if requested by the Administrative Agent, WIL-Ireland shall deliver a certificate of a Principal Financial Officer of WIL-Ireland certifying as to the foregoing);</w:t>
      </w:r>
    </w:p>
    <w:p>
      <w:pPr>
        <w:spacing w:after="0" w:line="190" w:lineRule="exact"/>
        <w:rPr>
          <w:rFonts w:ascii="Arial" w:cs="Arial" w:eastAsia="Arial" w:hAnsi="Arial"/>
          <w:sz w:val="18"/>
          <w:szCs w:val="18"/>
          <w:color w:val="auto"/>
        </w:rPr>
      </w:pPr>
    </w:p>
    <w:p>
      <w:pPr>
        <w:ind w:left="1960" w:hanging="655"/>
        <w:spacing w:after="0"/>
        <w:tabs>
          <w:tab w:leader="none" w:pos="1960" w:val="left"/>
        </w:tabs>
        <w:numPr>
          <w:ilvl w:val="1"/>
          <w:numId w:val="435"/>
        </w:numPr>
        <w:rPr>
          <w:rFonts w:ascii="Arial" w:cs="Arial" w:eastAsia="Arial" w:hAnsi="Arial"/>
          <w:sz w:val="16"/>
          <w:szCs w:val="16"/>
          <w:color w:val="auto"/>
        </w:rPr>
      </w:pPr>
      <w:r>
        <w:rPr>
          <w:rFonts w:ascii="Arial" w:cs="Arial" w:eastAsia="Arial" w:hAnsi="Arial"/>
          <w:sz w:val="16"/>
          <w:szCs w:val="16"/>
          <w:color w:val="auto"/>
        </w:rPr>
        <w:t>WIL-Ireland and its Restricted Subsidiaries may Dispose of inventory or obsolete or worn-out property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right="140" w:firstLine="1305"/>
        <w:spacing w:after="0" w:line="277" w:lineRule="auto"/>
        <w:tabs>
          <w:tab w:leader="none" w:pos="1949" w:val="left"/>
        </w:tabs>
        <w:numPr>
          <w:ilvl w:val="1"/>
          <w:numId w:val="435"/>
        </w:numPr>
        <w:rPr>
          <w:rFonts w:ascii="Arial" w:cs="Arial" w:eastAsia="Arial" w:hAnsi="Arial"/>
          <w:sz w:val="18"/>
          <w:szCs w:val="18"/>
          <w:color w:val="auto"/>
        </w:rPr>
      </w:pPr>
      <w:r>
        <w:rPr>
          <w:rFonts w:ascii="Arial" w:cs="Arial" w:eastAsia="Arial" w:hAnsi="Arial"/>
          <w:sz w:val="18"/>
          <w:szCs w:val="18"/>
          <w:color w:val="auto"/>
        </w:rPr>
        <w:t xml:space="preserve">WIL-Ireland and its Restricted Subsidiaries may make Investments permitted by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and Restricted Payments permitted by </w:t>
      </w:r>
      <w:r>
        <w:rPr>
          <w:rFonts w:ascii="Arial" w:cs="Arial" w:eastAsia="Arial" w:hAnsi="Arial"/>
          <w:sz w:val="18"/>
          <w:szCs w:val="18"/>
          <w:u w:val="single" w:color="auto"/>
          <w:color w:val="auto"/>
        </w:rPr>
        <w:t>Section 8.08</w:t>
      </w:r>
      <w:r>
        <w:rPr>
          <w:rFonts w:ascii="Arial" w:cs="Arial" w:eastAsia="Arial" w:hAnsi="Arial"/>
          <w:sz w:val="18"/>
          <w:szCs w:val="18"/>
          <w:color w:val="auto"/>
        </w:rPr>
        <w:t>, in each case to the extent constituting Dispositions;</w:t>
      </w:r>
    </w:p>
    <w:p>
      <w:pPr>
        <w:spacing w:after="0" w:line="170" w:lineRule="exact"/>
        <w:rPr>
          <w:rFonts w:ascii="Arial" w:cs="Arial" w:eastAsia="Arial" w:hAnsi="Arial"/>
          <w:sz w:val="18"/>
          <w:szCs w:val="18"/>
          <w:color w:val="auto"/>
        </w:rPr>
      </w:pPr>
    </w:p>
    <w:p>
      <w:pPr>
        <w:ind w:right="100" w:firstLine="1305"/>
        <w:spacing w:after="0" w:line="308" w:lineRule="auto"/>
        <w:tabs>
          <w:tab w:leader="none" w:pos="1965" w:val="left"/>
        </w:tabs>
        <w:numPr>
          <w:ilvl w:val="1"/>
          <w:numId w:val="435"/>
        </w:numPr>
        <w:rPr>
          <w:rFonts w:ascii="Arial" w:cs="Arial" w:eastAsia="Arial" w:hAnsi="Arial"/>
          <w:sz w:val="17"/>
          <w:szCs w:val="17"/>
          <w:color w:val="auto"/>
        </w:rPr>
      </w:pPr>
      <w:r>
        <w:rPr>
          <w:rFonts w:ascii="Arial" w:cs="Arial" w:eastAsia="Arial" w:hAnsi="Arial"/>
          <w:sz w:val="17"/>
          <w:szCs w:val="17"/>
          <w:color w:val="auto"/>
        </w:rPr>
        <w:t xml:space="preserve">subject to compliance with the provisions of </w:t>
      </w:r>
      <w:r>
        <w:rPr>
          <w:rFonts w:ascii="Arial" w:cs="Arial" w:eastAsia="Arial" w:hAnsi="Arial"/>
          <w:sz w:val="17"/>
          <w:szCs w:val="17"/>
          <w:u w:val="single" w:color="auto"/>
          <w:color w:val="auto"/>
        </w:rPr>
        <w:t>Section 2.08(d)</w:t>
      </w:r>
      <w:r>
        <w:rPr>
          <w:rFonts w:ascii="Arial" w:cs="Arial" w:eastAsia="Arial" w:hAnsi="Arial"/>
          <w:sz w:val="17"/>
          <w:szCs w:val="17"/>
          <w:color w:val="auto"/>
        </w:rPr>
        <w:t>, any Disposition of Receivables and Receivables Related Security in connection with any Permitted Factoring Transaction shall be permitted and any Permitted Customer Notes Disposition shall be permitted;</w:t>
      </w:r>
    </w:p>
    <w:p>
      <w:pPr>
        <w:spacing w:after="0" w:line="146" w:lineRule="exact"/>
        <w:rPr>
          <w:rFonts w:ascii="Arial" w:cs="Arial" w:eastAsia="Arial" w:hAnsi="Arial"/>
          <w:sz w:val="17"/>
          <w:szCs w:val="17"/>
          <w:color w:val="auto"/>
        </w:rPr>
      </w:pPr>
    </w:p>
    <w:p>
      <w:pPr>
        <w:ind w:right="20" w:firstLine="1305"/>
        <w:spacing w:after="0" w:line="277" w:lineRule="auto"/>
        <w:tabs>
          <w:tab w:leader="none" w:pos="1952" w:val="left"/>
        </w:tabs>
        <w:numPr>
          <w:ilvl w:val="1"/>
          <w:numId w:val="435"/>
        </w:numPr>
        <w:rPr>
          <w:rFonts w:ascii="Arial" w:cs="Arial" w:eastAsia="Arial" w:hAnsi="Arial"/>
          <w:sz w:val="18"/>
          <w:szCs w:val="18"/>
          <w:color w:val="auto"/>
        </w:rPr>
      </w:pPr>
      <w:r>
        <w:rPr>
          <w:rFonts w:ascii="Arial" w:cs="Arial" w:eastAsia="Arial" w:hAnsi="Arial"/>
          <w:sz w:val="18"/>
          <w:szCs w:val="18"/>
          <w:color w:val="auto"/>
        </w:rPr>
        <w:t>any Disposition of assets resulting from a casualty event or condemnation proceeding, expropriation or other involuntary taking by a Governmental Authority shall be permitted;</w:t>
      </w:r>
    </w:p>
    <w:p>
      <w:pPr>
        <w:spacing w:after="0" w:line="170" w:lineRule="exact"/>
        <w:rPr>
          <w:rFonts w:ascii="Arial" w:cs="Arial" w:eastAsia="Arial" w:hAnsi="Arial"/>
          <w:sz w:val="18"/>
          <w:szCs w:val="18"/>
          <w:color w:val="auto"/>
        </w:rPr>
      </w:pPr>
    </w:p>
    <w:p>
      <w:pPr>
        <w:ind w:right="520" w:firstLine="1305"/>
        <w:spacing w:after="0" w:line="277" w:lineRule="auto"/>
        <w:tabs>
          <w:tab w:leader="none" w:pos="1966" w:val="left"/>
        </w:tabs>
        <w:numPr>
          <w:ilvl w:val="1"/>
          <w:numId w:val="435"/>
        </w:numPr>
        <w:rPr>
          <w:rFonts w:ascii="Arial" w:cs="Arial" w:eastAsia="Arial" w:hAnsi="Arial"/>
          <w:sz w:val="18"/>
          <w:szCs w:val="18"/>
          <w:color w:val="auto"/>
        </w:rPr>
      </w:pPr>
      <w:r>
        <w:rPr>
          <w:rFonts w:ascii="Arial" w:cs="Arial" w:eastAsia="Arial" w:hAnsi="Arial"/>
          <w:sz w:val="18"/>
          <w:szCs w:val="18"/>
          <w:color w:val="auto"/>
        </w:rPr>
        <w:t>WIL-Ireland and its Restricted Subsidiaries may grant in the ordinary course of business any license of patents, trademarks, registrations therefor and other similar intellectual property;</w:t>
      </w:r>
    </w:p>
    <w:p>
      <w:pPr>
        <w:spacing w:after="0" w:line="170" w:lineRule="exact"/>
        <w:rPr>
          <w:rFonts w:ascii="Arial" w:cs="Arial" w:eastAsia="Arial" w:hAnsi="Arial"/>
          <w:sz w:val="18"/>
          <w:szCs w:val="18"/>
          <w:color w:val="auto"/>
        </w:rPr>
      </w:pPr>
    </w:p>
    <w:p>
      <w:pPr>
        <w:ind w:right="20" w:firstLine="1305"/>
        <w:spacing w:after="0" w:line="293" w:lineRule="auto"/>
        <w:tabs>
          <w:tab w:leader="none" w:pos="1953" w:val="left"/>
        </w:tabs>
        <w:numPr>
          <w:ilvl w:val="1"/>
          <w:numId w:val="435"/>
        </w:numPr>
        <w:rPr>
          <w:rFonts w:ascii="Arial" w:cs="Arial" w:eastAsia="Arial" w:hAnsi="Arial"/>
          <w:sz w:val="16"/>
          <w:szCs w:val="16"/>
          <w:color w:val="auto"/>
        </w:rPr>
      </w:pPr>
      <w:r>
        <w:rPr>
          <w:rFonts w:ascii="Arial" w:cs="Arial" w:eastAsia="Arial" w:hAnsi="Arial"/>
          <w:sz w:val="16"/>
          <w:szCs w:val="16"/>
          <w:color w:val="auto"/>
        </w:rPr>
        <w:t>subject to compliance with Sections 2.06(c) and 2.08(e) of the RCF Credit Agreement, if applicable, WIL-Ireland and its Restricted Subsidiaries may Dispose of assets so long as (i) at the time thereof and immediately after giving effect thereto, no Default or Event of Default shall have occurred and be continuing, (ii) at least 75% of the consideration received in respect of such Disposition shall be cash or Cash Equivalents, (iii) the consideration received in respect of such Disposition shall be equal to or greater than the fair market value of the assets subject to such Disposition (as reasonably determined by a Principal Financial Officer of WIL-Ireland, and if requested by the Administrative Agent, WIL-Ireland shall deliver a certificate of a Principal Financial Officer of WIL-Ireland certifying as to the foregoing) and (iv) after giving pro forma effect to such Disposition, WIL-Ireland would</w:t>
      </w:r>
    </w:p>
    <w:p>
      <w:pPr>
        <w:sectPr>
          <w:pgSz w:w="11900" w:h="16934" w:orient="portrait"/>
          <w:cols w:equalWidth="0" w:num="1">
            <w:col w:w="11400"/>
          </w:cols>
          <w:pgMar w:left="240" w:top="341" w:right="259" w:bottom="0" w:gutter="0" w:footer="0" w:header="0"/>
        </w:sectPr>
      </w:pPr>
    </w:p>
    <w:bookmarkStart w:id="177" w:name="page178"/>
    <w:bookmarkEnd w:id="177"/>
    <w:p>
      <w:pPr>
        <w:ind w:right="380"/>
        <w:spacing w:after="0" w:line="277" w:lineRule="auto"/>
        <w:rPr>
          <w:sz w:val="20"/>
          <w:szCs w:val="20"/>
          <w:color w:val="auto"/>
        </w:rPr>
      </w:pPr>
      <w:r>
        <w:rPr>
          <w:rFonts w:ascii="Arial" w:cs="Arial" w:eastAsia="Arial" w:hAnsi="Arial"/>
          <w:sz w:val="18"/>
          <w:szCs w:val="18"/>
          <w:color w:val="auto"/>
        </w:rPr>
        <w:t>be in compliance with the Financial Covenants (calculated as of the last day of the most recently ended Testing Period for which financial statements are available as if such Disposition had been made on the first day of such Testing Period);</w:t>
      </w:r>
    </w:p>
    <w:p>
      <w:pPr>
        <w:spacing w:after="0" w:line="170" w:lineRule="exact"/>
        <w:rPr>
          <w:sz w:val="20"/>
          <w:szCs w:val="20"/>
          <w:color w:val="auto"/>
        </w:rPr>
      </w:pPr>
    </w:p>
    <w:p>
      <w:pPr>
        <w:ind w:right="60" w:firstLine="1305"/>
        <w:spacing w:after="0" w:line="277" w:lineRule="auto"/>
        <w:tabs>
          <w:tab w:leader="none" w:pos="1952" w:val="left"/>
        </w:tabs>
        <w:numPr>
          <w:ilvl w:val="0"/>
          <w:numId w:val="436"/>
        </w:numPr>
        <w:rPr>
          <w:rFonts w:ascii="Arial" w:cs="Arial" w:eastAsia="Arial" w:hAnsi="Arial"/>
          <w:sz w:val="18"/>
          <w:szCs w:val="18"/>
          <w:color w:val="auto"/>
        </w:rPr>
      </w:pPr>
      <w:r>
        <w:rPr>
          <w:rFonts w:ascii="Arial" w:cs="Arial" w:eastAsia="Arial" w:hAnsi="Arial"/>
          <w:sz w:val="18"/>
          <w:szCs w:val="18"/>
          <w:color w:val="auto"/>
        </w:rPr>
        <w:t xml:space="preserve">Dispositions of surplus property in the ordinary course of business shall be permitted so long as the aggregate fair market value of all such surplus property Disposed of pursuant to this </w:t>
      </w:r>
      <w:r>
        <w:rPr>
          <w:rFonts w:ascii="Arial" w:cs="Arial" w:eastAsia="Arial" w:hAnsi="Arial"/>
          <w:sz w:val="18"/>
          <w:szCs w:val="18"/>
          <w:u w:val="single" w:color="auto"/>
          <w:color w:val="auto"/>
        </w:rPr>
        <w:t>Section 8.05(k)</w:t>
      </w:r>
      <w:r>
        <w:rPr>
          <w:rFonts w:ascii="Arial" w:cs="Arial" w:eastAsia="Arial" w:hAnsi="Arial"/>
          <w:sz w:val="18"/>
          <w:szCs w:val="18"/>
          <w:color w:val="auto"/>
        </w:rPr>
        <w:t xml:space="preserve"> during any Fiscal Year does not exceed $25,000,000;</w:t>
      </w:r>
    </w:p>
    <w:p>
      <w:pPr>
        <w:spacing w:after="0" w:line="170" w:lineRule="exact"/>
        <w:rPr>
          <w:rFonts w:ascii="Arial" w:cs="Arial" w:eastAsia="Arial" w:hAnsi="Arial"/>
          <w:sz w:val="18"/>
          <w:szCs w:val="18"/>
          <w:color w:val="auto"/>
        </w:rPr>
      </w:pPr>
    </w:p>
    <w:p>
      <w:pPr>
        <w:ind w:right="460" w:firstLine="1305"/>
        <w:spacing w:after="0" w:line="277" w:lineRule="auto"/>
        <w:tabs>
          <w:tab w:leader="none" w:pos="1966" w:val="left"/>
        </w:tabs>
        <w:numPr>
          <w:ilvl w:val="0"/>
          <w:numId w:val="436"/>
        </w:numPr>
        <w:rPr>
          <w:rFonts w:ascii="Arial" w:cs="Arial" w:eastAsia="Arial" w:hAnsi="Arial"/>
          <w:sz w:val="18"/>
          <w:szCs w:val="18"/>
          <w:color w:val="auto"/>
        </w:rPr>
      </w:pPr>
      <w:r>
        <w:rPr>
          <w:rFonts w:ascii="Arial" w:cs="Arial" w:eastAsia="Arial" w:hAnsi="Arial"/>
          <w:sz w:val="18"/>
          <w:szCs w:val="18"/>
          <w:color w:val="auto"/>
        </w:rPr>
        <w:t>Dispositions of equipment in the ordinary course of business the proceeds of which are reinvested in the acquisition of other equipment of comparable value and useful 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business of WIL-Ireland and its Restricted Subsidiaries within 180 days of such Disposition shall be permitted;</w:t>
      </w:r>
    </w:p>
    <w:p>
      <w:pPr>
        <w:spacing w:after="0" w:line="225" w:lineRule="exact"/>
        <w:rPr>
          <w:sz w:val="20"/>
          <w:szCs w:val="20"/>
          <w:color w:val="auto"/>
        </w:rPr>
      </w:pPr>
    </w:p>
    <w:p>
      <w:pPr>
        <w:ind w:left="1960" w:hanging="655"/>
        <w:spacing w:after="0"/>
        <w:tabs>
          <w:tab w:leader="none" w:pos="19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leases of real or personal property in the ordinary course of business shall be permitted; and</w:t>
      </w:r>
    </w:p>
    <w:p>
      <w:pPr>
        <w:spacing w:after="0" w:line="225" w:lineRule="exact"/>
        <w:rPr>
          <w:rFonts w:ascii="Arial" w:cs="Arial" w:eastAsia="Arial" w:hAnsi="Arial"/>
          <w:sz w:val="18"/>
          <w:szCs w:val="18"/>
          <w:color w:val="auto"/>
        </w:rPr>
      </w:pPr>
    </w:p>
    <w:p>
      <w:pPr>
        <w:ind w:right="260" w:firstLine="1305"/>
        <w:spacing w:after="0" w:line="277" w:lineRule="auto"/>
        <w:tabs>
          <w:tab w:leader="none" w:pos="1952" w:val="left"/>
        </w:tabs>
        <w:numPr>
          <w:ilvl w:val="0"/>
          <w:numId w:val="437"/>
        </w:numPr>
        <w:rPr>
          <w:rFonts w:ascii="Arial" w:cs="Arial" w:eastAsia="Arial" w:hAnsi="Arial"/>
          <w:sz w:val="18"/>
          <w:szCs w:val="18"/>
          <w:color w:val="auto"/>
        </w:rPr>
      </w:pPr>
      <w:r>
        <w:rPr>
          <w:rFonts w:ascii="Arial" w:cs="Arial" w:eastAsia="Arial" w:hAnsi="Arial"/>
          <w:sz w:val="18"/>
          <w:szCs w:val="18"/>
          <w:color w:val="auto"/>
        </w:rPr>
        <w:t>WIL-Ireland and its Restricted Subsidiaries may Dispose of any individual piece of personal or real property with a fair market value not in excess of $30,000;</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Disposition by a Secured Obligor described in clause (a), (c), (d), (f) (other than any Investment or Restricted Payment solely of cash or Cash Equivalents), (j) or (k) of this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(other than any such Disposition to another Secured Obligor), such Disposition shall not be permitted unless, after giving pro forma effect to such Disposition, WIL-Ireland would be in compliance with the Current Asset Coverage Ratio Covenant (calculated as of the last day of the most recently ended Fiscal Quarter for which financial statements are available as if such Disposition occurred on such day).</w:t>
      </w:r>
    </w:p>
    <w:p>
      <w:pPr>
        <w:spacing w:after="0" w:line="188"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 WIL-Ireland shall not, and shall not permit any Restricted Subsidiary to, make any Investments in any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w:t>
      </w:r>
    </w:p>
    <w:p>
      <w:pPr>
        <w:spacing w:after="0" w:line="211" w:lineRule="exact"/>
        <w:rPr>
          <w:sz w:val="20"/>
          <w:szCs w:val="20"/>
          <w:color w:val="auto"/>
        </w:rPr>
      </w:pPr>
    </w:p>
    <w:p>
      <w:pPr>
        <w:ind w:left="1940" w:hanging="635"/>
        <w:spacing w:after="0"/>
        <w:tabs>
          <w:tab w:leader="none" w:pos="19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rFonts w:ascii="Arial" w:cs="Arial" w:eastAsia="Arial" w:hAnsi="Arial"/>
          <w:sz w:val="18"/>
          <w:szCs w:val="18"/>
          <w:color w:val="auto"/>
        </w:rPr>
      </w:pPr>
    </w:p>
    <w:p>
      <w:pPr>
        <w:ind w:right="60" w:firstLine="1305"/>
        <w:spacing w:after="0" w:line="264" w:lineRule="auto"/>
        <w:tabs>
          <w:tab w:leader="none" w:pos="1955"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xml:space="preserve">(i) Investments in Subsidiaries in existence on the Effective Date and (ii) other Investments in existence on the Effective Date and described on </w:t>
      </w:r>
      <w:r>
        <w:rPr>
          <w:rFonts w:ascii="Arial" w:cs="Arial" w:eastAsia="Arial" w:hAnsi="Arial"/>
          <w:sz w:val="18"/>
          <w:szCs w:val="18"/>
          <w:u w:val="single" w:color="auto"/>
          <w:color w:val="auto"/>
        </w:rPr>
        <w:t>Schedule 8.06</w:t>
      </w:r>
      <w:r>
        <w:rPr>
          <w:rFonts w:ascii="Arial" w:cs="Arial" w:eastAsia="Arial" w:hAnsi="Arial"/>
          <w:sz w:val="18"/>
          <w:szCs w:val="18"/>
          <w:color w:val="auto"/>
        </w:rPr>
        <w:t xml:space="preserve"> and any renewal or extension of any such Investments that does not increase the amount of the Investment being renewed or extended as determined as of such date of renewal or extension;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Investments by any Obligor or any Specified Group Member in any Obligor or any Specified Group Member that is a Wholly-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Owned Subsidiary;</w:t>
      </w:r>
    </w:p>
    <w:p>
      <w:pPr>
        <w:spacing w:after="0" w:line="210" w:lineRule="exact"/>
        <w:rPr>
          <w:rFonts w:ascii="Arial" w:cs="Arial" w:eastAsia="Arial" w:hAnsi="Arial"/>
          <w:sz w:val="17"/>
          <w:szCs w:val="17"/>
          <w:color w:val="auto"/>
        </w:rPr>
      </w:pPr>
    </w:p>
    <w:p>
      <w:pPr>
        <w:ind w:right="780" w:firstLine="1305"/>
        <w:spacing w:after="0" w:line="277" w:lineRule="auto"/>
        <w:tabs>
          <w:tab w:leader="none" w:pos="1955" w:val="left"/>
        </w:tabs>
        <w:numPr>
          <w:ilvl w:val="0"/>
          <w:numId w:val="438"/>
        </w:numPr>
        <w:rPr>
          <w:rFonts w:ascii="Arial" w:cs="Arial" w:eastAsia="Arial" w:hAnsi="Arial"/>
          <w:sz w:val="18"/>
          <w:szCs w:val="18"/>
          <w:color w:val="auto"/>
        </w:rPr>
      </w:pPr>
      <w:r>
        <w:rPr>
          <w:rFonts w:ascii="Arial" w:cs="Arial" w:eastAsia="Arial" w:hAnsi="Arial"/>
          <w:sz w:val="18"/>
          <w:szCs w:val="18"/>
          <w:color w:val="auto"/>
        </w:rPr>
        <w:t>Investments by any Other Subsidiaries Group Member in any Obligor, any Specified Group Member or any other Other Subsidiaries Group Member;</w:t>
      </w:r>
    </w:p>
    <w:p>
      <w:pPr>
        <w:spacing w:after="0" w:line="170" w:lineRule="exact"/>
        <w:rPr>
          <w:rFonts w:ascii="Arial" w:cs="Arial" w:eastAsia="Arial" w:hAnsi="Arial"/>
          <w:sz w:val="18"/>
          <w:szCs w:val="18"/>
          <w:color w:val="auto"/>
        </w:rPr>
      </w:pPr>
    </w:p>
    <w:p>
      <w:pPr>
        <w:ind w:right="20" w:firstLine="1305"/>
        <w:spacing w:after="0" w:line="254" w:lineRule="auto"/>
        <w:tabs>
          <w:tab w:leader="none" w:pos="1949"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xml:space="preserve">(i) Investments in Unrestricted Subsidiaries and (ii) Investments by any Obligor or any Specified Group Member in any Other Subsidiaries Group Member or any Specified Group Member that is not a Wholly-Owned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Default or Event of Default shall have occurred and be continuing at the time of and immediately after giving effect to any such Investment, (ii) after giving pro forma effect to the making of any such Investment, WIL-Ireland shall be in compliance with the Financial Covenants (in each case calculated as of the last day of the most recently ended Testing Period for which financial statements are available as if such Investment had been made on the first day of such Testing Period, and calculated on a pro forma basis to include any Indebtedness incurred to make such Investment (as if such Indebtedness was incurred on the first day of such Testing Period)), and (iii) the aggregate amount of all Investments made pursuant to this </w:t>
      </w:r>
      <w:r>
        <w:rPr>
          <w:rFonts w:ascii="Arial" w:cs="Arial" w:eastAsia="Arial" w:hAnsi="Arial"/>
          <w:sz w:val="18"/>
          <w:szCs w:val="18"/>
          <w:u w:val="single" w:color="auto"/>
          <w:color w:val="auto"/>
        </w:rPr>
        <w:t>Section 8.06(f)</w:t>
      </w:r>
      <w:r>
        <w:rPr>
          <w:rFonts w:ascii="Arial" w:cs="Arial" w:eastAsia="Arial" w:hAnsi="Arial"/>
          <w:sz w:val="18"/>
          <w:szCs w:val="18"/>
          <w:color w:val="auto"/>
        </w:rPr>
        <w:t xml:space="preserve"> and then outstanding, together with the aggregate value of all assets Disposed of in reliance 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Section 8.05(c)</w:t>
      </w:r>
      <w:r>
        <w:rPr>
          <w:rFonts w:ascii="Arial" w:cs="Arial" w:eastAsia="Arial" w:hAnsi="Arial"/>
          <w:sz w:val="18"/>
          <w:szCs w:val="18"/>
          <w:color w:val="auto"/>
        </w:rPr>
        <w:t xml:space="preserve"> (net of the value of any such assets subsequently transferred to any Obligor or any Specified Group Member) since the RCF Effective Date, shall not exceed $200,000,000;</w:t>
      </w:r>
    </w:p>
    <w:p>
      <w:pPr>
        <w:spacing w:after="0" w:line="170" w:lineRule="exact"/>
        <w:rPr>
          <w:sz w:val="20"/>
          <w:szCs w:val="20"/>
          <w:color w:val="auto"/>
        </w:rPr>
      </w:pPr>
    </w:p>
    <w:p>
      <w:pPr>
        <w:ind w:right="360" w:firstLine="1305"/>
        <w:spacing w:after="0" w:line="264" w:lineRule="auto"/>
        <w:tabs>
          <w:tab w:leader="none" w:pos="1965"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accounts receivable arising in the ordinary course of business, and Investments received in connection with the bankruptcy or reorganization of suppliers and customers or in settlement of delinquent obligations of, and other disputes with, customers and suppliers to the extent reasonably necessary in order to prevent or limit loss;</w:t>
      </w:r>
    </w:p>
    <w:p>
      <w:pPr>
        <w:spacing w:after="0" w:line="177" w:lineRule="exact"/>
        <w:rPr>
          <w:rFonts w:ascii="Arial" w:cs="Arial" w:eastAsia="Arial" w:hAnsi="Arial"/>
          <w:sz w:val="18"/>
          <w:szCs w:val="18"/>
          <w:color w:val="auto"/>
        </w:rPr>
      </w:pPr>
    </w:p>
    <w:p>
      <w:pPr>
        <w:ind w:left="1960" w:hanging="655"/>
        <w:spacing w:after="0"/>
        <w:tabs>
          <w:tab w:leader="none" w:pos="1960" w:val="left"/>
        </w:tabs>
        <w:numPr>
          <w:ilvl w:val="0"/>
          <w:numId w:val="439"/>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Reserved</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980" w:hanging="675"/>
        <w:spacing w:after="0"/>
        <w:tabs>
          <w:tab w:leader="none" w:pos="198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 xml:space="preserve">subject to the limitations set forth in clauses (d), (e) and (f) of this Section, Guarantees permitted by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 xml:space="preserve">Investments received in consideration for a Disposition permitted by </w:t>
      </w:r>
      <w:r>
        <w:rPr>
          <w:rFonts w:ascii="Arial" w:cs="Arial" w:eastAsia="Arial" w:hAnsi="Arial"/>
          <w:sz w:val="18"/>
          <w:szCs w:val="18"/>
          <w:u w:val="single" w:color="auto"/>
          <w:color w:val="auto"/>
        </w:rPr>
        <w:t>Section 8.05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1305"/>
        <w:spacing w:after="0" w:line="264" w:lineRule="auto"/>
        <w:tabs>
          <w:tab w:leader="none" w:pos="1952" w:val="left"/>
        </w:tabs>
        <w:numPr>
          <w:ilvl w:val="0"/>
          <w:numId w:val="439"/>
        </w:numPr>
        <w:rPr>
          <w:rFonts w:ascii="Arial" w:cs="Arial" w:eastAsia="Arial" w:hAnsi="Arial"/>
          <w:sz w:val="18"/>
          <w:szCs w:val="18"/>
          <w:color w:val="auto"/>
        </w:rPr>
      </w:pPr>
      <w:r>
        <w:rPr>
          <w:rFonts w:ascii="Arial" w:cs="Arial" w:eastAsia="Arial" w:hAnsi="Arial"/>
          <w:sz w:val="18"/>
          <w:szCs w:val="18"/>
          <w:color w:val="auto"/>
        </w:rPr>
        <w:t xml:space="preserve">loans or advances to directors, officers and employees of any Restricted Subsidiary for expenses or other payments incident to such Person’s employment or association with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such advances and loans shall not exceed $2,500,000 at any time outstanding;</w:t>
      </w:r>
    </w:p>
    <w:p>
      <w:pPr>
        <w:spacing w:after="0" w:line="181" w:lineRule="exact"/>
        <w:rPr>
          <w:rFonts w:ascii="Arial" w:cs="Arial" w:eastAsia="Arial" w:hAnsi="Arial"/>
          <w:sz w:val="18"/>
          <w:szCs w:val="18"/>
          <w:color w:val="auto"/>
        </w:rPr>
      </w:pPr>
    </w:p>
    <w:p>
      <w:pPr>
        <w:ind w:firstLine="1305"/>
        <w:spacing w:after="0" w:line="277" w:lineRule="auto"/>
        <w:tabs>
          <w:tab w:leader="none" w:pos="1966" w:val="left"/>
        </w:tabs>
        <w:numPr>
          <w:ilvl w:val="0"/>
          <w:numId w:val="439"/>
        </w:numPr>
        <w:rPr>
          <w:rFonts w:ascii="Arial" w:cs="Arial" w:eastAsia="Arial" w:hAnsi="Arial"/>
          <w:sz w:val="18"/>
          <w:szCs w:val="18"/>
          <w:color w:val="auto"/>
        </w:rPr>
      </w:pPr>
      <w:r>
        <w:rPr>
          <w:rFonts w:ascii="Arial" w:cs="Arial" w:eastAsia="Arial" w:hAnsi="Arial"/>
          <w:sz w:val="18"/>
          <w:szCs w:val="18"/>
          <w:color w:val="auto"/>
        </w:rPr>
        <w:t>Investments evidencing the right to receive a deferred purchase price or other consideration for the Disposition of Receivables and Receivables Related Security in connection with any Permitted Factoring Transaction;</w:t>
      </w:r>
    </w:p>
    <w:p>
      <w:pPr>
        <w:sectPr>
          <w:pgSz w:w="11900" w:h="16838" w:orient="portrait"/>
          <w:cols w:equalWidth="0" w:num="1">
            <w:col w:w="11380"/>
          </w:cols>
          <w:pgMar w:left="240" w:top="125" w:right="279" w:bottom="0" w:gutter="0" w:footer="0" w:header="0"/>
        </w:sectPr>
      </w:pPr>
    </w:p>
    <w:bookmarkStart w:id="178" w:name="page179"/>
    <w:bookmarkEnd w:id="178"/>
    <w:p>
      <w:pPr>
        <w:spacing w:after="0" w:line="90" w:lineRule="exact"/>
        <w:rPr>
          <w:sz w:val="20"/>
          <w:szCs w:val="20"/>
          <w:color w:val="auto"/>
        </w:rPr>
      </w:pPr>
    </w:p>
    <w:p>
      <w:pPr>
        <w:ind w:left="1960" w:hanging="655"/>
        <w:spacing w:after="0"/>
        <w:tabs>
          <w:tab w:leader="none" w:pos="19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 xml:space="preserve">Investments consisting of Swap Agreements permitted under </w:t>
      </w:r>
      <w:r>
        <w:rPr>
          <w:rFonts w:ascii="Arial" w:cs="Arial" w:eastAsia="Arial" w:hAnsi="Arial"/>
          <w:sz w:val="18"/>
          <w:szCs w:val="18"/>
          <w:u w:val="single" w:color="auto"/>
          <w:color w:val="auto"/>
        </w:rPr>
        <w:t>Section 8.07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other Investments in an aggregate amount not to exceed $125,000,000 at any one time outstanding;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Permitted Bond Hedge Transactions which constitute Investments;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Investment by a Secured Obligor described in clause (d), (f), (h) or (n) of this </w:t>
      </w:r>
      <w:r>
        <w:rPr>
          <w:rFonts w:ascii="Arial" w:cs="Arial" w:eastAsia="Arial" w:hAnsi="Arial"/>
          <w:sz w:val="17"/>
          <w:szCs w:val="17"/>
          <w:u w:val="single" w:color="auto"/>
          <w:color w:val="auto"/>
        </w:rPr>
        <w:t>Section 8.06</w:t>
      </w:r>
      <w:r>
        <w:rPr>
          <w:rFonts w:ascii="Arial" w:cs="Arial" w:eastAsia="Arial" w:hAnsi="Arial"/>
          <w:sz w:val="17"/>
          <w:szCs w:val="17"/>
          <w:color w:val="auto"/>
        </w:rPr>
        <w:t xml:space="preserve"> (other than any Investment solely of cash or Cash Equivalents or any Investment in another Secured Obligor), such Investment shall not be permitted unless, after giving pro forma effect to such Investment, WIL-Ireland would be in compliance with the Current Asset Coverage Ratio Covenant (calculated as of the last day of the most recently ended Fiscal Quarter for which financial statements are available as if such Investment occurred on such day).</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purposes of determining the amount of any Investment, such amount shall be deemed to be the amount of such Investment when made, purchased or acquired (without adjustment for subsequent increases or decreases in the value of such Investment).</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Swap Agreements</w:t>
      </w:r>
      <w:r>
        <w:rPr>
          <w:rFonts w:ascii="Arial" w:cs="Arial" w:eastAsia="Arial" w:hAnsi="Arial"/>
          <w:sz w:val="18"/>
          <w:szCs w:val="18"/>
          <w:color w:val="auto"/>
        </w:rPr>
        <w:t>. WIL-Ireland shall not, and shall not permit any Restricted Subsidiary to, enter into any Swap Agreement, except (a) Swap Agreements entered into to hedge or mitigate risks to which WIL-Ireland or any Restricted Subsidiary has actual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exposure (other than those in respect of Capital Stock of WIL-Ireland or any of its Restricted Subsidiaries), including to hedge or mitigate foreign currency and commodity price risks to which WIL-Ireland or any Restricted Subsidiary has actual exposure, (b) Swap Agreements entered into in order to effectively cap, collar or exchange interest rates (from fixed to floating rates, from one floating rate to another floating rate or otherwise) with respect to any interest-bearing liability or investment of WIL-Ireland or any Restricted Subsidiary and (c) any Permitted Bond Hedge Transaction and any Permitted Warrant Transaction.</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WIL-Ireland shall not, and shall not permit any Restricted Subsidiary to, declare or make, or agree to pay or make, directly or indirectly, any Restricted Payment, except:</w:t>
      </w:r>
    </w:p>
    <w:p>
      <w:pPr>
        <w:spacing w:after="0" w:line="170" w:lineRule="exact"/>
        <w:rPr>
          <w:sz w:val="20"/>
          <w:szCs w:val="20"/>
          <w:color w:val="auto"/>
        </w:rPr>
      </w:pPr>
    </w:p>
    <w:p>
      <w:pPr>
        <w:ind w:left="1940" w:hanging="635"/>
        <w:spacing w:after="0"/>
        <w:tabs>
          <w:tab w:leader="none" w:pos="1940" w:val="left"/>
        </w:tabs>
        <w:numPr>
          <w:ilvl w:val="0"/>
          <w:numId w:val="441"/>
        </w:numPr>
        <w:rPr>
          <w:rFonts w:ascii="Arial" w:cs="Arial" w:eastAsia="Arial" w:hAnsi="Arial"/>
          <w:sz w:val="16"/>
          <w:szCs w:val="16"/>
          <w:color w:val="auto"/>
        </w:rPr>
      </w:pPr>
      <w:r>
        <w:rPr>
          <w:rFonts w:ascii="Arial" w:cs="Arial" w:eastAsia="Arial" w:hAnsi="Arial"/>
          <w:sz w:val="16"/>
          <w:szCs w:val="16"/>
          <w:color w:val="auto"/>
        </w:rPr>
        <w:t>WIL-Ireland may declare and pay dividends on its Capital Stock payable solely in additional Capital Stock (other than Disqualified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 Stock);</w:t>
      </w:r>
    </w:p>
    <w:p>
      <w:pPr>
        <w:spacing w:after="0" w:line="211" w:lineRule="exact"/>
        <w:rPr>
          <w:sz w:val="20"/>
          <w:szCs w:val="20"/>
          <w:color w:val="auto"/>
        </w:rPr>
      </w:pPr>
    </w:p>
    <w:p>
      <w:pPr>
        <w:ind w:right="100" w:firstLine="1305"/>
        <w:spacing w:after="0" w:line="342" w:lineRule="auto"/>
        <w:tabs>
          <w:tab w:leader="none" w:pos="1952" w:val="left"/>
        </w:tabs>
        <w:numPr>
          <w:ilvl w:val="0"/>
          <w:numId w:val="442"/>
        </w:numPr>
        <w:rPr>
          <w:rFonts w:ascii="Arial" w:cs="Arial" w:eastAsia="Arial" w:hAnsi="Arial"/>
          <w:sz w:val="16"/>
          <w:szCs w:val="16"/>
          <w:color w:val="auto"/>
        </w:rPr>
      </w:pPr>
      <w:r>
        <w:rPr>
          <w:rFonts w:ascii="Arial" w:cs="Arial" w:eastAsia="Arial" w:hAnsi="Arial"/>
          <w:sz w:val="16"/>
          <w:szCs w:val="16"/>
          <w:color w:val="auto"/>
        </w:rPr>
        <w:t>WIL-Ireland and its Restricted Subsidiaries may make Restricted Payments in exchange for, or out of the proceeds received from, any substantially concurrent issuance (other than to a Subsidiary) of additional Capital Stock of WIL-Ireland (other than Disqualified Capital Stock);</w:t>
      </w:r>
    </w:p>
    <w:p>
      <w:pPr>
        <w:spacing w:after="0" w:line="123" w:lineRule="exact"/>
        <w:rPr>
          <w:rFonts w:ascii="Arial" w:cs="Arial" w:eastAsia="Arial" w:hAnsi="Arial"/>
          <w:sz w:val="16"/>
          <w:szCs w:val="16"/>
          <w:color w:val="auto"/>
        </w:rPr>
      </w:pPr>
    </w:p>
    <w:p>
      <w:pPr>
        <w:ind w:right="100" w:firstLine="1305"/>
        <w:spacing w:after="0" w:line="290" w:lineRule="auto"/>
        <w:tabs>
          <w:tab w:leader="none" w:pos="1955" w:val="left"/>
        </w:tabs>
        <w:numPr>
          <w:ilvl w:val="0"/>
          <w:numId w:val="442"/>
        </w:numPr>
        <w:rPr>
          <w:rFonts w:ascii="Arial" w:cs="Arial" w:eastAsia="Arial" w:hAnsi="Arial"/>
          <w:sz w:val="16"/>
          <w:szCs w:val="16"/>
          <w:color w:val="auto"/>
        </w:rPr>
      </w:pPr>
      <w:r>
        <w:rPr>
          <w:rFonts w:ascii="Arial" w:cs="Arial" w:eastAsia="Arial" w:hAnsi="Arial"/>
          <w:sz w:val="16"/>
          <w:szCs w:val="16"/>
          <w:color w:val="auto"/>
        </w:rPr>
        <w:t xml:space="preserve">(i) Restricted Subsidiaries that are wholly-owned by one or more Obligors and/or Specified Group Members may declare and pay dividends or make other distributions on account of, and make payments on account of the purchase, redemption, acquisition, cancellation or termination of, their Capital Stock and (ii) Restricted Subsidiaries that do not satisfy the requirements of clause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immediately above may pay dividends or make other distributions on account of, and make payments on account of the purchase, redemption, acquisition, cancellation or termination of, their Capital Stock ratably (or more favorably to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case of clause (ii), if any non-Wholly-Owned Subsidiary received cash proceeds from the issuance of any of its Capital Stock to one or more Persons that are not Affiliates of WIL-Ireland, such Subsidiary may declare and pay dividends non-ratably to holders of its Capital Stock that are not Affiliates of WIL-Ireland in an aggregate amount not to exceed the amount of such cash proceeds (to the extent such cash proceeds have not been used for any other transaction permitted hereunder);</w:t>
      </w:r>
    </w:p>
    <w:p>
      <w:pPr>
        <w:spacing w:after="0" w:line="166" w:lineRule="exact"/>
        <w:rPr>
          <w:rFonts w:ascii="Arial" w:cs="Arial" w:eastAsia="Arial" w:hAnsi="Arial"/>
          <w:sz w:val="16"/>
          <w:szCs w:val="16"/>
          <w:color w:val="auto"/>
        </w:rPr>
      </w:pPr>
    </w:p>
    <w:p>
      <w:pPr>
        <w:ind w:right="80" w:firstLine="1305"/>
        <w:spacing w:after="0" w:line="277" w:lineRule="auto"/>
        <w:tabs>
          <w:tab w:leader="none" w:pos="1952" w:val="left"/>
        </w:tabs>
        <w:numPr>
          <w:ilvl w:val="0"/>
          <w:numId w:val="442"/>
        </w:numPr>
        <w:rPr>
          <w:rFonts w:ascii="Arial" w:cs="Arial" w:eastAsia="Arial" w:hAnsi="Arial"/>
          <w:sz w:val="18"/>
          <w:szCs w:val="18"/>
          <w:color w:val="auto"/>
        </w:rPr>
      </w:pPr>
      <w:r>
        <w:rPr>
          <w:rFonts w:ascii="Arial" w:cs="Arial" w:eastAsia="Arial" w:hAnsi="Arial"/>
          <w:sz w:val="18"/>
          <w:szCs w:val="18"/>
          <w:color w:val="auto"/>
        </w:rPr>
        <w:t>WIL-Ireland and its Restricted Subsidiaries may make any prepayments under this Agreement, the Term Loan Agreement and the RCF Credit Agreement in accordance with the terms thereof;</w:t>
      </w:r>
    </w:p>
    <w:p>
      <w:pPr>
        <w:spacing w:after="0" w:line="170" w:lineRule="exact"/>
        <w:rPr>
          <w:rFonts w:ascii="Arial" w:cs="Arial" w:eastAsia="Arial" w:hAnsi="Arial"/>
          <w:sz w:val="18"/>
          <w:szCs w:val="18"/>
          <w:color w:val="auto"/>
        </w:rPr>
      </w:pPr>
    </w:p>
    <w:p>
      <w:pPr>
        <w:ind w:right="80" w:firstLine="1305"/>
        <w:spacing w:after="0" w:line="259" w:lineRule="auto"/>
        <w:tabs>
          <w:tab w:leader="none" w:pos="1955" w:val="left"/>
        </w:tabs>
        <w:numPr>
          <w:ilvl w:val="0"/>
          <w:numId w:val="442"/>
        </w:numPr>
        <w:rPr>
          <w:rFonts w:ascii="Arial" w:cs="Arial" w:eastAsia="Arial" w:hAnsi="Arial"/>
          <w:sz w:val="18"/>
          <w:szCs w:val="18"/>
          <w:color w:val="auto"/>
        </w:rPr>
      </w:pPr>
      <w:r>
        <w:rPr>
          <w:rFonts w:ascii="Arial" w:cs="Arial" w:eastAsia="Arial" w:hAnsi="Arial"/>
          <w:sz w:val="18"/>
          <w:szCs w:val="18"/>
          <w:color w:val="auto"/>
        </w:rPr>
        <w:t xml:space="preserve">so long as no Default or Event of Default has occurred and is continuing at the time thereof or immediately after giving effect thereto, WIL-Ireland and its Restricted Subsidiaries may (i) Redeem any Existing Senior Notes or other senior notes, in each case, that have a stated maturity date prior to the RCF Maturity Date and (ii) Redeem any Existing Senior Notes or other senior notes with the proceeds of (A) Permitted Refinancing Indebtedness or (B) Indebtedness incurred under </w:t>
      </w:r>
      <w:r>
        <w:rPr>
          <w:rFonts w:ascii="Arial" w:cs="Arial" w:eastAsia="Arial" w:hAnsi="Arial"/>
          <w:sz w:val="18"/>
          <w:szCs w:val="18"/>
          <w:u w:val="single" w:color="auto"/>
          <w:color w:val="auto"/>
        </w:rPr>
        <w:t>Section 8.01(j)</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(l)</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40" w:firstLine="1305"/>
        <w:spacing w:after="0" w:line="277" w:lineRule="auto"/>
        <w:tabs>
          <w:tab w:leader="none" w:pos="1949" w:val="left"/>
        </w:tabs>
        <w:numPr>
          <w:ilvl w:val="0"/>
          <w:numId w:val="442"/>
        </w:numPr>
        <w:rPr>
          <w:rFonts w:ascii="Arial" w:cs="Arial" w:eastAsia="Arial" w:hAnsi="Arial"/>
          <w:sz w:val="18"/>
          <w:szCs w:val="18"/>
          <w:color w:val="auto"/>
        </w:rPr>
      </w:pPr>
      <w:r>
        <w:rPr>
          <w:rFonts w:ascii="Arial" w:cs="Arial" w:eastAsia="Arial" w:hAnsi="Arial"/>
          <w:sz w:val="18"/>
          <w:szCs w:val="18"/>
          <w:color w:val="auto"/>
        </w:rPr>
        <w:t>WIL-Ireland and its Restricted Subsidiaries may redeem, repurchase or otherwise acquire or retire for value Capital Stock of WIL-Ireland or any Restricted Subsidiary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held by officers, directors or employees or former officers, directors or employees (or their transferees, estates or beneficiaries under their estates), either</w:t>
      </w:r>
    </w:p>
    <w:p>
      <w:pPr>
        <w:spacing w:after="0" w:line="46" w:lineRule="exact"/>
        <w:rPr>
          <w:sz w:val="20"/>
          <w:szCs w:val="20"/>
          <w:color w:val="auto"/>
        </w:rPr>
      </w:pPr>
    </w:p>
    <w:p>
      <w:pPr>
        <w:ind w:right="240" w:firstLine="8"/>
        <w:spacing w:after="0" w:line="254" w:lineRule="auto"/>
        <w:tabs>
          <w:tab w:leader="none" w:pos="215" w:val="left"/>
        </w:tabs>
        <w:numPr>
          <w:ilvl w:val="0"/>
          <w:numId w:val="443"/>
        </w:numPr>
        <w:rPr>
          <w:rFonts w:ascii="Arial" w:cs="Arial" w:eastAsia="Arial" w:hAnsi="Arial"/>
          <w:sz w:val="18"/>
          <w:szCs w:val="18"/>
          <w:color w:val="auto"/>
        </w:rPr>
      </w:pPr>
      <w:r>
        <w:rPr>
          <w:rFonts w:ascii="Arial" w:cs="Arial" w:eastAsia="Arial" w:hAnsi="Arial"/>
          <w:sz w:val="18"/>
          <w:szCs w:val="18"/>
          <w:color w:val="auto"/>
        </w:rPr>
        <w:t xml:space="preserve">upon any such individual’s death, disability, retirement, severance or termination of employment or service or (ii) pursuant to any equity subscription agreement, stock option agreement, restricted stock agreement, restricted stock unit agreement, stockholders’ agreement or similar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in any case, that the aggregate cash consideration paid for all such redemptions, repurchases or other acquisitions or retirements shall not exceed $10,000,000 during any calendar year;</w:t>
      </w:r>
    </w:p>
    <w:p>
      <w:pPr>
        <w:spacing w:after="0" w:line="189" w:lineRule="exact"/>
        <w:rPr>
          <w:rFonts w:ascii="Arial" w:cs="Arial" w:eastAsia="Arial" w:hAnsi="Arial"/>
          <w:sz w:val="18"/>
          <w:szCs w:val="18"/>
          <w:color w:val="auto"/>
        </w:rPr>
      </w:pPr>
    </w:p>
    <w:p>
      <w:pPr>
        <w:ind w:right="20" w:firstLine="1305"/>
        <w:spacing w:after="0" w:line="276" w:lineRule="auto"/>
        <w:tabs>
          <w:tab w:leader="none" w:pos="1965" w:val="left"/>
        </w:tabs>
        <w:numPr>
          <w:ilvl w:val="1"/>
          <w:numId w:val="443"/>
        </w:numPr>
        <w:rPr>
          <w:rFonts w:ascii="Arial" w:cs="Arial" w:eastAsia="Arial" w:hAnsi="Arial"/>
          <w:sz w:val="17"/>
          <w:szCs w:val="17"/>
          <w:color w:val="auto"/>
        </w:rPr>
      </w:pPr>
      <w:r>
        <w:rPr>
          <w:rFonts w:ascii="Arial" w:cs="Arial" w:eastAsia="Arial" w:hAnsi="Arial"/>
          <w:sz w:val="17"/>
          <w:szCs w:val="17"/>
          <w:color w:val="auto"/>
        </w:rPr>
        <w:t>WIL-Ireland and each Restricted Subsidiary may consummate (i) repurchases, redemptions or other acquisitions or retirements for value of Capital Stock deemed to occur upon the exercise of stock options, warrants, rights to acquire Capital Stock or other convertible securities to the extent such Capital Stock represents a portion of the exercise or exchange price thereof and (ii) any repurchases, redemptions or other acquisitions or retirements for value of Capital Stock made or deemed to be made in lieu of withholding Taxes in connection with any exercise, vesting, settlement or exchange, as applicable, of stock options, warrants, restricted stock, restricted stock units or other similar rights;</w:t>
      </w:r>
    </w:p>
    <w:p>
      <w:pPr>
        <w:spacing w:after="0" w:line="172" w:lineRule="exact"/>
        <w:rPr>
          <w:rFonts w:ascii="Arial" w:cs="Arial" w:eastAsia="Arial" w:hAnsi="Arial"/>
          <w:sz w:val="17"/>
          <w:szCs w:val="17"/>
          <w:color w:val="auto"/>
        </w:rPr>
      </w:pPr>
    </w:p>
    <w:p>
      <w:pPr>
        <w:ind w:left="1960" w:hanging="655"/>
        <w:spacing w:after="0"/>
        <w:tabs>
          <w:tab w:leader="none" w:pos="19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WIL-Ireland and each Restricted Subsidiary may make payments of cash in lieu of issuing fractional Capital Stock;</w:t>
      </w:r>
    </w:p>
    <w:p>
      <w:pPr>
        <w:spacing w:after="0" w:line="225" w:lineRule="exact"/>
        <w:rPr>
          <w:rFonts w:ascii="Arial" w:cs="Arial" w:eastAsia="Arial" w:hAnsi="Arial"/>
          <w:sz w:val="18"/>
          <w:szCs w:val="18"/>
          <w:color w:val="auto"/>
        </w:rPr>
      </w:pPr>
    </w:p>
    <w:p>
      <w:pPr>
        <w:ind w:right="40" w:firstLine="1305"/>
        <w:spacing w:after="0" w:line="277" w:lineRule="auto"/>
        <w:tabs>
          <w:tab w:leader="none" w:pos="1966" w:val="left"/>
        </w:tabs>
        <w:numPr>
          <w:ilvl w:val="1"/>
          <w:numId w:val="443"/>
        </w:numPr>
        <w:rPr>
          <w:rFonts w:ascii="Arial" w:cs="Arial" w:eastAsia="Arial" w:hAnsi="Arial"/>
          <w:sz w:val="18"/>
          <w:szCs w:val="18"/>
          <w:color w:val="auto"/>
        </w:rPr>
      </w:pPr>
      <w:r>
        <w:rPr>
          <w:rFonts w:ascii="Arial" w:cs="Arial" w:eastAsia="Arial" w:hAnsi="Arial"/>
          <w:sz w:val="18"/>
          <w:szCs w:val="18"/>
          <w:color w:val="auto"/>
        </w:rPr>
        <w:t xml:space="preserve">WIL-Ireland and each Restricted Subsidiary may make payments or distributions to dissenting stockholders pursuant to applicable law in connection with a merger, consolidation or transfer of assets that complies with the provisions of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8.05</w:t>
      </w:r>
      <w:r>
        <w:rPr>
          <w:rFonts w:ascii="Arial" w:cs="Arial" w:eastAsia="Arial" w:hAnsi="Arial"/>
          <w:sz w:val="18"/>
          <w:szCs w:val="18"/>
          <w:color w:val="auto"/>
        </w:rPr>
        <w:t>;</w:t>
      </w:r>
    </w:p>
    <w:p>
      <w:pPr>
        <w:sectPr>
          <w:pgSz w:w="11900" w:h="16929" w:orient="portrait"/>
          <w:cols w:equalWidth="0" w:num="1">
            <w:col w:w="11400"/>
          </w:cols>
          <w:pgMar w:left="240" w:top="125" w:right="259" w:bottom="0" w:gutter="0" w:footer="0" w:header="0"/>
        </w:sectPr>
      </w:pPr>
    </w:p>
    <w:bookmarkStart w:id="179" w:name="page180"/>
    <w:bookmarkEnd w:id="179"/>
    <w:p>
      <w:pPr>
        <w:ind w:right="100" w:firstLine="1305"/>
        <w:spacing w:after="0" w:line="293" w:lineRule="auto"/>
        <w:tabs>
          <w:tab w:leader="none" w:pos="1953" w:val="left"/>
        </w:tabs>
        <w:numPr>
          <w:ilvl w:val="1"/>
          <w:numId w:val="444"/>
        </w:numPr>
        <w:rPr>
          <w:rFonts w:ascii="Arial" w:cs="Arial" w:eastAsia="Arial" w:hAnsi="Arial"/>
          <w:sz w:val="16"/>
          <w:szCs w:val="16"/>
          <w:color w:val="auto"/>
        </w:rPr>
      </w:pPr>
      <w:r>
        <w:rPr>
          <w:rFonts w:ascii="Arial" w:cs="Arial" w:eastAsia="Arial" w:hAnsi="Arial"/>
          <w:sz w:val="16"/>
          <w:szCs w:val="16"/>
          <w:color w:val="auto"/>
        </w:rPr>
        <w:t xml:space="preserve">WIL-Ireland and its Restricted Subsidiaries may make other Restricted Payments, provided that (i) no Default or Event of Default shall have occurred and be continuing at the time of such Restricted Payment or immediately after giving effect thereto, (ii) the amount of such Restricted Payment, together with the aggregate amount of all other Restricted Payments made by WIL-Ireland and its Restricted Subsidiaries pursuant to this </w:t>
      </w:r>
      <w:r>
        <w:rPr>
          <w:rFonts w:ascii="Arial" w:cs="Arial" w:eastAsia="Arial" w:hAnsi="Arial"/>
          <w:sz w:val="16"/>
          <w:szCs w:val="16"/>
          <w:u w:val="single" w:color="auto"/>
          <w:color w:val="auto"/>
        </w:rPr>
        <w:t>Section 8.08(j)</w:t>
      </w:r>
      <w:r>
        <w:rPr>
          <w:rFonts w:ascii="Arial" w:cs="Arial" w:eastAsia="Arial" w:hAnsi="Arial"/>
          <w:sz w:val="16"/>
          <w:szCs w:val="16"/>
          <w:color w:val="auto"/>
        </w:rPr>
        <w:t xml:space="preserve"> since the RCF Effective Date, is less than the amount of the Restricted Payment Basket at such time, and (iii) after giving pro forma effect to the making of such Restricted Payment, the Total Leverage Ratio would be less than 4.00 to 1.00 (calculated as of the last day of the most recently ended Testing Period for which financial statements are available as if such Restricted Payment had been made on the first day of such Testing Period);</w:t>
      </w:r>
    </w:p>
    <w:p>
      <w:pPr>
        <w:spacing w:after="0" w:line="164" w:lineRule="exact"/>
        <w:rPr>
          <w:rFonts w:ascii="Arial" w:cs="Arial" w:eastAsia="Arial" w:hAnsi="Arial"/>
          <w:sz w:val="16"/>
          <w:szCs w:val="16"/>
          <w:color w:val="auto"/>
        </w:rPr>
      </w:pPr>
    </w:p>
    <w:p>
      <w:pPr>
        <w:ind w:right="140" w:firstLine="1305"/>
        <w:spacing w:after="0" w:line="264" w:lineRule="auto"/>
        <w:tabs>
          <w:tab w:leader="none" w:pos="1952" w:val="left"/>
        </w:tabs>
        <w:numPr>
          <w:ilvl w:val="1"/>
          <w:numId w:val="444"/>
        </w:numPr>
        <w:rPr>
          <w:rFonts w:ascii="Arial" w:cs="Arial" w:eastAsia="Arial" w:hAnsi="Arial"/>
          <w:sz w:val="18"/>
          <w:szCs w:val="18"/>
          <w:color w:val="auto"/>
        </w:rPr>
      </w:pPr>
      <w:r>
        <w:rPr>
          <w:rFonts w:ascii="Arial" w:cs="Arial" w:eastAsia="Arial" w:hAnsi="Arial"/>
          <w:sz w:val="18"/>
          <w:szCs w:val="18"/>
          <w:color w:val="auto"/>
        </w:rPr>
        <w:t xml:space="preserve">so long as no Default or Event of Default shall have occurred and be continuing, WIL-Ireland and its Restricted Subsidiaries may repay or prepay intercompany loans or advances;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intercompany loans or advances are Subordinated, such repayment or prepayment shall not violate the subordination terms applicable thereto; and</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444"/>
        </w:numPr>
        <w:rPr>
          <w:rFonts w:ascii="Arial" w:cs="Arial" w:eastAsia="Arial" w:hAnsi="Arial"/>
          <w:sz w:val="17"/>
          <w:szCs w:val="17"/>
          <w:color w:val="auto"/>
        </w:rPr>
      </w:pPr>
      <w:r>
        <w:rPr>
          <w:rFonts w:ascii="Arial" w:cs="Arial" w:eastAsia="Arial" w:hAnsi="Arial"/>
          <w:sz w:val="17"/>
          <w:szCs w:val="17"/>
          <w:color w:val="auto"/>
        </w:rPr>
        <w:t>WIL-Ireland and its Restricted Subsidiaries may (i) pay the purchase price for any Permitted Bond Hedge Transaction and</w:t>
      </w:r>
    </w:p>
    <w:p>
      <w:pPr>
        <w:spacing w:after="0" w:line="34" w:lineRule="exact"/>
        <w:rPr>
          <w:rFonts w:ascii="Arial" w:cs="Arial" w:eastAsia="Arial" w:hAnsi="Arial"/>
          <w:sz w:val="17"/>
          <w:szCs w:val="17"/>
          <w:color w:val="auto"/>
        </w:rPr>
      </w:pPr>
    </w:p>
    <w:p>
      <w:pPr>
        <w:jc w:val="both"/>
        <w:ind w:right="240" w:firstLine="8"/>
        <w:spacing w:after="0" w:line="255" w:lineRule="auto"/>
        <w:tabs>
          <w:tab w:leader="none" w:pos="265" w:val="left"/>
        </w:tabs>
        <w:numPr>
          <w:ilvl w:val="0"/>
          <w:numId w:val="445"/>
        </w:numPr>
        <w:rPr>
          <w:rFonts w:ascii="Arial" w:cs="Arial" w:eastAsia="Arial" w:hAnsi="Arial"/>
          <w:sz w:val="18"/>
          <w:szCs w:val="18"/>
          <w:color w:val="auto"/>
        </w:rPr>
      </w:pPr>
      <w:r>
        <w:rPr>
          <w:rFonts w:ascii="Arial" w:cs="Arial" w:eastAsia="Arial" w:hAnsi="Arial"/>
          <w:sz w:val="18"/>
          <w:szCs w:val="18"/>
          <w:color w:val="auto"/>
        </w:rPr>
        <w:t>settle any related Permitted Warrant Transaction (A) by delivery of shares of WIL-Ireland’s common stock upon settlement thereof or (B) by (x) set-off against the related Permitted Bond Hedge Transaction or (y) payment of an early termination amount thereof in common stock upon any early termination thereof;</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Restricted Payment by a Secured Obligor described in clause (c) or (j) of this </w:t>
      </w:r>
      <w:r>
        <w:rPr>
          <w:rFonts w:ascii="Arial" w:cs="Arial" w:eastAsia="Arial" w:hAnsi="Arial"/>
          <w:sz w:val="18"/>
          <w:szCs w:val="18"/>
          <w:u w:val="single" w:color="auto"/>
          <w:color w:val="auto"/>
        </w:rPr>
        <w:t>Section 8.08</w:t>
      </w:r>
      <w:r>
        <w:rPr>
          <w:rFonts w:ascii="Arial" w:cs="Arial" w:eastAsia="Arial" w:hAnsi="Arial"/>
          <w:sz w:val="18"/>
          <w:szCs w:val="18"/>
          <w:color w:val="auto"/>
        </w:rPr>
        <w:t xml:space="preserve"> (other than Restricted Payments consisting solely of cash or Cash Equivalents or any Restricted Payments made to another Secured Obligor), such Restricted Payment shall not be permitted unless, after giving pro forma effect to such Restricted Payment, WIL-Ireland would be in compliance with the Current Asset Coverage Ratio Covenant (calculated as of the last day of the most recently ended Fiscal Quarter for which financial statements are available as if such Restricted Payment was made on such day).</w:t>
      </w:r>
    </w:p>
    <w:p>
      <w:pPr>
        <w:spacing w:after="0" w:line="188"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8.09</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25" w:lineRule="exact"/>
        <w:rPr>
          <w:sz w:val="20"/>
          <w:szCs w:val="20"/>
          <w:color w:val="auto"/>
        </w:rPr>
      </w:pPr>
    </w:p>
    <w:p>
      <w:pPr>
        <w:ind w:right="500" w:firstLine="1305"/>
        <w:spacing w:after="0" w:line="277" w:lineRule="auto"/>
        <w:tabs>
          <w:tab w:leader="none" w:pos="1942"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Specified Senior Leverage Ratio</w:t>
      </w:r>
      <w:r>
        <w:rPr>
          <w:rFonts w:ascii="Arial" w:cs="Arial" w:eastAsia="Arial" w:hAnsi="Arial"/>
          <w:sz w:val="18"/>
          <w:szCs w:val="18"/>
          <w:color w:val="auto"/>
        </w:rPr>
        <w:t>. WIL-Ireland shall not, as of the last day of any Fiscal Quarter, permit the Specified Senior Leverage Ratio to be greater than 2.50 to 1.00.</w:t>
      </w:r>
    </w:p>
    <w:p>
      <w:pPr>
        <w:spacing w:after="0" w:line="170" w:lineRule="exact"/>
        <w:rPr>
          <w:rFonts w:ascii="Arial" w:cs="Arial" w:eastAsia="Arial" w:hAnsi="Arial"/>
          <w:sz w:val="18"/>
          <w:szCs w:val="18"/>
          <w:color w:val="auto"/>
        </w:rPr>
      </w:pPr>
    </w:p>
    <w:p>
      <w:pPr>
        <w:ind w:right="600" w:firstLine="1305"/>
        <w:spacing w:after="0" w:line="277" w:lineRule="auto"/>
        <w:tabs>
          <w:tab w:leader="none" w:pos="1952"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Specified Asset Coverage Ratio</w:t>
      </w:r>
      <w:r>
        <w:rPr>
          <w:rFonts w:ascii="Arial" w:cs="Arial" w:eastAsia="Arial" w:hAnsi="Arial"/>
          <w:sz w:val="18"/>
          <w:szCs w:val="18"/>
          <w:color w:val="auto"/>
        </w:rPr>
        <w:t>. WIL-Ireland shall not, as of the last day of any Fiscal Quarter, permit the Specified Asset Coverage Ratio to be less than 4.00 to 1.00.</w:t>
      </w:r>
    </w:p>
    <w:p>
      <w:pPr>
        <w:spacing w:after="0" w:line="170" w:lineRule="exact"/>
        <w:rPr>
          <w:rFonts w:ascii="Arial" w:cs="Arial" w:eastAsia="Arial" w:hAnsi="Arial"/>
          <w:sz w:val="18"/>
          <w:szCs w:val="18"/>
          <w:color w:val="auto"/>
        </w:rPr>
      </w:pPr>
    </w:p>
    <w:p>
      <w:pPr>
        <w:ind w:right="220" w:firstLine="1305"/>
        <w:spacing w:after="0" w:line="277" w:lineRule="auto"/>
        <w:tabs>
          <w:tab w:leader="none" w:pos="1955"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Specified Leverage and LC Ratio</w:t>
      </w:r>
      <w:r>
        <w:rPr>
          <w:rFonts w:ascii="Arial" w:cs="Arial" w:eastAsia="Arial" w:hAnsi="Arial"/>
          <w:sz w:val="18"/>
          <w:szCs w:val="18"/>
          <w:color w:val="auto"/>
        </w:rPr>
        <w:t>. WIL-Ireland shall not, as of the last day of any Fiscal Quarter, permit the Specified Leverage and LC Ratio to be greater than 3.50 to 1.00.</w:t>
      </w:r>
    </w:p>
    <w:p>
      <w:pPr>
        <w:spacing w:after="0" w:line="170" w:lineRule="exact"/>
        <w:rPr>
          <w:rFonts w:ascii="Arial" w:cs="Arial" w:eastAsia="Arial" w:hAnsi="Arial"/>
          <w:sz w:val="18"/>
          <w:szCs w:val="18"/>
          <w:color w:val="auto"/>
        </w:rPr>
      </w:pPr>
    </w:p>
    <w:p>
      <w:pPr>
        <w:jc w:val="both"/>
        <w:ind w:right="80" w:firstLine="1305"/>
        <w:spacing w:after="0" w:line="259" w:lineRule="auto"/>
        <w:tabs>
          <w:tab w:leader="none" w:pos="1952"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Current Asset Coverage Ratio</w:t>
      </w:r>
      <w:r>
        <w:rPr>
          <w:rFonts w:ascii="Arial" w:cs="Arial" w:eastAsia="Arial" w:hAnsi="Arial"/>
          <w:sz w:val="18"/>
          <w:szCs w:val="18"/>
          <w:color w:val="auto"/>
        </w:rPr>
        <w:t xml:space="preserve">: WIL-Ireland shall not, as of any Current Asset Coverage Ratio Test Date (commencing with the Current Asset Coverage Ratio Test Date occurring on September 30, 2018), permit the Current Asset Coverage Ratio to be less than 2.10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Collateral Perfection Period ends after September 30, 2018, the Current Asset Coverage Ratio as of September 30, 2018 shall not be less than 1.50 to 1.00.</w:t>
      </w:r>
    </w:p>
    <w:p>
      <w:pPr>
        <w:spacing w:after="0" w:line="18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Limitation on Transactions with Affiliates</w:t>
      </w:r>
      <w:r>
        <w:rPr>
          <w:rFonts w:ascii="Arial" w:cs="Arial" w:eastAsia="Arial" w:hAnsi="Arial"/>
          <w:sz w:val="16"/>
          <w:szCs w:val="16"/>
          <w:color w:val="auto"/>
        </w:rPr>
        <w:t xml:space="preserve">. WIL-Ireland shall not, and shall not permit any Restricted Subsidiary to, directly or indirectly, conduct any business or enter into, renew, extend or permit to exist any transaction or series of related transactions (including any purchase, sale, lease or other exchange of property or the rendering of any service) with any Affiliate that is not either (a) WIL-Ireland or one of WIL-Ireland’s Restricted Subsidiaries or a Person that becomes, pursuant to a Redomestication, a part of the consolidated group that includes WIL-Ireland, or (b) Weatherford\Al-Rushaid Limited or Weatherford Saudi Arabia Limited, other than on fair and reasonable terms (taking all related transactions into account and considering the terms of such related transactions in their entirety) substantially as favorable to WIL-Ireland or such Restricted Subsidiary, as the case may be, as would be available in a comparable arm’s length transaction with a Person that is not an Affiliate. Notwithstanding the foregoing, the restrictions set forth in this covenant shall not apply to (i) Investments in Unrestricted Subsidiaries permitted by </w:t>
      </w:r>
      <w:r>
        <w:rPr>
          <w:rFonts w:ascii="Arial" w:cs="Arial" w:eastAsia="Arial" w:hAnsi="Arial"/>
          <w:sz w:val="16"/>
          <w:szCs w:val="16"/>
          <w:u w:val="single" w:color="auto"/>
          <w:color w:val="auto"/>
        </w:rPr>
        <w:t>Section 8.06</w:t>
      </w:r>
      <w:r>
        <w:rPr>
          <w:rFonts w:ascii="Arial" w:cs="Arial" w:eastAsia="Arial" w:hAnsi="Arial"/>
          <w:sz w:val="16"/>
          <w:szCs w:val="16"/>
          <w:color w:val="auto"/>
        </w:rPr>
        <w:t>, (ii) the payment of reasonable and customary regular fees to directors of an Obligor or a Restricted Subsidiary of such Obligor who are not employees of such Obligor; (iii) loans and advances permitted hereby to officers and employees of an Obligor and its respective Restricted Subsidiaries for travel, entertainment and moving and other relocation expenses made in direct furtherance and in the ordinary course of business of an Obligor and its Restricted Subsidiaries; (iv) any other transaction with any employee, officer or director of an Obligor or any of its Restricted Subsidiaries pursuant to employee benefit, compensation or indemnification arrangements entered into in the ordinary course of business and approved by, as applicable, the Board of Directors of such Obligor or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Board of Directors of such Restricted Subsidiary permitted by this Agreement; and (v) non-exclusive licenses of patents, copyrights, trademarks, trade secrets and other intellectual property.</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Restrictive Agreements</w:t>
      </w:r>
      <w:r>
        <w:rPr>
          <w:rFonts w:ascii="Arial" w:cs="Arial" w:eastAsia="Arial" w:hAnsi="Arial"/>
          <w:sz w:val="18"/>
          <w:szCs w:val="18"/>
          <w:color w:val="auto"/>
        </w:rPr>
        <w:t>. WIL-Ireland shall not, and shall not permit any Restricted Subsidiary to, directly or indirectly, enter into, incur, create or permit to exist any Restrictive Agreement, except for:</w:t>
      </w:r>
    </w:p>
    <w:p>
      <w:pPr>
        <w:spacing w:after="0" w:line="170" w:lineRule="exact"/>
        <w:rPr>
          <w:sz w:val="20"/>
          <w:szCs w:val="20"/>
          <w:color w:val="auto"/>
        </w:rPr>
      </w:pPr>
    </w:p>
    <w:p>
      <w:pPr>
        <w:ind w:right="300" w:firstLine="1305"/>
        <w:spacing w:after="0" w:line="277" w:lineRule="auto"/>
        <w:tabs>
          <w:tab w:leader="none" w:pos="194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limitations or restrictions contained in any Loan Document, any of the Term Loan Documents, the Intercreditor Agreement and any of the RCF Loan Documents;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limitations or restrictions existing under or by reason of any Requirement of Law;</w:t>
      </w:r>
    </w:p>
    <w:p>
      <w:pPr>
        <w:spacing w:after="0" w:line="225" w:lineRule="exact"/>
        <w:rPr>
          <w:rFonts w:ascii="Arial" w:cs="Arial" w:eastAsia="Arial" w:hAnsi="Arial"/>
          <w:sz w:val="18"/>
          <w:szCs w:val="18"/>
          <w:color w:val="auto"/>
        </w:rPr>
      </w:pPr>
    </w:p>
    <w:p>
      <w:pPr>
        <w:ind w:right="60" w:firstLine="1305"/>
        <w:spacing w:after="0" w:line="312" w:lineRule="auto"/>
        <w:tabs>
          <w:tab w:leader="none" w:pos="1955" w:val="left"/>
        </w:tabs>
        <w:numPr>
          <w:ilvl w:val="0"/>
          <w:numId w:val="447"/>
        </w:numPr>
        <w:rPr>
          <w:rFonts w:ascii="Arial" w:cs="Arial" w:eastAsia="Arial" w:hAnsi="Arial"/>
          <w:sz w:val="16"/>
          <w:szCs w:val="16"/>
          <w:color w:val="auto"/>
        </w:rPr>
      </w:pPr>
      <w:r>
        <w:rPr>
          <w:rFonts w:ascii="Arial" w:cs="Arial" w:eastAsia="Arial" w:hAnsi="Arial"/>
          <w:sz w:val="16"/>
          <w:szCs w:val="16"/>
          <w:color w:val="auto"/>
        </w:rPr>
        <w:t xml:space="preserve">customary restrictions with respect to any Restricted Subsidiary or any of its assets contained in any agreement for the Disposition of a material portion of the Capital Stock of, or any of the assets of, such Restricted Subsidiary pending such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apply only to the Restricted Subsidiary that is, or assets that are, the subject of such Disposition and such Disposition is permitted hereunder;</w:t>
      </w:r>
    </w:p>
    <w:p>
      <w:pPr>
        <w:sectPr>
          <w:pgSz w:w="11900" w:h="16838" w:orient="portrait"/>
          <w:cols w:equalWidth="0" w:num="1">
            <w:col w:w="11420"/>
          </w:cols>
          <w:pgMar w:left="240" w:top="341" w:right="239" w:bottom="0" w:gutter="0" w:footer="0" w:header="0"/>
        </w:sectPr>
      </w:pPr>
    </w:p>
    <w:bookmarkStart w:id="180" w:name="page181"/>
    <w:bookmarkEnd w:id="180"/>
    <w:p>
      <w:pPr>
        <w:jc w:val="both"/>
        <w:ind w:right="440" w:firstLine="1305"/>
        <w:spacing w:after="0" w:line="259" w:lineRule="auto"/>
        <w:tabs>
          <w:tab w:leader="none" w:pos="1952" w:val="left"/>
        </w:tabs>
        <w:numPr>
          <w:ilvl w:val="0"/>
          <w:numId w:val="448"/>
        </w:numPr>
        <w:rPr>
          <w:rFonts w:ascii="Arial" w:cs="Arial" w:eastAsia="Arial" w:hAnsi="Arial"/>
          <w:sz w:val="18"/>
          <w:szCs w:val="18"/>
          <w:color w:val="auto"/>
        </w:rPr>
      </w:pPr>
      <w:r>
        <w:rPr>
          <w:rFonts w:ascii="Arial" w:cs="Arial" w:eastAsia="Arial" w:hAnsi="Arial"/>
          <w:sz w:val="18"/>
          <w:szCs w:val="18"/>
          <w:color w:val="auto"/>
        </w:rPr>
        <w:t xml:space="preserve">limitations or restrictions contained in contracts and agreements outstanding on the Effective Date and renewals, extensions, refinancings or replacements thereof identified on </w:t>
      </w:r>
      <w:r>
        <w:rPr>
          <w:rFonts w:ascii="Arial" w:cs="Arial" w:eastAsia="Arial" w:hAnsi="Arial"/>
          <w:sz w:val="18"/>
          <w:szCs w:val="18"/>
          <w:u w:val="single" w:color="auto"/>
          <w:color w:val="auto"/>
        </w:rPr>
        <w:t>Schedule 8.11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restrictions set forth in this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shall apply to any amendment or modification to, or any renewal, extension, refinancing or replacement of, any such contract or agreement that would have the effect of expanding the scope of any such limitation or restriction;</w:t>
      </w:r>
    </w:p>
    <w:p>
      <w:pPr>
        <w:spacing w:after="0" w:line="186" w:lineRule="exact"/>
        <w:rPr>
          <w:rFonts w:ascii="Arial" w:cs="Arial" w:eastAsia="Arial" w:hAnsi="Arial"/>
          <w:sz w:val="18"/>
          <w:szCs w:val="18"/>
          <w:color w:val="auto"/>
        </w:rPr>
      </w:pPr>
    </w:p>
    <w:p>
      <w:pPr>
        <w:ind w:right="260" w:firstLine="1305"/>
        <w:spacing w:after="0" w:line="302" w:lineRule="auto"/>
        <w:tabs>
          <w:tab w:leader="none" w:pos="1955" w:val="left"/>
        </w:tabs>
        <w:numPr>
          <w:ilvl w:val="0"/>
          <w:numId w:val="448"/>
        </w:numPr>
        <w:rPr>
          <w:rFonts w:ascii="Arial" w:cs="Arial" w:eastAsia="Arial" w:hAnsi="Arial"/>
          <w:sz w:val="16"/>
          <w:szCs w:val="16"/>
          <w:color w:val="auto"/>
        </w:rPr>
      </w:pPr>
      <w:r>
        <w:rPr>
          <w:rFonts w:ascii="Arial" w:cs="Arial" w:eastAsia="Arial" w:hAnsi="Arial"/>
          <w:sz w:val="16"/>
          <w:szCs w:val="16"/>
          <w:color w:val="auto"/>
        </w:rPr>
        <w:t xml:space="preserve">limitations or restrictions contained in any agreement or instrument to which any Person is a party at the time such Person is merged or consolidated with or into, or the Capital Stock of such Person is otherwise acquired by, WIL-Ireland or any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 or limitation (i) is not applicable to any Person, or the properties or assets of any Person, other than the Person, or the property or assets of such Person, so acquired and (ii) is not incurred in connection with, or in contemplation of, such merger, consolidation or acquisition;</w:t>
      </w:r>
    </w:p>
    <w:p>
      <w:pPr>
        <w:spacing w:after="0" w:line="154" w:lineRule="exact"/>
        <w:rPr>
          <w:rFonts w:ascii="Arial" w:cs="Arial" w:eastAsia="Arial" w:hAnsi="Arial"/>
          <w:sz w:val="16"/>
          <w:szCs w:val="16"/>
          <w:color w:val="auto"/>
        </w:rPr>
      </w:pPr>
    </w:p>
    <w:p>
      <w:pPr>
        <w:ind w:right="120" w:firstLine="1305"/>
        <w:spacing w:after="0" w:line="259" w:lineRule="auto"/>
        <w:tabs>
          <w:tab w:leader="none" w:pos="1949" w:val="left"/>
        </w:tabs>
        <w:numPr>
          <w:ilvl w:val="0"/>
          <w:numId w:val="448"/>
        </w:numPr>
        <w:rPr>
          <w:rFonts w:ascii="Arial" w:cs="Arial" w:eastAsia="Arial" w:hAnsi="Arial"/>
          <w:sz w:val="18"/>
          <w:szCs w:val="18"/>
          <w:color w:val="auto"/>
        </w:rPr>
      </w:pPr>
      <w:r>
        <w:rPr>
          <w:rFonts w:ascii="Arial" w:cs="Arial" w:eastAsia="Arial" w:hAnsi="Arial"/>
          <w:sz w:val="18"/>
          <w:szCs w:val="18"/>
          <w:color w:val="auto"/>
        </w:rPr>
        <w:t xml:space="preserve">(i) clause (a) of the definition of Restrictive Agreements shall not apply to restrictions or conditions imposed by any agreement relating to secured Indebtedness permitted by this Agreement or Liens permitted under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if such restrictions or conditions apply only to the property or assets securing such Indebtedness or (ii) customary restrictions or limitations in leases or other contracts restricting the assignment thereof or the assignment of the property that is the subject of such lease;</w:t>
      </w:r>
    </w:p>
    <w:p>
      <w:pPr>
        <w:spacing w:after="0" w:line="186" w:lineRule="exact"/>
        <w:rPr>
          <w:rFonts w:ascii="Arial" w:cs="Arial" w:eastAsia="Arial" w:hAnsi="Arial"/>
          <w:sz w:val="18"/>
          <w:szCs w:val="18"/>
          <w:color w:val="auto"/>
        </w:rPr>
      </w:pPr>
    </w:p>
    <w:p>
      <w:pPr>
        <w:ind w:right="40" w:firstLine="1305"/>
        <w:spacing w:after="0" w:line="264" w:lineRule="auto"/>
        <w:tabs>
          <w:tab w:leader="none" w:pos="1965" w:val="left"/>
        </w:tabs>
        <w:numPr>
          <w:ilvl w:val="0"/>
          <w:numId w:val="448"/>
        </w:numPr>
        <w:rPr>
          <w:rFonts w:ascii="Arial" w:cs="Arial" w:eastAsia="Arial" w:hAnsi="Arial"/>
          <w:sz w:val="18"/>
          <w:szCs w:val="18"/>
          <w:color w:val="auto"/>
        </w:rPr>
      </w:pPr>
      <w:r>
        <w:rPr>
          <w:rFonts w:ascii="Arial" w:cs="Arial" w:eastAsia="Arial" w:hAnsi="Arial"/>
          <w:sz w:val="18"/>
          <w:szCs w:val="18"/>
          <w:color w:val="auto"/>
        </w:rPr>
        <w:t>limitations or restrictions contained in joint venture agreements, partnership agreements and other similar agreements with respect to a joint ownership arrangement restricting the disposition or distribution of assets or property of such joint venture, partnership or other joint ownership entity, so long as such encumbrances or restrictions are not applicable to the property or assets of any other Person;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0" w:hanging="695"/>
        <w:spacing w:after="0"/>
        <w:tabs>
          <w:tab w:leader="none" w:pos="20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customary restrictions and conditions contained in Permitted Factoring Transaction Documents.</w:t>
      </w:r>
    </w:p>
    <w:p>
      <w:pPr>
        <w:spacing w:after="0" w:line="225" w:lineRule="exact"/>
        <w:rPr>
          <w:sz w:val="20"/>
          <w:szCs w:val="20"/>
          <w:color w:val="auto"/>
        </w:rPr>
      </w:pPr>
    </w:p>
    <w:p>
      <w:pPr>
        <w:ind w:left="660"/>
        <w:spacing w:after="0"/>
        <w:tabs>
          <w:tab w:leader="none" w:pos="2340" w:val="left"/>
        </w:tabs>
        <w:rPr>
          <w:sz w:val="20"/>
          <w:szCs w:val="20"/>
          <w:color w:val="auto"/>
        </w:rPr>
      </w:pPr>
      <w:r>
        <w:rPr>
          <w:rFonts w:ascii="Arial" w:cs="Arial" w:eastAsia="Arial" w:hAnsi="Arial"/>
          <w:sz w:val="18"/>
          <w:szCs w:val="18"/>
          <w:color w:val="auto"/>
        </w:rPr>
        <w:t>SECTION 8.12</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225" w:lineRule="exact"/>
        <w:rPr>
          <w:sz w:val="20"/>
          <w:szCs w:val="20"/>
          <w:color w:val="auto"/>
        </w:rPr>
      </w:pPr>
    </w:p>
    <w:p>
      <w:pPr>
        <w:ind w:right="20" w:firstLine="1305"/>
        <w:spacing w:after="0" w:line="259" w:lineRule="auto"/>
        <w:tabs>
          <w:tab w:leader="none" w:pos="1991" w:val="left"/>
        </w:tabs>
        <w:numPr>
          <w:ilvl w:val="0"/>
          <w:numId w:val="450"/>
        </w:numPr>
        <w:rPr>
          <w:rFonts w:ascii="Arial" w:cs="Arial" w:eastAsia="Arial" w:hAnsi="Arial"/>
          <w:sz w:val="18"/>
          <w:szCs w:val="18"/>
          <w:color w:val="auto"/>
        </w:rPr>
      </w:pPr>
      <w:r>
        <w:rPr>
          <w:rFonts w:ascii="Arial" w:cs="Arial" w:eastAsia="Arial" w:hAnsi="Arial"/>
          <w:sz w:val="18"/>
          <w:szCs w:val="18"/>
          <w:color w:val="auto"/>
        </w:rPr>
        <w:t xml:space="preserve">WIL-Ireland and the Borrowers shall not, and WIL-Ireland shall not permit any of its other Restricted Subsidiaries to, use the proceeds of any Loans for any purpose other than (i) for working capital and general corporate purposes of WIL-Ireland and its Restricted Subsidiaries (to the extent otherwise permitted hereunder) and (ii) on the Effective Date, to repay revolving loans outstanding under the Existing RCF Credit Agreement as described in </w:t>
      </w:r>
      <w:r>
        <w:rPr>
          <w:rFonts w:ascii="Arial" w:cs="Arial" w:eastAsia="Arial" w:hAnsi="Arial"/>
          <w:sz w:val="18"/>
          <w:szCs w:val="18"/>
          <w:u w:val="single" w:color="auto"/>
          <w:color w:val="auto"/>
        </w:rPr>
        <w:t>Section 5.01(g)</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40" w:firstLine="1305"/>
        <w:spacing w:after="0" w:line="271" w:lineRule="auto"/>
        <w:tabs>
          <w:tab w:leader="none" w:pos="2001" w:val="left"/>
        </w:tabs>
        <w:numPr>
          <w:ilvl w:val="0"/>
          <w:numId w:val="450"/>
        </w:numPr>
        <w:rPr>
          <w:rFonts w:ascii="Arial" w:cs="Arial" w:eastAsia="Arial" w:hAnsi="Arial"/>
          <w:sz w:val="17"/>
          <w:szCs w:val="17"/>
          <w:color w:val="auto"/>
        </w:rPr>
      </w:pPr>
      <w:r>
        <w:rPr>
          <w:rFonts w:ascii="Arial" w:cs="Arial" w:eastAsia="Arial" w:hAnsi="Arial"/>
          <w:sz w:val="17"/>
          <w:szCs w:val="17"/>
          <w:color w:val="auto"/>
        </w:rPr>
        <w:t>WIL-Ireland shall not, nor shall it permit any of its Subsidiaries to, use the proceeds of any Loan under this Agreement directly or indirectly for the purpose of buying or carrying any “margin stock” within the meaning of Regulation U (herein called “margin stock”) or for the purpose of reducing or retiring any indebtedness which was originally incurred to buy or carry a margin stock (except that WIL-Ireland and any of its Restricted Subsidiaries may purchase the common stock of WIL-Ireland, subject to compliance with applicable law and provided that WIL-Ireland will not at any time permit the value of the assets of the WIL-Ireland and its Subsidiaries on a consolidated basis that comprise “margin stock” as defined in Regulation U to exceed an amount equal to 25% of all of the assets of WIL-Ireland and its Subsidiaries on a consolidated basis), or for any other purpose which would constitute this transaction a “purpose” credit within the meaning of Regulation U. WIL-Ireland shall not, nor shall it permit any of its Subsidiaries to, take any action which would cause this Agreement or any other Loan Document to violate Regulation T, U or X.</w:t>
      </w:r>
    </w:p>
    <w:p>
      <w:pPr>
        <w:spacing w:after="0" w:line="178" w:lineRule="exact"/>
        <w:rPr>
          <w:rFonts w:ascii="Arial" w:cs="Arial" w:eastAsia="Arial" w:hAnsi="Arial"/>
          <w:sz w:val="17"/>
          <w:szCs w:val="17"/>
          <w:color w:val="auto"/>
        </w:rPr>
      </w:pPr>
    </w:p>
    <w:p>
      <w:pPr>
        <w:ind w:right="20" w:firstLine="1305"/>
        <w:spacing w:after="0" w:line="297" w:lineRule="auto"/>
        <w:tabs>
          <w:tab w:leader="none" w:pos="1991" w:val="left"/>
        </w:tabs>
        <w:numPr>
          <w:ilvl w:val="0"/>
          <w:numId w:val="450"/>
        </w:numPr>
        <w:rPr>
          <w:rFonts w:ascii="Arial" w:cs="Arial" w:eastAsia="Arial" w:hAnsi="Arial"/>
          <w:sz w:val="16"/>
          <w:szCs w:val="16"/>
          <w:color w:val="auto"/>
        </w:rPr>
      </w:pPr>
      <w:r>
        <w:rPr>
          <w:rFonts w:ascii="Arial" w:cs="Arial" w:eastAsia="Arial" w:hAnsi="Arial"/>
          <w:sz w:val="16"/>
          <w:szCs w:val="16"/>
          <w:color w:val="auto"/>
        </w:rPr>
        <w:t>No Borrower will request any Loans, and WIL-Ireland shall not use or otherwise make available, and shall procure that its Subsidiaries and its or their respective directors, officers, employees and agents shall not use or otherwise make available, any proceeds of the Loans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14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auto"/>
              </w:rPr>
              <w:t>SECTION 8.13</w:t>
            </w:r>
          </w:p>
        </w:tc>
        <w:tc>
          <w:tcPr>
            <w:tcW w:w="8580" w:type="dxa"/>
            <w:vAlign w:val="bottom"/>
            <w:gridSpan w:val="3"/>
          </w:tcPr>
          <w:p>
            <w:pPr>
              <w:spacing w:after="0"/>
              <w:rPr>
                <w:sz w:val="20"/>
                <w:szCs w:val="20"/>
                <w:color w:val="auto"/>
              </w:rPr>
            </w:pPr>
            <w:r>
              <w:rPr>
                <w:rFonts w:ascii="Arial" w:cs="Arial" w:eastAsia="Arial" w:hAnsi="Arial"/>
                <w:sz w:val="18"/>
                <w:szCs w:val="18"/>
                <w:color w:val="auto"/>
                <w:w w:val="99"/>
              </w:rPr>
              <w:t>Changes to Fiscal Year</w:t>
            </w:r>
            <w:r>
              <w:rPr>
                <w:rFonts w:ascii="Arial" w:cs="Arial" w:eastAsia="Arial" w:hAnsi="Arial"/>
                <w:sz w:val="17"/>
                <w:szCs w:val="17"/>
                <w:color w:val="auto"/>
                <w:w w:val="99"/>
              </w:rPr>
              <w:t>. WIL-Ireland will not change its Fiscal Year from the basis in effect on the Effective Date.</w:t>
            </w:r>
          </w:p>
        </w:tc>
      </w:tr>
      <w:tr>
        <w:trPr>
          <w:trHeight w:val="20"/>
        </w:trPr>
        <w:tc>
          <w:tcPr>
            <w:tcW w:w="17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12"/>
        </w:trPr>
        <w:tc>
          <w:tcPr>
            <w:tcW w:w="1700" w:type="dxa"/>
            <w:vAlign w:val="bottom"/>
          </w:tcPr>
          <w:p>
            <w:pPr>
              <w:spacing w:after="0"/>
              <w:rPr>
                <w:sz w:val="20"/>
                <w:szCs w:val="20"/>
                <w:color w:val="auto"/>
              </w:rPr>
            </w:pPr>
            <w:r>
              <w:rPr>
                <w:rFonts w:ascii="Arial" w:cs="Arial" w:eastAsia="Arial" w:hAnsi="Arial"/>
                <w:sz w:val="18"/>
                <w:szCs w:val="18"/>
                <w:color w:val="auto"/>
              </w:rPr>
              <w:t>SECTION 8.14</w:t>
            </w:r>
          </w:p>
        </w:tc>
        <w:tc>
          <w:tcPr>
            <w:tcW w:w="8580" w:type="dxa"/>
            <w:vAlign w:val="bottom"/>
            <w:gridSpan w:val="3"/>
          </w:tcPr>
          <w:p>
            <w:pPr>
              <w:spacing w:after="0"/>
              <w:rPr>
                <w:sz w:val="20"/>
                <w:szCs w:val="20"/>
                <w:color w:val="auto"/>
              </w:rPr>
            </w:pPr>
            <w:r>
              <w:rPr>
                <w:rFonts w:ascii="Arial" w:cs="Arial" w:eastAsia="Arial" w:hAnsi="Arial"/>
                <w:sz w:val="18"/>
                <w:szCs w:val="18"/>
                <w:color w:val="auto"/>
                <w:w w:val="92"/>
              </w:rPr>
              <w:t>Amendments to Documents Governing Certain Indebtedness</w:t>
            </w:r>
            <w:r>
              <w:rPr>
                <w:rFonts w:ascii="Arial" w:cs="Arial" w:eastAsia="Arial" w:hAnsi="Arial"/>
                <w:sz w:val="17"/>
                <w:szCs w:val="17"/>
                <w:color w:val="auto"/>
                <w:w w:val="92"/>
              </w:rPr>
              <w:t>. WIL-Ireland shall not, and shall not permit any Restricted</w:t>
            </w:r>
          </w:p>
        </w:tc>
      </w:tr>
      <w:tr>
        <w:trPr>
          <w:trHeight w:val="20"/>
        </w:trPr>
        <w:tc>
          <w:tcPr>
            <w:tcW w:w="17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bl>
    <w:p>
      <w:pPr>
        <w:spacing w:after="0" w:line="1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Subsidiary to, amend or otherwise modify any of the documentation governing (a) (i) the Term Loan Facility or Permitted Refinancing Indebtedness in respect thereof, (ii) the RCF or Permitted Refinancing Indebtedness in respect thereof or (iii) any Existing Senior Notes or Permitted Refinancing Indebtedness in respect thereof, in each case to the extent that any such amendment or other modification, taken as a whole, would be materially adverse to the Lenders or, in the case of clause (i) above, is otherwise prohibited under the Intercreditor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any amendment or other modification in order to incorporate (x) any RCF Incremental Commitment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permitted hereby or (y) the replacement of the Adjusted LIBO Rate or the LIBO Rate (each as defined in the RCF Credit Agreement and the Term Loan Agreement) shall be deemed to not be materially adverse to the Lenders), (b) any unsecured Indebtedness incurred pursuant to </w:t>
      </w:r>
      <w:r>
        <w:rPr>
          <w:rFonts w:ascii="Arial" w:cs="Arial" w:eastAsia="Arial" w:hAnsi="Arial"/>
          <w:sz w:val="18"/>
          <w:szCs w:val="18"/>
          <w:u w:val="single" w:color="auto"/>
          <w:color w:val="auto"/>
        </w:rPr>
        <w:t>Section 8.01(k)</w:t>
      </w:r>
      <w:r>
        <w:rPr>
          <w:rFonts w:ascii="Arial" w:cs="Arial" w:eastAsia="Arial" w:hAnsi="Arial"/>
          <w:sz w:val="18"/>
          <w:szCs w:val="18"/>
          <w:color w:val="auto"/>
        </w:rPr>
        <w:t xml:space="preserve"> to reduce the stated maturity of any such Indebtedness to be sooner than 91 days after the latest to occur of the Maturity Date, the RCF Maturity Date and the Term Loan Maturity Date or (iii) any Subordinated Indebtedness incurred pursuant to </w:t>
      </w:r>
      <w:r>
        <w:rPr>
          <w:rFonts w:ascii="Arial" w:cs="Arial" w:eastAsia="Arial" w:hAnsi="Arial"/>
          <w:sz w:val="18"/>
          <w:szCs w:val="18"/>
          <w:u w:val="single" w:color="auto"/>
          <w:color w:val="auto"/>
        </w:rPr>
        <w:t>Section 8.01(l)</w:t>
      </w:r>
      <w:r>
        <w:rPr>
          <w:rFonts w:ascii="Arial" w:cs="Arial" w:eastAsia="Arial" w:hAnsi="Arial"/>
          <w:sz w:val="18"/>
          <w:szCs w:val="18"/>
          <w:color w:val="auto"/>
        </w:rPr>
        <w:t xml:space="preserve"> to amend or otherwise modify the subordination terms of such Indebtedness in a manner adverse to the Lenders.</w:t>
      </w:r>
    </w:p>
    <w:p>
      <w:pPr>
        <w:spacing w:after="0" w:line="188" w:lineRule="exact"/>
        <w:rPr>
          <w:sz w:val="20"/>
          <w:szCs w:val="20"/>
          <w:color w:val="auto"/>
        </w:rPr>
      </w:pPr>
    </w:p>
    <w:p>
      <w:pPr>
        <w:ind w:right="100" w:firstLine="648"/>
        <w:spacing w:after="0" w:line="301" w:lineRule="auto"/>
        <w:rPr>
          <w:sz w:val="20"/>
          <w:szCs w:val="20"/>
          <w:color w:val="auto"/>
        </w:rPr>
      </w:pPr>
      <w:r>
        <w:rPr>
          <w:rFonts w:ascii="Arial" w:cs="Arial" w:eastAsia="Arial" w:hAnsi="Arial"/>
          <w:sz w:val="17"/>
          <w:szCs w:val="17"/>
          <w:color w:val="auto"/>
        </w:rPr>
        <w:t xml:space="preserve">SECTION 8.15 </w:t>
      </w:r>
      <w:r>
        <w:rPr>
          <w:rFonts w:ascii="Arial" w:cs="Arial" w:eastAsia="Arial" w:hAnsi="Arial"/>
          <w:sz w:val="17"/>
          <w:szCs w:val="17"/>
          <w:u w:val="single" w:color="auto"/>
          <w:color w:val="auto"/>
        </w:rPr>
        <w:t>Limit on Credit Support Instruments</w:t>
      </w:r>
      <w:r>
        <w:rPr>
          <w:rFonts w:ascii="Arial" w:cs="Arial" w:eastAsia="Arial" w:hAnsi="Arial"/>
          <w:sz w:val="16"/>
          <w:szCs w:val="16"/>
          <w:color w:val="auto"/>
        </w:rPr>
        <w:t>. WIL-Ireland shall not permit the aggregate amount of all obligations (contingent or</w:t>
      </w:r>
      <w:r>
        <w:rPr>
          <w:rFonts w:ascii="Arial" w:cs="Arial" w:eastAsia="Arial" w:hAnsi="Arial"/>
          <w:sz w:val="17"/>
          <w:szCs w:val="17"/>
          <w:color w:val="auto"/>
        </w:rPr>
        <w:t xml:space="preserve"> </w:t>
      </w:r>
      <w:r>
        <w:rPr>
          <w:rFonts w:ascii="Arial" w:cs="Arial" w:eastAsia="Arial" w:hAnsi="Arial"/>
          <w:sz w:val="16"/>
          <w:szCs w:val="16"/>
          <w:color w:val="auto"/>
        </w:rPr>
        <w:t>otherwise) of WIL-Ireland and its Restricted Subsidiaries with respect to letters of credit, bank guarantees, bid bonds, surety bonds, performance bonds, customs bonds, advance payment bonds and similar instruments (including letters of credit issued pursuant to the RCF Credit Agreement) to exceed $1,000,000,000.</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u w:val="single" w:color="auto"/>
          <w:color w:val="auto"/>
        </w:rPr>
        <w:t>Current Assets and Current Liabilities</w:t>
      </w:r>
      <w:r>
        <w:rPr>
          <w:rFonts w:ascii="Arial" w:cs="Arial" w:eastAsia="Arial" w:hAnsi="Arial"/>
          <w:sz w:val="18"/>
          <w:szCs w:val="18"/>
          <w:color w:val="auto"/>
        </w:rPr>
        <w:t>. At no time shall (a) the Loans cease to constitute Current Liabilities, (b) the Collateral shall cease to constitute Current Assets or (c) the Secured Obligations be secured by assets that do not constitute Current Assets. WIL-Ireland shall not, and shall not permit any Restricted Subsidiary to, take any action (including, without limitation, in connection with a proposed refinancing of the Obligations) that could reasonably be expected to cause the Loans to no longer be classified as Current Liabilities or the Collateral to no longer be classified as Current Assets.</w:t>
      </w:r>
    </w:p>
    <w:p>
      <w:pPr>
        <w:sectPr>
          <w:pgSz w:w="11900" w:h="16838" w:orient="portrait"/>
          <w:cols w:equalWidth="0" w:num="1">
            <w:col w:w="11400"/>
          </w:cols>
          <w:pgMar w:left="240" w:top="125" w:right="259" w:bottom="0" w:gutter="0" w:footer="0" w:header="0"/>
        </w:sectPr>
      </w:pPr>
    </w:p>
    <w:bookmarkStart w:id="181" w:name="page182"/>
    <w:bookmarkEnd w:id="181"/>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EVENTS OF DEFAULT AND REMEDIES</w:t>
      </w:r>
    </w:p>
    <w:p>
      <w:pPr>
        <w:spacing w:after="0" w:line="211" w:lineRule="exact"/>
        <w:rPr>
          <w:sz w:val="20"/>
          <w:szCs w:val="20"/>
          <w:color w:val="auto"/>
        </w:rPr>
      </w:pPr>
    </w:p>
    <w:p>
      <w:pPr>
        <w:ind w:left="660"/>
        <w:spacing w:after="0"/>
        <w:tabs>
          <w:tab w:leader="none" w:pos="234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Events of Default and Remedies</w:t>
      </w:r>
      <w:r>
        <w:rPr>
          <w:rFonts w:ascii="Arial" w:cs="Arial" w:eastAsia="Arial" w:hAnsi="Arial"/>
          <w:sz w:val="16"/>
          <w:szCs w:val="16"/>
          <w:color w:val="auto"/>
        </w:rPr>
        <w:t>. If any of the following events (“</w:t>
      </w:r>
      <w:r>
        <w:rPr>
          <w:rFonts w:ascii="Arial" w:cs="Arial" w:eastAsia="Arial" w:hAnsi="Arial"/>
          <w:sz w:val="16"/>
          <w:szCs w:val="16"/>
          <w:u w:val="single" w:color="auto"/>
          <w:color w:val="auto"/>
        </w:rPr>
        <w:t>Events of Default</w:t>
      </w:r>
      <w:r>
        <w:rPr>
          <w:rFonts w:ascii="Arial" w:cs="Arial" w:eastAsia="Arial" w:hAnsi="Arial"/>
          <w:sz w:val="16"/>
          <w:szCs w:val="16"/>
          <w:color w:val="auto"/>
        </w:rPr>
        <w:t>”) shall occur and be continuing:</w:t>
      </w:r>
    </w:p>
    <w:p>
      <w:pPr>
        <w:spacing w:after="0" w:line="225" w:lineRule="exact"/>
        <w:rPr>
          <w:sz w:val="20"/>
          <w:szCs w:val="20"/>
          <w:color w:val="auto"/>
        </w:rPr>
      </w:pPr>
    </w:p>
    <w:p>
      <w:pPr>
        <w:ind w:right="380" w:firstLine="1305"/>
        <w:spacing w:after="0" w:line="259" w:lineRule="auto"/>
        <w:tabs>
          <w:tab w:leader="none" w:pos="1991" w:val="left"/>
        </w:tabs>
        <w:numPr>
          <w:ilvl w:val="0"/>
          <w:numId w:val="451"/>
        </w:numPr>
        <w:rPr>
          <w:rFonts w:ascii="Arial" w:cs="Arial" w:eastAsia="Arial" w:hAnsi="Arial"/>
          <w:sz w:val="18"/>
          <w:szCs w:val="18"/>
          <w:color w:val="auto"/>
        </w:rPr>
      </w:pPr>
      <w:r>
        <w:rPr>
          <w:rFonts w:ascii="Arial" w:cs="Arial" w:eastAsia="Arial" w:hAnsi="Arial"/>
          <w:sz w:val="18"/>
          <w:szCs w:val="18"/>
          <w:color w:val="auto"/>
        </w:rPr>
        <w:t xml:space="preserve">(i) the principal of any Loan shall not be paid when such payment is due (whether at the due date thereof or at a date fixed for prepayment thereof or otherwise), or (ii) any interest on any Loan, any fee or any other amount (other than an amount referred to in clause (i) of this </w:t>
      </w:r>
      <w:r>
        <w:rPr>
          <w:rFonts w:ascii="Arial" w:cs="Arial" w:eastAsia="Arial" w:hAnsi="Arial"/>
          <w:sz w:val="18"/>
          <w:szCs w:val="18"/>
          <w:u w:val="single" w:color="auto"/>
          <w:color w:val="auto"/>
        </w:rPr>
        <w:t>Section 9.01(a)</w:t>
      </w:r>
      <w:r>
        <w:rPr>
          <w:rFonts w:ascii="Arial" w:cs="Arial" w:eastAsia="Arial" w:hAnsi="Arial"/>
          <w:sz w:val="18"/>
          <w:szCs w:val="18"/>
          <w:color w:val="auto"/>
        </w:rPr>
        <w:t>) payable hereunder or any other Loan Document shall not be paid within five calendar days following the date on which the payment of interest, fee or such other amount is due; or</w:t>
      </w:r>
    </w:p>
    <w:p>
      <w:pPr>
        <w:spacing w:after="0" w:line="186" w:lineRule="exact"/>
        <w:rPr>
          <w:rFonts w:ascii="Arial" w:cs="Arial" w:eastAsia="Arial" w:hAnsi="Arial"/>
          <w:sz w:val="18"/>
          <w:szCs w:val="18"/>
          <w:color w:val="auto"/>
        </w:rPr>
      </w:pPr>
    </w:p>
    <w:p>
      <w:pPr>
        <w:ind w:right="240" w:firstLine="1305"/>
        <w:spacing w:after="0" w:line="259" w:lineRule="auto"/>
        <w:tabs>
          <w:tab w:leader="none" w:pos="2001" w:val="left"/>
        </w:tabs>
        <w:numPr>
          <w:ilvl w:val="0"/>
          <w:numId w:val="451"/>
        </w:numPr>
        <w:rPr>
          <w:rFonts w:ascii="Arial" w:cs="Arial" w:eastAsia="Arial" w:hAnsi="Arial"/>
          <w:sz w:val="18"/>
          <w:szCs w:val="18"/>
          <w:color w:val="auto"/>
        </w:rPr>
      </w:pPr>
      <w:r>
        <w:rPr>
          <w:rFonts w:ascii="Arial" w:cs="Arial" w:eastAsia="Arial" w:hAnsi="Arial"/>
          <w:sz w:val="18"/>
          <w:szCs w:val="18"/>
          <w:color w:val="auto"/>
        </w:rPr>
        <w:t xml:space="preserve">any representation or warranty made or, for purposes of </w:t>
      </w:r>
      <w:r>
        <w:rPr>
          <w:rFonts w:ascii="Arial" w:cs="Arial" w:eastAsia="Arial" w:hAnsi="Arial"/>
          <w:sz w:val="18"/>
          <w:szCs w:val="18"/>
          <w:u w:val="single" w:color="auto"/>
          <w:color w:val="auto"/>
        </w:rPr>
        <w:t>Article IV</w:t>
      </w:r>
      <w:r>
        <w:rPr>
          <w:rFonts w:ascii="Arial" w:cs="Arial" w:eastAsia="Arial" w:hAnsi="Arial"/>
          <w:sz w:val="18"/>
          <w:szCs w:val="18"/>
          <w:color w:val="auto"/>
        </w:rPr>
        <w:t>, deemed made by or on behalf of WIL-Ireland or any Subsidiary herein or in any other Loan Document or in any document, certificate or financial statement delivered in connection with this Agreement or any other Loan Document shall prove to have been incorrect in any material respect (or, to the extent qualified by materiality or reference to Material Adverse Effect, in all respects) when made or deemed made or reaffirmed, as the case may be; or</w:t>
      </w:r>
    </w:p>
    <w:p>
      <w:pPr>
        <w:spacing w:after="0" w:line="186" w:lineRule="exact"/>
        <w:rPr>
          <w:rFonts w:ascii="Arial" w:cs="Arial" w:eastAsia="Arial" w:hAnsi="Arial"/>
          <w:sz w:val="18"/>
          <w:szCs w:val="18"/>
          <w:color w:val="auto"/>
        </w:rPr>
      </w:pPr>
    </w:p>
    <w:p>
      <w:pPr>
        <w:ind w:right="20" w:firstLine="1305"/>
        <w:spacing w:after="0" w:line="264" w:lineRule="auto"/>
        <w:tabs>
          <w:tab w:leader="none" w:pos="1991" w:val="left"/>
        </w:tabs>
        <w:numPr>
          <w:ilvl w:val="0"/>
          <w:numId w:val="451"/>
        </w:numPr>
        <w:rPr>
          <w:rFonts w:ascii="Arial" w:cs="Arial" w:eastAsia="Arial" w:hAnsi="Arial"/>
          <w:sz w:val="18"/>
          <w:szCs w:val="18"/>
          <w:color w:val="auto"/>
        </w:rPr>
      </w:pPr>
      <w:r>
        <w:rPr>
          <w:rFonts w:ascii="Arial" w:cs="Arial" w:eastAsia="Arial" w:hAnsi="Arial"/>
          <w:sz w:val="18"/>
          <w:szCs w:val="18"/>
          <w:color w:val="auto"/>
        </w:rPr>
        <w:t xml:space="preserve">any Obligor Party shall (i) fail to perform or observe any covenant, condition or agreement contained in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(with respect to the existence of any Obligor), </w:t>
      </w:r>
      <w:r>
        <w:rPr>
          <w:rFonts w:ascii="Arial" w:cs="Arial" w:eastAsia="Arial" w:hAnsi="Arial"/>
          <w:sz w:val="18"/>
          <w:szCs w:val="18"/>
          <w:u w:val="single" w:color="auto"/>
          <w:color w:val="auto"/>
        </w:rPr>
        <w:t>Section 7.13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(ii) fail to give any notice required by </w:t>
      </w:r>
      <w:r>
        <w:rPr>
          <w:rFonts w:ascii="Arial" w:cs="Arial" w:eastAsia="Arial" w:hAnsi="Arial"/>
          <w:sz w:val="18"/>
          <w:szCs w:val="18"/>
          <w:u w:val="single" w:color="auto"/>
          <w:color w:val="auto"/>
        </w:rPr>
        <w:t>Section 7.01(d)(ii)</w:t>
      </w:r>
      <w:r>
        <w:rPr>
          <w:rFonts w:ascii="Arial" w:cs="Arial" w:eastAsia="Arial" w:hAnsi="Arial"/>
          <w:sz w:val="18"/>
          <w:szCs w:val="18"/>
          <w:color w:val="auto"/>
        </w:rPr>
        <w:t xml:space="preserve"> or (iii) fail to perform or observe any Additional Financial Covenant (subject to any grace period applicable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to such Additional Financial Covenant in the Other Debt Document that contains such Additional Financial Covenant); or</w:t>
      </w:r>
    </w:p>
    <w:p>
      <w:pPr>
        <w:spacing w:after="0" w:line="225" w:lineRule="exact"/>
        <w:rPr>
          <w:sz w:val="20"/>
          <w:szCs w:val="20"/>
          <w:color w:val="auto"/>
        </w:rPr>
      </w:pPr>
    </w:p>
    <w:p>
      <w:pPr>
        <w:ind w:firstLine="1305"/>
        <w:spacing w:after="0" w:line="259" w:lineRule="auto"/>
        <w:tabs>
          <w:tab w:leader="none" w:pos="2001" w:val="left"/>
        </w:tabs>
        <w:numPr>
          <w:ilvl w:val="1"/>
          <w:numId w:val="452"/>
        </w:numPr>
        <w:rPr>
          <w:rFonts w:ascii="Arial" w:cs="Arial" w:eastAsia="Arial" w:hAnsi="Arial"/>
          <w:sz w:val="18"/>
          <w:szCs w:val="18"/>
          <w:color w:val="auto"/>
        </w:rPr>
      </w:pPr>
      <w:r>
        <w:rPr>
          <w:rFonts w:ascii="Arial" w:cs="Arial" w:eastAsia="Arial" w:hAnsi="Arial"/>
          <w:sz w:val="18"/>
          <w:szCs w:val="18"/>
          <w:color w:val="auto"/>
        </w:rPr>
        <w:t>any Obligor Party shall fail to give any notice required by Section 7.01(c), 7.01(d)(i), 7.01(d)(iii) or 7.01(f) and, in any event, such failure shall remain unremedied for five Business Days after the earlier to occur of (i) receipt by a Principal Financial Officer of any Obligor Party of notice of such failure (given by the Administrative Agent or any Lender) and (ii) a Principal Financial Officer of any Obligor Party otherwise becoming aware of such failure; or</w:t>
      </w:r>
    </w:p>
    <w:p>
      <w:pPr>
        <w:spacing w:after="0" w:line="186" w:lineRule="exact"/>
        <w:rPr>
          <w:rFonts w:ascii="Arial" w:cs="Arial" w:eastAsia="Arial" w:hAnsi="Arial"/>
          <w:sz w:val="18"/>
          <w:szCs w:val="18"/>
          <w:color w:val="auto"/>
        </w:rPr>
      </w:pPr>
    </w:p>
    <w:p>
      <w:pPr>
        <w:jc w:val="both"/>
        <w:ind w:right="80" w:firstLine="1305"/>
        <w:spacing w:after="0" w:line="279" w:lineRule="auto"/>
        <w:tabs>
          <w:tab w:leader="none" w:pos="1991" w:val="left"/>
        </w:tabs>
        <w:numPr>
          <w:ilvl w:val="1"/>
          <w:numId w:val="452"/>
        </w:numPr>
        <w:rPr>
          <w:rFonts w:ascii="Arial" w:cs="Arial" w:eastAsia="Arial" w:hAnsi="Arial"/>
          <w:sz w:val="17"/>
          <w:szCs w:val="17"/>
          <w:color w:val="auto"/>
        </w:rPr>
      </w:pPr>
      <w:r>
        <w:rPr>
          <w:rFonts w:ascii="Arial" w:cs="Arial" w:eastAsia="Arial" w:hAnsi="Arial"/>
          <w:sz w:val="17"/>
          <w:szCs w:val="17"/>
          <w:color w:val="auto"/>
        </w:rPr>
        <w:t xml:space="preserve">any Obligor shall fail to perform or observe any other term, covenant or agreement contained in this Agreement (other than those specified in </w:t>
      </w:r>
      <w:r>
        <w:rPr>
          <w:rFonts w:ascii="Arial" w:cs="Arial" w:eastAsia="Arial" w:hAnsi="Arial"/>
          <w:sz w:val="17"/>
          <w:szCs w:val="17"/>
          <w:u w:val="single" w:color="auto"/>
          <w:color w:val="auto"/>
        </w:rPr>
        <w:t>Section 9.01(a)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9.01(c)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9.01(d)</w:t>
      </w:r>
      <w:r>
        <w:rPr>
          <w:rFonts w:ascii="Arial" w:cs="Arial" w:eastAsia="Arial" w:hAnsi="Arial"/>
          <w:sz w:val="17"/>
          <w:szCs w:val="17"/>
          <w:color w:val="auto"/>
        </w:rPr>
        <w:t>) or any other Loan Document to which it is a party and, in any event, such failure shall remain unremedied for 30 calendar days after the earlier to occur of (i) receipt by a Principal Financial Officer of any Obligor of notice of such failure (given by the Administrative Agent or any Lender) and (ii) a Principal Financial Officer of any Obligor otherwise becoming aware of such failure; or</w:t>
      </w:r>
    </w:p>
    <w:p>
      <w:pPr>
        <w:spacing w:after="0" w:line="171" w:lineRule="exact"/>
        <w:rPr>
          <w:rFonts w:ascii="Arial" w:cs="Arial" w:eastAsia="Arial" w:hAnsi="Arial"/>
          <w:sz w:val="17"/>
          <w:szCs w:val="17"/>
          <w:color w:val="auto"/>
        </w:rPr>
      </w:pPr>
    </w:p>
    <w:p>
      <w:pPr>
        <w:jc w:val="both"/>
        <w:ind w:right="200" w:firstLine="1305"/>
        <w:spacing w:after="0" w:line="264" w:lineRule="auto"/>
        <w:tabs>
          <w:tab w:leader="none" w:pos="2016" w:val="left"/>
        </w:tabs>
        <w:numPr>
          <w:ilvl w:val="1"/>
          <w:numId w:val="452"/>
        </w:numPr>
        <w:rPr>
          <w:rFonts w:ascii="Arial" w:cs="Arial" w:eastAsia="Arial" w:hAnsi="Arial"/>
          <w:sz w:val="18"/>
          <w:szCs w:val="18"/>
          <w:color w:val="auto"/>
        </w:rPr>
      </w:pPr>
      <w:r>
        <w:rPr>
          <w:rFonts w:ascii="Arial" w:cs="Arial" w:eastAsia="Arial" w:hAnsi="Arial"/>
          <w:sz w:val="18"/>
          <w:szCs w:val="18"/>
          <w:color w:val="auto"/>
        </w:rPr>
        <w:t>WIL-Ireland or any of its Restricted Subsidiaries shall fail to make (whether as primary obligor or as guarantor or other surety) any payment (regardless of amount) of principal or interest or premium, if any, in respect of any Material Indebtedness, when and as the same shall become due and payable (after giving effect to any grace period thereto); or</w:t>
      </w:r>
    </w:p>
    <w:p>
      <w:pPr>
        <w:spacing w:after="0" w:line="181" w:lineRule="exact"/>
        <w:rPr>
          <w:rFonts w:ascii="Arial" w:cs="Arial" w:eastAsia="Arial" w:hAnsi="Arial"/>
          <w:sz w:val="18"/>
          <w:szCs w:val="18"/>
          <w:color w:val="auto"/>
        </w:rPr>
      </w:pPr>
    </w:p>
    <w:p>
      <w:pPr>
        <w:jc w:val="both"/>
        <w:ind w:right="20" w:firstLine="1305"/>
        <w:spacing w:after="0" w:line="288" w:lineRule="auto"/>
        <w:tabs>
          <w:tab w:leader="none" w:pos="2001" w:val="left"/>
        </w:tabs>
        <w:numPr>
          <w:ilvl w:val="1"/>
          <w:numId w:val="452"/>
        </w:numPr>
        <w:rPr>
          <w:rFonts w:ascii="Arial" w:cs="Arial" w:eastAsia="Arial" w:hAnsi="Arial"/>
          <w:sz w:val="16"/>
          <w:szCs w:val="16"/>
          <w:color w:val="auto"/>
        </w:rPr>
      </w:pPr>
      <w:r>
        <w:rPr>
          <w:rFonts w:ascii="Arial" w:cs="Arial" w:eastAsia="Arial" w:hAnsi="Arial"/>
          <w:sz w:val="16"/>
          <w:szCs w:val="16"/>
          <w:color w:val="auto"/>
        </w:rPr>
        <w:t>(i) any event or condition occurs that results in any Material Indebtedness (other than under Swap Agreements) becoming due prior to its scheduled maturity or that enables or permits the holder or holders of any Material Indebtedness or any trustee or agent on its or their behalf to cause any Material Indebtedness to become due, or to require the prepayment, repurchase, redemption or defeasance thereof, prior to its scheduled maturity or</w:t>
      </w:r>
    </w:p>
    <w:p>
      <w:pPr>
        <w:ind w:right="580" w:firstLine="8"/>
        <w:spacing w:after="0" w:line="255" w:lineRule="auto"/>
        <w:tabs>
          <w:tab w:leader="none" w:pos="265"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any event, condition or default occurs under any Swap Agreement that constitutes Material Indebtedness which default could enable the other counterparty to terminate such Swap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clause (g)(i) shall not apply to secured Indebtedness that becomes due as a result of the voluntary sale or transfer of the property or assets securing such Indebtedness; or</w:t>
      </w:r>
    </w:p>
    <w:p>
      <w:pPr>
        <w:spacing w:after="0" w:line="190" w:lineRule="exact"/>
        <w:rPr>
          <w:rFonts w:ascii="Arial" w:cs="Arial" w:eastAsia="Arial" w:hAnsi="Arial"/>
          <w:sz w:val="18"/>
          <w:szCs w:val="18"/>
          <w:color w:val="auto"/>
        </w:rPr>
      </w:pPr>
    </w:p>
    <w:p>
      <w:pPr>
        <w:ind w:left="2000" w:hanging="695"/>
        <w:spacing w:after="0"/>
        <w:tabs>
          <w:tab w:leader="none" w:pos="2000" w:val="left"/>
        </w:tabs>
        <w:numPr>
          <w:ilvl w:val="1"/>
          <w:numId w:val="453"/>
        </w:numPr>
        <w:rPr>
          <w:rFonts w:ascii="Arial" w:cs="Arial" w:eastAsia="Arial" w:hAnsi="Arial"/>
          <w:sz w:val="16"/>
          <w:szCs w:val="16"/>
          <w:color w:val="auto"/>
        </w:rPr>
      </w:pPr>
      <w:r>
        <w:rPr>
          <w:rFonts w:ascii="Arial" w:cs="Arial" w:eastAsia="Arial" w:hAnsi="Arial"/>
          <w:sz w:val="16"/>
          <w:szCs w:val="16"/>
          <w:color w:val="auto"/>
        </w:rPr>
        <w:t>any Obligor or any Material Subsidiary shall become unable, admit in writing its inability or fail generally to pay its debts as they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become due; or</w:t>
      </w:r>
    </w:p>
    <w:p>
      <w:pPr>
        <w:spacing w:after="0" w:line="210" w:lineRule="exact"/>
        <w:rPr>
          <w:rFonts w:ascii="Arial" w:cs="Arial" w:eastAsia="Arial" w:hAnsi="Arial"/>
          <w:sz w:val="16"/>
          <w:szCs w:val="16"/>
          <w:color w:val="auto"/>
        </w:rPr>
      </w:pPr>
    </w:p>
    <w:p>
      <w:pPr>
        <w:ind w:right="120" w:firstLine="1305"/>
        <w:spacing w:after="0" w:line="291" w:lineRule="auto"/>
        <w:tabs>
          <w:tab w:leader="none" w:pos="2006" w:val="left"/>
        </w:tabs>
        <w:numPr>
          <w:ilvl w:val="1"/>
          <w:numId w:val="453"/>
        </w:numPr>
        <w:rPr>
          <w:rFonts w:ascii="Arial" w:cs="Arial" w:eastAsia="Arial" w:hAnsi="Arial"/>
          <w:sz w:val="16"/>
          <w:szCs w:val="16"/>
          <w:color w:val="auto"/>
        </w:rPr>
      </w:pPr>
      <w:r>
        <w:rPr>
          <w:rFonts w:ascii="Arial" w:cs="Arial" w:eastAsia="Arial" w:hAnsi="Arial"/>
          <w:sz w:val="16"/>
          <w:szCs w:val="16"/>
          <w:color w:val="auto"/>
        </w:rPr>
        <w:t>the entry by a court having jurisdiction in the premises of (i) a decree or order for relief in respect of any Obligor or any Material Subsidiary in an involuntary case or proceeding under any applicable federal, state or foreign bankruptcy, insolvency, reorganization or other similar law or</w:t>
      </w:r>
    </w:p>
    <w:p>
      <w:pPr>
        <w:ind w:right="20" w:firstLine="8"/>
        <w:spacing w:after="0" w:line="254" w:lineRule="auto"/>
        <w:tabs>
          <w:tab w:leader="none" w:pos="265"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 decree or order adjudging any Obligor or any Material Subsidiary bankrupt or insolvent, or approving as properly filed a petition seeking reorganization, arrangement, adjustment or composition of or in respect of any Obligor or any Material Subsidiary under any applicable federal, state or foreign law, or appointing a custodian, receiver, liquidator, assignee, trustee, examiner, administrator, sequestrator or other similar official of any Obligor or any Material Subsidiary of any substantial part of its property, or ordering the winding up or liquidation of its affairs; or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71" w:lineRule="auto"/>
        <w:tabs>
          <w:tab w:leader="none" w:pos="2006" w:val="left"/>
        </w:tabs>
        <w:numPr>
          <w:ilvl w:val="0"/>
          <w:numId w:val="455"/>
        </w:numPr>
        <w:rPr>
          <w:rFonts w:ascii="Arial" w:cs="Arial" w:eastAsia="Arial" w:hAnsi="Arial"/>
          <w:sz w:val="17"/>
          <w:szCs w:val="17"/>
          <w:color w:val="auto"/>
        </w:rPr>
      </w:pPr>
      <w:r>
        <w:rPr>
          <w:rFonts w:ascii="Arial" w:cs="Arial" w:eastAsia="Arial" w:hAnsi="Arial"/>
          <w:sz w:val="17"/>
          <w:szCs w:val="17"/>
          <w:color w:val="auto"/>
        </w:rPr>
        <w:t>any Obligor or any Material Subsidiary shall (i) voluntarily commence a case or proceeding under any applicable federal, state or foreign bankruptcy, insolvency, reorganization or other similar law or of any other case or proceeding to be adjudicated a bankrupt or insolvent, (ii) consent to the entry of a decree or order for relief in respect of such Obligor or such Material Subsidiary in an involuntary case or proceeding under any applicable federal, state or foreign bankruptcy, insolvency, reorganization or other similar law or to the commencement of any bankruptcy or insolvency case or proceeding against it, (iii) file a petition or answer or consent seeking reorganization or relief under any applicable federal, state or foreign law, (iv) apply for or consent to the appointment of or taking possession by a custodian, receiver, liquidator, assignee, trustee, examiner, administrator, sequestrator or similar official of such Obligor or such Material Subsidiary or of any substantial part of its property, (v) make an assignment for the benefit of creditors, or (vi) take any corporate or other action in furtherance of any of the foregoing; or</w:t>
      </w:r>
    </w:p>
    <w:p>
      <w:pPr>
        <w:spacing w:after="0" w:line="178" w:lineRule="exact"/>
        <w:rPr>
          <w:rFonts w:ascii="Arial" w:cs="Arial" w:eastAsia="Arial" w:hAnsi="Arial"/>
          <w:sz w:val="17"/>
          <w:szCs w:val="17"/>
          <w:color w:val="auto"/>
        </w:rPr>
      </w:pPr>
    </w:p>
    <w:p>
      <w:pPr>
        <w:ind w:right="180" w:firstLine="1305"/>
        <w:spacing w:after="0" w:line="286" w:lineRule="auto"/>
        <w:tabs>
          <w:tab w:leader="none" w:pos="2001" w:val="left"/>
        </w:tabs>
        <w:numPr>
          <w:ilvl w:val="0"/>
          <w:numId w:val="455"/>
        </w:numPr>
        <w:rPr>
          <w:rFonts w:ascii="Arial" w:cs="Arial" w:eastAsia="Arial" w:hAnsi="Arial"/>
          <w:sz w:val="16"/>
          <w:szCs w:val="16"/>
          <w:color w:val="auto"/>
        </w:rPr>
      </w:pPr>
      <w:r>
        <w:rPr>
          <w:rFonts w:ascii="Arial" w:cs="Arial" w:eastAsia="Arial" w:hAnsi="Arial"/>
          <w:sz w:val="16"/>
          <w:szCs w:val="16"/>
          <w:color w:val="auto"/>
        </w:rPr>
        <w:t>a judgment or order for monetary damages shall be entered against any Obligor or any Restricted Subsidiary, which with other outstanding judgments and orders for monetary damages entered against the Obligors and the Restricted Subsidiaries equals or exceeds $100,000,000 in the aggregate (to the extent not covered by independent third-party insurance as to which the respective insurer is financially sound and has not disputed coverage), and (i) within 60 days after entry thereof such judgment shall not have been discharged or execution thereof stayed pending appeal or, within</w:t>
      </w:r>
    </w:p>
    <w:p>
      <w:pPr>
        <w:spacing w:after="0" w:line="1" w:lineRule="exact"/>
        <w:rPr>
          <w:rFonts w:ascii="Arial" w:cs="Arial" w:eastAsia="Arial" w:hAnsi="Arial"/>
          <w:sz w:val="16"/>
          <w:szCs w:val="16"/>
          <w:color w:val="auto"/>
        </w:rPr>
      </w:pPr>
    </w:p>
    <w:p>
      <w:pPr>
        <w:ind w:right="18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60 days after the expiration of any such stay, such judgment shall not have been discharged, or (ii) any enforcement proceeding shall have been commenced (and not stayed) by any creditor upon any such judgment;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judgment or order provides for any Obligor or any Restricted Subsidiary to make periodic payments over time, no Event of Default shall arise under this clause (i) if such Obligor or such Restricted Subsidiary makes each such</w:t>
      </w:r>
    </w:p>
    <w:p>
      <w:pPr>
        <w:sectPr>
          <w:pgSz w:w="11900" w:h="16944" w:orient="portrait"/>
          <w:cols w:equalWidth="0" w:num="1">
            <w:col w:w="11420"/>
          </w:cols>
          <w:pgMar w:left="240" w:top="125" w:right="239" w:bottom="0" w:gutter="0" w:footer="0" w:header="0"/>
        </w:sectPr>
      </w:pPr>
    </w:p>
    <w:bookmarkStart w:id="182" w:name="page183"/>
    <w:bookmarkEnd w:id="182"/>
    <w:p>
      <w:pPr>
        <w:spacing w:after="0" w:line="8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periodic payment when due in accordance with the terms of such judgment or order (or within 30 days after the due date of each such periodic payment, but only so long as no Lien attaches during such 30-day period and no enforcement proceeding is commenced by any creditor for payment of such judgment or order during such 30-day period); or</w:t>
      </w:r>
    </w:p>
    <w:p>
      <w:pPr>
        <w:spacing w:after="0" w:line="181" w:lineRule="exact"/>
        <w:rPr>
          <w:sz w:val="20"/>
          <w:szCs w:val="20"/>
          <w:color w:val="auto"/>
        </w:rPr>
      </w:pPr>
    </w:p>
    <w:p>
      <w:pPr>
        <w:ind w:right="60" w:firstLine="1305"/>
        <w:spacing w:after="0" w:line="257" w:lineRule="auto"/>
        <w:tabs>
          <w:tab w:leader="none" w:pos="2006"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at any time prior to Payment in Full, any Loan Document (other than one or more Collateral Documents intended to grant or perfect a Lien in Collateral with a net book value of less than $5,000,000 in the aggregate under all such Collateral Documents) shall (other than to the extent permitted by the terms hereof or thereof or with the consent of the Administrative Agent and the Lenders), at any time after its execution and delivery and for any reason, cease to be in full force and, or shall be declared to be null and void, or the validity or enforceability thereof shall be contested by any Obligor or any Obligor shall deny that it has any or further liability or obligation thereunder; or</w:t>
      </w:r>
    </w:p>
    <w:p>
      <w:pPr>
        <w:spacing w:after="0" w:line="188" w:lineRule="exact"/>
        <w:rPr>
          <w:rFonts w:ascii="Arial" w:cs="Arial" w:eastAsia="Arial" w:hAnsi="Arial"/>
          <w:sz w:val="18"/>
          <w:szCs w:val="18"/>
          <w:color w:val="auto"/>
        </w:rPr>
      </w:pPr>
    </w:p>
    <w:p>
      <w:pPr>
        <w:ind w:right="300" w:firstLine="1305"/>
        <w:spacing w:after="0" w:line="279" w:lineRule="auto"/>
        <w:tabs>
          <w:tab w:leader="none" w:pos="2006" w:val="left"/>
        </w:tabs>
        <w:numPr>
          <w:ilvl w:val="0"/>
          <w:numId w:val="456"/>
        </w:numPr>
        <w:rPr>
          <w:rFonts w:ascii="Arial" w:cs="Arial" w:eastAsia="Arial" w:hAnsi="Arial"/>
          <w:sz w:val="17"/>
          <w:szCs w:val="17"/>
          <w:color w:val="auto"/>
        </w:rPr>
      </w:pPr>
      <w:r>
        <w:rPr>
          <w:rFonts w:ascii="Arial" w:cs="Arial" w:eastAsia="Arial" w:hAnsi="Arial"/>
          <w:sz w:val="17"/>
          <w:szCs w:val="17"/>
          <w:color w:val="auto"/>
        </w:rPr>
        <w:t xml:space="preserve">any Collateral Document shall (other than to the extent permitted by the terms hereof or thereof or with the consent of the Administrative Agent and each of the Lenders), at any time after its execution and delivery and for any reason, fail to create a valid and perfected security interest or other Lien in any material portion of the Collateral purported to be covered thereby having the priority required hereby or thereby, except to the extent permitted by the terms of any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it shall not be an Event of Default if the aggregate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book value of the Collateral with respect to which the Collateral Documents fail to create a valid and perfected second priority security interest or other Lien is less than $5,000,000; or</w:t>
      </w:r>
    </w:p>
    <w:p>
      <w:pPr>
        <w:spacing w:after="0" w:line="170" w:lineRule="exact"/>
        <w:rPr>
          <w:sz w:val="20"/>
          <w:szCs w:val="20"/>
          <w:color w:val="auto"/>
        </w:rPr>
      </w:pPr>
    </w:p>
    <w:p>
      <w:pPr>
        <w:ind w:right="20" w:firstLine="1305"/>
        <w:spacing w:after="0" w:line="287" w:lineRule="auto"/>
        <w:tabs>
          <w:tab w:leader="none" w:pos="2001" w:val="left"/>
        </w:tabs>
        <w:numPr>
          <w:ilvl w:val="0"/>
          <w:numId w:val="457"/>
        </w:numPr>
        <w:rPr>
          <w:rFonts w:ascii="Arial" w:cs="Arial" w:eastAsia="Arial" w:hAnsi="Arial"/>
          <w:sz w:val="16"/>
          <w:szCs w:val="16"/>
          <w:color w:val="auto"/>
        </w:rPr>
      </w:pPr>
      <w:r>
        <w:rPr>
          <w:rFonts w:ascii="Arial" w:cs="Arial" w:eastAsia="Arial" w:hAnsi="Arial"/>
          <w:sz w:val="16"/>
          <w:szCs w:val="16"/>
          <w:color w:val="auto"/>
        </w:rPr>
        <w:t>an ERISA Event has occurred that would reasonably be expected (individually or collectively) to have a Material Adverse Effect; any proceeding shall have occurred or is reasonably likely to occur by the PBGC under Section 4069(a) of ERISA to impose liability on WIL-Ireland, any of its Subsidiaries, any Borrower or any ERISA Affiliate which (individually or collectively) would reasonably be expected to have a Material Adverse Effect; or WIL-Ireland, any of its Subsidiaries, any Borrower or any ERISA Affiliate has incurred or is reasonably likely to incur a liability to or on account of a Plan or Multiemployer Plan under Section 515, 4062, 4063, 4064, 4201 or 4204 of ERISA, or a notice of intent to terminate any Plan in a distress termination shall have been or is reasonably expected to be filed with the PBGC or the PBGC shall have instituted proceedings under Section 4042 of ERISA to terminate or appoint a trustee to administer any Plan, or the PBGC shall have notified WIL-Ireland or any ERISA Affiliate that a Plan may become a subject of any such proceedings, and there shall result (individually or collectively) from any such event or events a material risk of either (i) the imposition of a Lien(s) upon, or the granting of a security interest(s) in, the assets of WIL-Ireland, any of its Subsidiaries and/or any Borrower or any ERISA Affiliate which would reasonably be expected to have a Material Adverse Effect, or (ii) WIL-Ireland, any of its Subsidiaries and/or any Borrower or any ERISA Affiliate incurring a liability(ies) or obligation(s) with respect thereto which would reasonably be expected to have a Material Adverse Effect;</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then, and in every such event (other than an event with respect to any Obligor described in </w:t>
      </w:r>
      <w:r>
        <w:rPr>
          <w:rFonts w:ascii="Arial" w:cs="Arial" w:eastAsia="Arial" w:hAnsi="Arial"/>
          <w:sz w:val="18"/>
          <w:szCs w:val="18"/>
          <w:u w:val="single" w:color="auto"/>
          <w:color w:val="auto"/>
        </w:rPr>
        <w:t>Section 9.01(i)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9.01(j)</w:t>
      </w:r>
      <w:r>
        <w:rPr>
          <w:rFonts w:ascii="Arial" w:cs="Arial" w:eastAsia="Arial" w:hAnsi="Arial"/>
          <w:sz w:val="18"/>
          <w:szCs w:val="18"/>
          <w:color w:val="auto"/>
        </w:rPr>
        <w:t>), and at any time thereafter during the continuance of such event, the Administrative Agent may, and at the request of the Required Lenders shall, by notice to the Borrowers, take either or both of the following actions, at the same or different times:</w:t>
      </w:r>
    </w:p>
    <w:p>
      <w:pPr>
        <w:spacing w:after="0" w:line="181" w:lineRule="exact"/>
        <w:rPr>
          <w:sz w:val="20"/>
          <w:szCs w:val="20"/>
          <w:color w:val="auto"/>
        </w:rPr>
      </w:pPr>
    </w:p>
    <w:p>
      <w:pPr>
        <w:ind w:left="2660" w:hanging="707"/>
        <w:spacing w:after="0"/>
        <w:tabs>
          <w:tab w:leader="none" w:pos="266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terminate the Commitments, and thereupon the Commitments shall terminate immediately, and</w:t>
      </w:r>
    </w:p>
    <w:p>
      <w:pPr>
        <w:spacing w:after="0" w:line="225" w:lineRule="exact"/>
        <w:rPr>
          <w:rFonts w:ascii="Arial" w:cs="Arial" w:eastAsia="Arial" w:hAnsi="Arial"/>
          <w:sz w:val="18"/>
          <w:szCs w:val="18"/>
          <w:color w:val="auto"/>
        </w:rPr>
      </w:pPr>
    </w:p>
    <w:p>
      <w:pPr>
        <w:jc w:val="both"/>
        <w:ind w:left="660" w:firstLine="1293"/>
        <w:spacing w:after="0" w:line="302" w:lineRule="auto"/>
        <w:tabs>
          <w:tab w:leader="none" w:pos="2671" w:val="left"/>
        </w:tabs>
        <w:numPr>
          <w:ilvl w:val="0"/>
          <w:numId w:val="458"/>
        </w:numPr>
        <w:rPr>
          <w:rFonts w:ascii="Arial" w:cs="Arial" w:eastAsia="Arial" w:hAnsi="Arial"/>
          <w:sz w:val="16"/>
          <w:szCs w:val="16"/>
          <w:color w:val="auto"/>
        </w:rPr>
      </w:pPr>
      <w:r>
        <w:rPr>
          <w:rFonts w:ascii="Arial" w:cs="Arial" w:eastAsia="Arial" w:hAnsi="Arial"/>
          <w:sz w:val="16"/>
          <w:szCs w:val="16"/>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and in case of any event with respect to any Obligor described in </w:t>
      </w:r>
      <w:r>
        <w:rPr>
          <w:rFonts w:ascii="Arial" w:cs="Arial" w:eastAsia="Arial" w:hAnsi="Arial"/>
          <w:sz w:val="18"/>
          <w:szCs w:val="18"/>
          <w:u w:val="single" w:color="auto"/>
          <w:color w:val="auto"/>
        </w:rPr>
        <w:t>Section 9.01(i)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9.01(j)</w:t>
      </w:r>
      <w:r>
        <w:rPr>
          <w:rFonts w:ascii="Arial" w:cs="Arial" w:eastAsia="Arial" w:hAnsi="Arial"/>
          <w:sz w:val="18"/>
          <w:szCs w:val="18"/>
          <w:color w:val="auto"/>
        </w:rPr>
        <w:t>, the Commitments shall automatically terminate and the principal of the Loans then outstanding, together with accrued interest thereon and all fees and other obligations of the Borrowers accrued hereunder, shall automatically become due and payable, without presentment, demand, protest or other notice of any kind, all of which are hereby waived by the Obligors and the Administrative Agent, the Collateral Agent and the Lenders may enforce any and all of their rights and remedies under the Loan Document and applicable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Upon the occurrence and during the continuance of any Event of Default, each Lender is hereby authorized at any time and from time to time, without notice to any Obligor (any such notice being expressly waived by each Obligor), to set off and apply any and all deposits (general or special, time or demand, provisional or final but excluding the funds held in accounts clearly designated as escrow or trust accounts held by any Obligor for the benefit of Persons which are not Affiliates of any Obligor), whether or not such setoff results in any loss of interest or other penalty, and including all certificates of deposit, at any time held and other obligations at any time owing by such Lender or any of its Affiliates to or for the credit or the account of any Obligor against any and all of the Obligations irrespective of whether or not such Lender or the Administrative Agent shall have made any demand under this Agreement, the Notes or any other Loan Document. Should the right of any Lender to realize funds in any manner set forth above be challenged and any application of such funds be reversed, whether by court order or otherwise, the Lenders shall make restitution or refund to the applicable Obligor, as the case may be, pro rata in accordance with their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Defaulting Lender shall exercise any such right of setoff,</w:t>
      </w:r>
    </w:p>
    <w:p>
      <w:pPr>
        <w:spacing w:after="0" w:line="7" w:lineRule="exact"/>
        <w:rPr>
          <w:sz w:val="20"/>
          <w:szCs w:val="20"/>
          <w:color w:val="auto"/>
        </w:rPr>
      </w:pPr>
    </w:p>
    <w:p>
      <w:pPr>
        <w:ind w:right="100" w:firstLine="8"/>
        <w:spacing w:after="0" w:line="252" w:lineRule="auto"/>
        <w:tabs>
          <w:tab w:leader="none" w:pos="255" w:val="left"/>
        </w:tabs>
        <w:numPr>
          <w:ilvl w:val="0"/>
          <w:numId w:val="459"/>
        </w:numPr>
        <w:rPr>
          <w:rFonts w:ascii="Arial" w:cs="Arial" w:eastAsia="Arial" w:hAnsi="Arial"/>
          <w:sz w:val="18"/>
          <w:szCs w:val="18"/>
          <w:color w:val="auto"/>
        </w:rPr>
      </w:pPr>
      <w:r>
        <w:rPr>
          <w:rFonts w:ascii="Arial" w:cs="Arial" w:eastAsia="Arial" w:hAnsi="Arial"/>
          <w:sz w:val="18"/>
          <w:szCs w:val="18"/>
          <w:color w:val="auto"/>
        </w:rPr>
        <w:t xml:space="preserve">all amounts so setoff shall be paid over immediately to the Administrative Agent for further application and/or cash collateralization pursuant to </w:t>
      </w:r>
      <w:r>
        <w:rPr>
          <w:rFonts w:ascii="Arial" w:cs="Arial" w:eastAsia="Arial" w:hAnsi="Arial"/>
          <w:sz w:val="18"/>
          <w:szCs w:val="18"/>
          <w:u w:val="single" w:color="auto"/>
          <w:color w:val="auto"/>
        </w:rPr>
        <w:t>Section 4.01(e)</w:t>
      </w:r>
      <w:r>
        <w:rPr>
          <w:rFonts w:ascii="Arial" w:cs="Arial" w:eastAsia="Arial" w:hAnsi="Arial"/>
          <w:sz w:val="18"/>
          <w:szCs w:val="18"/>
          <w:color w:val="auto"/>
        </w:rPr>
        <w:t xml:space="preserve"> and, pending such payment, shall be segregated by such Defaulting Lender from its other funds and deemed held in trust for the benefit of each Credit Party and each Obligor as herein provided, and (y) such Defaulting Lender shall promptly provide to the Administrative Agent a statement describing in reasonable detail the obligations owing to such Defaulting Lender as to which it exercised such right of setoff. Each Lender agrees to promptly notify the applicable Obligor and the Administrative Agent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 The rights of the Administrative Agent and the Lenders under this Section are in addition to other rights and remedies (including other rights of setoff) which the Administrative Agent or the Lenders may have. This Section is subject to the terms and provisions of </w:t>
      </w:r>
      <w:r>
        <w:rPr>
          <w:rFonts w:ascii="Arial" w:cs="Arial" w:eastAsia="Arial" w:hAnsi="Arial"/>
          <w:sz w:val="18"/>
          <w:szCs w:val="18"/>
          <w:u w:val="single" w:color="auto"/>
          <w:color w:val="auto"/>
        </w:rPr>
        <w:t>Section 4.01(c)</w:t>
      </w:r>
      <w:r>
        <w:rPr>
          <w:rFonts w:ascii="Arial" w:cs="Arial" w:eastAsia="Arial" w:hAnsi="Arial"/>
          <w:sz w:val="18"/>
          <w:szCs w:val="18"/>
          <w:color w:val="auto"/>
        </w:rPr>
        <w:t>.</w:t>
      </w:r>
    </w:p>
    <w:p>
      <w:pPr>
        <w:spacing w:after="0" w:line="19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Other Remedies</w:t>
      </w:r>
      <w:r>
        <w:rPr>
          <w:rFonts w:ascii="Arial" w:cs="Arial" w:eastAsia="Arial" w:hAnsi="Arial"/>
          <w:sz w:val="18"/>
          <w:szCs w:val="18"/>
          <w:color w:val="auto"/>
        </w:rPr>
        <w:t>. No remedy conferred herein or in any of the other Loan Documents is to be exclusive of any other remedy, and each and every remedy contained herein or in any other Loan Document shall be cumulative and shall be in addition to every other remedy given hereunder and under the other Loan Documents now or hereafter existing at law or in equity or by statute or otherwise.</w:t>
      </w:r>
    </w:p>
    <w:p>
      <w:pPr>
        <w:sectPr>
          <w:pgSz w:w="11900" w:h="16918" w:orient="portrait"/>
          <w:cols w:equalWidth="0" w:num="1">
            <w:col w:w="11420"/>
          </w:cols>
          <w:pgMar w:left="240" w:top="125" w:right="239" w:bottom="0" w:gutter="0" w:footer="0" w:header="0"/>
        </w:sectPr>
      </w:pPr>
    </w:p>
    <w:bookmarkStart w:id="183" w:name="page184"/>
    <w:bookmarkEnd w:id="183"/>
    <w:p>
      <w:pPr>
        <w:spacing w:after="0" w:line="103" w:lineRule="exact"/>
        <w:rPr>
          <w:sz w:val="20"/>
          <w:szCs w:val="20"/>
          <w:color w:val="auto"/>
        </w:rPr>
      </w:pPr>
    </w:p>
    <w:p>
      <w:pPr>
        <w:ind w:left="660"/>
        <w:spacing w:after="0"/>
        <w:tabs>
          <w:tab w:leader="none" w:pos="234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u w:val="single" w:color="auto"/>
          <w:color w:val="auto"/>
        </w:rPr>
        <w:t>Application of Moneys During Continuation of Event of Default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86" w:lineRule="auto"/>
        <w:tabs>
          <w:tab w:leader="none" w:pos="1991" w:val="left"/>
        </w:tabs>
        <w:numPr>
          <w:ilvl w:val="0"/>
          <w:numId w:val="460"/>
        </w:numPr>
        <w:rPr>
          <w:rFonts w:ascii="Arial" w:cs="Arial" w:eastAsia="Arial" w:hAnsi="Arial"/>
          <w:sz w:val="17"/>
          <w:szCs w:val="17"/>
          <w:color w:val="auto"/>
        </w:rPr>
      </w:pPr>
      <w:r>
        <w:rPr>
          <w:rFonts w:ascii="Arial" w:cs="Arial" w:eastAsia="Arial" w:hAnsi="Arial"/>
          <w:sz w:val="17"/>
          <w:szCs w:val="17"/>
          <w:color w:val="auto"/>
        </w:rPr>
        <w:t>So long as an Event of Default of which the Administrative Agent shall have given notice to the Lenders shall continue, all moneys received by the Administrative Agent or the Collateral Agent from any Obligor under the Loan Documents shall, except as otherwise required by law, be distributed by the Administrative Agent on the dates selected by the Administrative Agent, subject to the Intercreditor Agreement, as follows:</w:t>
      </w:r>
    </w:p>
    <w:p>
      <w:pPr>
        <w:spacing w:after="0" w:line="166" w:lineRule="exact"/>
        <w:rPr>
          <w:sz w:val="20"/>
          <w:szCs w:val="20"/>
          <w:color w:val="auto"/>
        </w:rPr>
      </w:pPr>
    </w:p>
    <w:p>
      <w:pPr>
        <w:ind w:left="1300" w:right="100"/>
        <w:spacing w:after="0" w:line="264"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the unreimbursed expenses for which the Administrative Agent, the Collateral Agent or any Lender is to be reimbursed pursuant to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and to any unpaid fees owing under the Loan Documents by the Obligors to the Administrative Agent or the Collateral Agent;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the ratable payment of accrued but unpaid interest on the Loans;</w:t>
      </w:r>
    </w:p>
    <w:p>
      <w:pPr>
        <w:spacing w:after="0" w:line="225"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the ratable payment of unpaid principal of the Loans, any Banking Services Obligations and Swap Obligations until the principal of the Loans and such Banking Services Obligations and Swap Obligations shall have been paid in full;</w:t>
      </w:r>
    </w:p>
    <w:p>
      <w:pPr>
        <w:spacing w:after="0" w:line="170" w:lineRule="exact"/>
        <w:rPr>
          <w:sz w:val="20"/>
          <w:szCs w:val="20"/>
          <w:color w:val="auto"/>
        </w:rPr>
      </w:pPr>
    </w:p>
    <w:p>
      <w:pPr>
        <w:ind w:left="1300" w:right="340"/>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the ratable payment of all other Obligations and Secured Obligations, until all Obligations and Secured Obligations shall have been paid in full;</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the ratable payment of all other amounts payable by the Obligors hereunder; and</w:t>
      </w:r>
    </w:p>
    <w:p>
      <w:pPr>
        <w:spacing w:after="0" w:line="225" w:lineRule="exact"/>
        <w:rPr>
          <w:sz w:val="20"/>
          <w:szCs w:val="20"/>
          <w:color w:val="auto"/>
        </w:rPr>
      </w:pPr>
    </w:p>
    <w:p>
      <w:pPr>
        <w:ind w:left="1300" w:right="480"/>
        <w:spacing w:after="0" w:line="277" w:lineRule="auto"/>
        <w:rPr>
          <w:sz w:val="20"/>
          <w:szCs w:val="20"/>
          <w:color w:val="auto"/>
        </w:rPr>
      </w:pPr>
      <w:r>
        <w:rPr>
          <w:rFonts w:ascii="Arial" w:cs="Arial" w:eastAsia="Arial" w:hAnsi="Arial"/>
          <w:sz w:val="18"/>
          <w:szCs w:val="18"/>
          <w:u w:val="single" w:color="auto"/>
          <w:color w:val="auto"/>
        </w:rPr>
        <w:t>finally</w:t>
      </w:r>
      <w:r>
        <w:rPr>
          <w:rFonts w:ascii="Arial" w:cs="Arial" w:eastAsia="Arial" w:hAnsi="Arial"/>
          <w:sz w:val="18"/>
          <w:szCs w:val="18"/>
          <w:color w:val="auto"/>
        </w:rPr>
        <w:t>, to payment to the Obligors, or their respective successors or assigns, or as a court of competent jurisdiction may direct, of any surplus then remaining from such proceeds.</w:t>
      </w:r>
    </w:p>
    <w:p>
      <w:pPr>
        <w:spacing w:after="0" w:line="170" w:lineRule="exact"/>
        <w:rPr>
          <w:sz w:val="20"/>
          <w:szCs w:val="20"/>
          <w:color w:val="auto"/>
        </w:rPr>
      </w:pPr>
    </w:p>
    <w:p>
      <w:pPr>
        <w:ind w:left="1300" w:right="320"/>
        <w:spacing w:after="0" w:line="312" w:lineRule="auto"/>
        <w:rPr>
          <w:sz w:val="20"/>
          <w:szCs w:val="20"/>
          <w:color w:val="auto"/>
        </w:rPr>
      </w:pPr>
      <w:r>
        <w:rPr>
          <w:rFonts w:ascii="Arial" w:cs="Arial" w:eastAsia="Arial" w:hAnsi="Arial"/>
          <w:sz w:val="16"/>
          <w:szCs w:val="16"/>
          <w:color w:val="auto"/>
        </w:rPr>
        <w:t xml:space="preserve">Notwithstanding the foregoing, (a) amounts received from any Obligor shall not be applied to any Excluded Swap Obligation of such Obligor and (b) proceeds of Collateral shall be applied to Secured Obligations pursuant to this </w:t>
      </w:r>
      <w:r>
        <w:rPr>
          <w:rFonts w:ascii="Arial" w:cs="Arial" w:eastAsia="Arial" w:hAnsi="Arial"/>
          <w:sz w:val="16"/>
          <w:szCs w:val="16"/>
          <w:u w:val="single" w:color="auto"/>
          <w:color w:val="auto"/>
        </w:rPr>
        <w:t>Section 9.04(a)</w:t>
      </w:r>
      <w:r>
        <w:rPr>
          <w:rFonts w:ascii="Arial" w:cs="Arial" w:eastAsia="Arial" w:hAnsi="Arial"/>
          <w:sz w:val="16"/>
          <w:szCs w:val="16"/>
          <w:color w:val="auto"/>
        </w:rPr>
        <w:t xml:space="preserve"> prior to other Obligations (but in no event shall any Obligations other than the Secured Obligations be secured, or deemed to be secured, by any Collateral).</w:t>
      </w:r>
    </w:p>
    <w:p>
      <w:pPr>
        <w:spacing w:after="0" w:line="147" w:lineRule="exact"/>
        <w:rPr>
          <w:sz w:val="20"/>
          <w:szCs w:val="20"/>
          <w:color w:val="auto"/>
        </w:rPr>
      </w:pPr>
    </w:p>
    <w:p>
      <w:pPr>
        <w:jc w:val="both"/>
        <w:ind w:right="140" w:firstLine="1305"/>
        <w:spacing w:after="0" w:line="264" w:lineRule="auto"/>
        <w:tabs>
          <w:tab w:leader="none" w:pos="2001" w:val="left"/>
        </w:tabs>
        <w:numPr>
          <w:ilvl w:val="0"/>
          <w:numId w:val="461"/>
        </w:numPr>
        <w:rPr>
          <w:rFonts w:ascii="Arial" w:cs="Arial" w:eastAsia="Arial" w:hAnsi="Arial"/>
          <w:sz w:val="18"/>
          <w:szCs w:val="18"/>
          <w:color w:val="auto"/>
        </w:rPr>
      </w:pPr>
      <w:r>
        <w:rPr>
          <w:rFonts w:ascii="Arial" w:cs="Arial" w:eastAsia="Arial" w:hAnsi="Arial"/>
          <w:sz w:val="18"/>
          <w:szCs w:val="18"/>
          <w:color w:val="auto"/>
        </w:rPr>
        <w:t xml:space="preserve">The term “unpaid” as used in this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shall mean all relevant obligations outstanding as of any such distribution date as to which prior distributions have not been made, after giving effect to any adjustments which are made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of which the Administrative Agent shall have been notified.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ADMINISTRATIVE AGENT AND COLLATERAL AGENT</w:t>
      </w:r>
    </w:p>
    <w:p>
      <w:pPr>
        <w:spacing w:after="0" w:line="211"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u w:val="single" w:color="auto"/>
          <w:color w:val="auto"/>
        </w:rPr>
        <w:t>Authorization and Action</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70" w:lineRule="auto"/>
        <w:tabs>
          <w:tab w:leader="none" w:pos="1991" w:val="left"/>
        </w:tabs>
        <w:numPr>
          <w:ilvl w:val="0"/>
          <w:numId w:val="462"/>
        </w:numPr>
        <w:rPr>
          <w:rFonts w:ascii="Arial" w:cs="Arial" w:eastAsia="Arial" w:hAnsi="Arial"/>
          <w:sz w:val="17"/>
          <w:szCs w:val="17"/>
          <w:color w:val="auto"/>
        </w:rPr>
      </w:pPr>
      <w:r>
        <w:rPr>
          <w:rFonts w:ascii="Arial" w:cs="Arial" w:eastAsia="Arial" w:hAnsi="Arial"/>
          <w:sz w:val="17"/>
          <w:szCs w:val="17"/>
          <w:color w:val="auto"/>
        </w:rPr>
        <w:t>Each of the Lenders, on behalf of itself and any of its Affiliates that are holders of Guaranteed Obligations or Secured Obligations, hereby (i) irrevocably designates, appoints and authorizes each of the Administrative Agent and the Collateral Agent as the agents of such Lender under this Agreement and the other Loan Documents, and (ii) irrevocably authorizes each of the Administrative Agent and the Collateral Agent to take such actions on its behalf under the provisions of this Agreement and the other Loan Documents, including execution of the other Loan Documents, and to exercise such powers and perform such duties as are expressly delegated to the Administrative Agent and the Collateral Agent by the terms hereof and of the other Loan Documents, together with such actions and powers as are reasonably incidental thereto. In addition, to the extent required under the laws of any jurisdiction other than the United States of America, each of the Lenders, on behalf of itself and any of its Affiliates that are Secured Parties, hereby grants to the Collateral Agent any required powers of attorney to execute and enforce any Collateral Document governed by the laws of such jurisdiction on such Lender’s or Affiliate’s behalf. Without limiting the generality of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foregoing, each Lender hereby authorizes the Administrative Agent and the Collateral Agent to execute and deliver, and to perform its obligations under, each of the Loan Documents to which the Administrative Agent or the Collateral Agent, as applicable, is a party, and to exercise all rights, powers and remedies that the Administrative Agent or the Collateral Agent, as applicable, may have under such Loan Documents. Notwithstanding any provision to the contrary elsewhere in this Agreement, the Administrative Agent and the Collateral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 or the Collateral Agent, and each Lender (on behalf of itself and its Affiliates) agrees that it will not assert any claim against the Administrative Agent or the Collateral Agent based on an alleged breach of fiduciary duty by the Administrative Agent or the Collateral Agent in connection with the Loan Documents and the transactions contemplated thereby. Where the Administrative Agent or Collateral Agent is required or deemed to act as a trustee or fiduciary in respect of any Collateral over which a security interest has been created pursuant to a Loan Document expressed to be governed by the laws of a Specified Jurisdiction, the obligations and liabilities of the Administrative Agent or the Collateral Agent to the Secured Parties in its capacity as trustee or fiduciary shall be excluded to the fullest extent permitted by applicable law.</w:t>
      </w:r>
    </w:p>
    <w:p>
      <w:pPr>
        <w:spacing w:after="0" w:line="180" w:lineRule="exact"/>
        <w:rPr>
          <w:sz w:val="20"/>
          <w:szCs w:val="20"/>
          <w:color w:val="auto"/>
        </w:rPr>
      </w:pPr>
    </w:p>
    <w:p>
      <w:pPr>
        <w:ind w:right="220" w:firstLine="1305"/>
        <w:spacing w:after="0" w:line="308" w:lineRule="auto"/>
        <w:tabs>
          <w:tab w:leader="none" w:pos="2001" w:val="left"/>
        </w:tabs>
        <w:numPr>
          <w:ilvl w:val="0"/>
          <w:numId w:val="463"/>
        </w:numPr>
        <w:rPr>
          <w:rFonts w:ascii="Arial" w:cs="Arial" w:eastAsia="Arial" w:hAnsi="Arial"/>
          <w:sz w:val="17"/>
          <w:szCs w:val="17"/>
          <w:color w:val="auto"/>
        </w:rPr>
      </w:pPr>
      <w:r>
        <w:rPr>
          <w:rFonts w:ascii="Arial" w:cs="Arial" w:eastAsia="Arial" w:hAnsi="Arial"/>
          <w:sz w:val="17"/>
          <w:szCs w:val="17"/>
          <w:color w:val="auto"/>
        </w:rPr>
        <w:t>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46" w:lineRule="exact"/>
        <w:rPr>
          <w:rFonts w:ascii="Arial" w:cs="Arial" w:eastAsia="Arial" w:hAnsi="Arial"/>
          <w:sz w:val="17"/>
          <w:szCs w:val="17"/>
          <w:color w:val="auto"/>
        </w:rPr>
      </w:pPr>
    </w:p>
    <w:p>
      <w:pPr>
        <w:ind w:right="20" w:firstLine="1305"/>
        <w:spacing w:after="0" w:line="297" w:lineRule="auto"/>
        <w:tabs>
          <w:tab w:leader="none" w:pos="1991" w:val="left"/>
        </w:tabs>
        <w:numPr>
          <w:ilvl w:val="0"/>
          <w:numId w:val="463"/>
        </w:numPr>
        <w:rPr>
          <w:rFonts w:ascii="Arial" w:cs="Arial" w:eastAsia="Arial" w:hAnsi="Arial"/>
          <w:sz w:val="16"/>
          <w:szCs w:val="16"/>
          <w:color w:val="auto"/>
        </w:rPr>
      </w:pPr>
      <w:r>
        <w:rPr>
          <w:rFonts w:ascii="Arial" w:cs="Arial" w:eastAsia="Arial" w:hAnsi="Arial"/>
          <w:sz w:val="16"/>
          <w:szCs w:val="16"/>
          <w:color w:val="auto"/>
        </w:rPr>
        <w:t>The provisions of this Article are solely for the benefit of the Administrative Agent, the Collateral Agent and the Lenders, and neither the Borrower nor any other Obligor shall have rights as a third party beneficiary of any of such provisions. It is understood and agreed that the use of the term “agent” as used herein or in any other Loan Documents (or any similar term) with reference to the Administrative Agent and the Collateral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ectPr>
          <w:pgSz w:w="11900" w:h="16941" w:orient="portrait"/>
          <w:cols w:equalWidth="0" w:num="1">
            <w:col w:w="11420"/>
          </w:cols>
          <w:pgMar w:left="240" w:top="341" w:right="239" w:bottom="0" w:gutter="0" w:footer="0" w:header="0"/>
        </w:sectPr>
      </w:pPr>
    </w:p>
    <w:bookmarkStart w:id="184" w:name="page185"/>
    <w:bookmarkEnd w:id="184"/>
    <w:p>
      <w:pPr>
        <w:spacing w:after="0" w:line="114"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Liability of Agents</w:t>
      </w:r>
      <w:r>
        <w:rPr>
          <w:rFonts w:ascii="Arial" w:cs="Arial" w:eastAsia="Arial" w:hAnsi="Arial"/>
          <w:sz w:val="17"/>
          <w:szCs w:val="17"/>
          <w:color w:val="auto"/>
        </w:rPr>
        <w:t xml:space="preserve">. Neither the Administrative Agent nor the Collateral Agent shall have any duties or obligations except those expressly set forth herein and in the other Loan Documents. Without limiting the generality of the foregoing, (a) neither the Administrative Agent nor the Collateral Agent shall be subject to any fiduciary or other implied duties, regardless of whether a Default or an Event of Default has occurred and is continuing, (b) neither the Administrative Agent nor the Collateral Agent shall have any duty to take any discretionary action or exercise any discretionary powers, except discretionary rights and powers expressly contemplated hereby and by the other Loan Documents that the Administrative Agent or the Collateral Agent is required to exercise in writing as directed by the Required Lenders (or such other number or percentage of the Lenders as shall be necessary under the circumstances as provided in </w:t>
      </w:r>
      <w:r>
        <w:rPr>
          <w:rFonts w:ascii="Arial" w:cs="Arial" w:eastAsia="Arial" w:hAnsi="Arial"/>
          <w:sz w:val="17"/>
          <w:szCs w:val="17"/>
          <w:u w:val="single" w:color="auto"/>
          <w:color w:val="auto"/>
        </w:rPr>
        <w:t>Section 11.01)</w:t>
      </w:r>
      <w:r>
        <w:rPr>
          <w:rFonts w:ascii="Arial" w:cs="Arial" w:eastAsia="Arial" w:hAnsi="Arial"/>
          <w:sz w:val="17"/>
          <w:szCs w:val="17"/>
          <w:color w:val="auto"/>
        </w:rPr>
        <w:t>, and (c) except as expressly set forth herein, neither the Administrative Agent nor the Collateral Agent shall have any duty to disclose, and shall not be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liable for the failure to disclose, any information relating to any of the Obligors or any of their Subsidiaries that is communicated to or obtained by the bank serving as Administrative Agent or Collateral Agent or any of their respective Affiliates in any capacity. Neither the Administrative Agent nor the Collateral Agent shall be liable for any action taken or not taken by it with the consent or at the request of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or in the absence of its own gross negligence, willful misconduct or unlawful acts, as determined by a final nonappealable judgment of a court of competent jurisdiction. Neither the Administrative Agent nor the Collateral Agent shall be deemed to have knowledge of any Default or Event of Default unless and until written notice thereof is given to the Administrative Agent or the Collateral Agent by a Borrower or a Lender, and neither the Administrative Agent nor the Collateral Agent shall be responsible for or have any duty to ascertain or inquire into (u) any statement, warranty or representation made in or in connection with this Agreement or any other Loan Document, (v) the contents of any certificate, report or other document delivered under this Agreement or any other Loan Document or in connection with this Agreement or any other Loan Document, (w) the performance or observance of any of the covenants, agreements or other terms or conditions set forth herein or in any other Loan Document, (x) the validity, enforceability, effectiveness or genuineness of this Agreement or any other agreement, instrument or document, (y) the creation, perfection or priority of Liens on the Collateral or (z)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herein, other than those conditions requiring delivery of items expressly required to be delivered to the Administrative Agent or the Collateral Agent, as applicable.</w:t>
      </w:r>
    </w:p>
    <w:p>
      <w:pPr>
        <w:spacing w:after="0" w:line="17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Agents Individually</w:t>
      </w:r>
      <w:r>
        <w:rPr>
          <w:rFonts w:ascii="Arial" w:cs="Arial" w:eastAsia="Arial" w:hAnsi="Arial"/>
          <w:sz w:val="17"/>
          <w:szCs w:val="17"/>
          <w:color w:val="auto"/>
        </w:rPr>
        <w:t>. Each bank serving as the Administrative Agent or the Collateral Agent hereunder shall have the same rights and powers in its capacity as a Lender as any other Lender and may exercise the same as though it were not the Administrative Agent or the Collateral Agent, and such bank and its Affiliates may accept deposits from, lend money to and generally engage in any kind of business with any Obligor or any Subsidiary or other Affiliate thereof as if it were not the Administrative Agent or the Collateral Agent hereunder.</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Reliance by Agents</w:t>
      </w:r>
      <w:r>
        <w:rPr>
          <w:rFonts w:ascii="Arial" w:cs="Arial" w:eastAsia="Arial" w:hAnsi="Arial"/>
          <w:sz w:val="18"/>
          <w:szCs w:val="18"/>
          <w:color w:val="auto"/>
        </w:rPr>
        <w:t>. Each of the Administrative Agent and the Collateral Agent shall be entitled to rely upon, and shall not incur any liability for relying upon, any notice, request, certificate, consent, statement, instrument, document or other writing believed in good faith by it to be genuine and to have been signed or sent by the proper Person. Each of the Administrative Agent and the Collateral Agent also may rely upon any statement made to it orally or by telephone and believed in good faith by it to be made by the proper Person, and shall not incur any liability for relying thereon. Each of the Administrative Agent and the Collateral Agent may consult with legal counsel (who may be counsel for any Borrower), independent accountants and other experts selected by it, and shall not be liable for any action taken or not taken by it, in each case in good faith in accordance with the advice of any such counsel, accountants or experts.</w:t>
      </w:r>
    </w:p>
    <w:p>
      <w:pPr>
        <w:spacing w:after="0" w:line="189"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Each of the Administrative Agent and the Collateral Agent may perform any and all its duties and exercise its rights and powers by or through any one or more sub-agents appointed by the Administrative Agent or the Collateral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Agent, as applicable. The Term Loan Agent shall be deemed to constitute a sub-agent of the Collateral Agent for purposes of creating and perfecting Liens pursuant to any Collateral Documents governed by Swiss law as more specifically described in the Intercreditor Agreement. The Administrative Agent, the Collateral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the Collateral Agent and any such sub-agent, and shall apply to their respective activities in connection with the syndication of the credit facilities provided for herein as well as activities as Administrative Agent or Collateral Agent.</w:t>
      </w:r>
    </w:p>
    <w:p>
      <w:pPr>
        <w:spacing w:after="0" w:line="193"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5"/>
          <w:szCs w:val="15"/>
          <w:u w:val="single" w:color="auto"/>
          <w:color w:val="auto"/>
        </w:rPr>
        <w:t>Successor Agents</w:t>
      </w:r>
      <w:r>
        <w:rPr>
          <w:rFonts w:ascii="Arial" w:cs="Arial" w:eastAsia="Arial" w:hAnsi="Arial"/>
          <w:sz w:val="15"/>
          <w:szCs w:val="15"/>
          <w:color w:val="auto"/>
        </w:rPr>
        <w:t>.</w:t>
      </w:r>
    </w:p>
    <w:p>
      <w:pPr>
        <w:spacing w:after="0" w:line="225" w:lineRule="exact"/>
        <w:rPr>
          <w:sz w:val="20"/>
          <w:szCs w:val="20"/>
          <w:color w:val="auto"/>
        </w:rPr>
      </w:pPr>
    </w:p>
    <w:p>
      <w:pPr>
        <w:ind w:right="60" w:firstLine="1305"/>
        <w:spacing w:after="0" w:line="255" w:lineRule="auto"/>
        <w:tabs>
          <w:tab w:leader="none" w:pos="1991" w:val="left"/>
        </w:tabs>
        <w:numPr>
          <w:ilvl w:val="1"/>
          <w:numId w:val="464"/>
        </w:numPr>
        <w:rPr>
          <w:rFonts w:ascii="Arial" w:cs="Arial" w:eastAsia="Arial" w:hAnsi="Arial"/>
          <w:sz w:val="18"/>
          <w:szCs w:val="18"/>
          <w:color w:val="auto"/>
        </w:rPr>
      </w:pPr>
      <w:r>
        <w:rPr>
          <w:rFonts w:ascii="Arial" w:cs="Arial" w:eastAsia="Arial" w:hAnsi="Arial"/>
          <w:sz w:val="18"/>
          <w:szCs w:val="18"/>
          <w:color w:val="auto"/>
        </w:rPr>
        <w:t>Subject to the appointment and acceptance of a successor Administrative Agent or successor Collateral Agent as provided in this paragraph and paragraph (c) below, the Administrative Agent or the Collateral Agent may resign at any time by notifying the Lenders and the Borrowers. Upon any resignation of the Administrative Agent or the Collateral Agent, the Required Lenders shall have the right, in consultation with the Borrowers, to appoint a successor. If no successor shall have been so appointed by the Required Lenders and shall have accepted such appointment within 30 days after the retiring Administrative Agent or Collateral Agent gives notice of its resignation, then the retiring Administrative Agent or Collateral Agent may, on behalf of the Lenders, appoint a successor Administrative Agent or Collateral Agent, as applicable, which shall be a bank with an office in New York, New York, or an Affiliate of any such bank.</w:t>
      </w:r>
    </w:p>
    <w:p>
      <w:pPr>
        <w:spacing w:after="0" w:line="189" w:lineRule="exact"/>
        <w:rPr>
          <w:rFonts w:ascii="Arial" w:cs="Arial" w:eastAsia="Arial" w:hAnsi="Arial"/>
          <w:sz w:val="18"/>
          <w:szCs w:val="18"/>
          <w:color w:val="auto"/>
        </w:rPr>
      </w:pPr>
    </w:p>
    <w:p>
      <w:pPr>
        <w:ind w:left="2000" w:hanging="695"/>
        <w:spacing w:after="0"/>
        <w:tabs>
          <w:tab w:leader="none" w:pos="2000" w:val="left"/>
        </w:tabs>
        <w:numPr>
          <w:ilvl w:val="1"/>
          <w:numId w:val="464"/>
        </w:numPr>
        <w:rPr>
          <w:rFonts w:ascii="Arial" w:cs="Arial" w:eastAsia="Arial" w:hAnsi="Arial"/>
          <w:sz w:val="17"/>
          <w:szCs w:val="17"/>
          <w:color w:val="auto"/>
        </w:rPr>
      </w:pPr>
      <w:r>
        <w:rPr>
          <w:rFonts w:ascii="Arial" w:cs="Arial" w:eastAsia="Arial" w:hAnsi="Arial"/>
          <w:sz w:val="17"/>
          <w:szCs w:val="17"/>
          <w:color w:val="auto"/>
        </w:rPr>
        <w:t>In addition, in the event that (i) the Person serving as the Administrative Agent or Collateral Agent is a Defaulting Lender,</w:t>
      </w:r>
    </w:p>
    <w:p>
      <w:pPr>
        <w:spacing w:after="0" w:line="34" w:lineRule="exact"/>
        <w:rPr>
          <w:rFonts w:ascii="Arial" w:cs="Arial" w:eastAsia="Arial" w:hAnsi="Arial"/>
          <w:sz w:val="17"/>
          <w:szCs w:val="17"/>
          <w:color w:val="auto"/>
        </w:rPr>
      </w:pPr>
    </w:p>
    <w:p>
      <w:pPr>
        <w:ind w:right="20" w:firstLine="8"/>
        <w:spacing w:after="0" w:line="270" w:lineRule="auto"/>
        <w:tabs>
          <w:tab w:leader="none" w:pos="265" w:val="left"/>
        </w:tabs>
        <w:numPr>
          <w:ilvl w:val="0"/>
          <w:numId w:val="465"/>
        </w:numPr>
        <w:rPr>
          <w:rFonts w:ascii="Arial" w:cs="Arial" w:eastAsia="Arial" w:hAnsi="Arial"/>
          <w:sz w:val="17"/>
          <w:szCs w:val="17"/>
          <w:color w:val="auto"/>
        </w:rPr>
      </w:pPr>
      <w:r>
        <w:rPr>
          <w:rFonts w:ascii="Arial" w:cs="Arial" w:eastAsia="Arial" w:hAnsi="Arial"/>
          <w:sz w:val="17"/>
          <w:szCs w:val="17"/>
          <w:color w:val="auto"/>
        </w:rPr>
        <w:t xml:space="preserve">such Person has been replaced in its capacity as a Lender pursuant to </w:t>
      </w:r>
      <w:r>
        <w:rPr>
          <w:rFonts w:ascii="Arial" w:cs="Arial" w:eastAsia="Arial" w:hAnsi="Arial"/>
          <w:sz w:val="17"/>
          <w:szCs w:val="17"/>
          <w:u w:val="single" w:color="auto"/>
          <w:color w:val="auto"/>
        </w:rPr>
        <w:t>Section 4.03(b)</w:t>
      </w:r>
      <w:r>
        <w:rPr>
          <w:rFonts w:ascii="Arial" w:cs="Arial" w:eastAsia="Arial" w:hAnsi="Arial"/>
          <w:sz w:val="17"/>
          <w:szCs w:val="17"/>
          <w:color w:val="auto"/>
        </w:rPr>
        <w:t xml:space="preserve">, and (iii) if such Person is a Swingline Lender, such Person has been replaced in its capacity as a Swingline Lender pursuant to </w:t>
      </w:r>
      <w:r>
        <w:rPr>
          <w:rFonts w:ascii="Arial" w:cs="Arial" w:eastAsia="Arial" w:hAnsi="Arial"/>
          <w:sz w:val="17"/>
          <w:szCs w:val="17"/>
          <w:u w:val="single" w:color="auto"/>
          <w:color w:val="auto"/>
        </w:rPr>
        <w:t>Section 4.03(b)</w:t>
      </w:r>
      <w:r>
        <w:rPr>
          <w:rFonts w:ascii="Arial" w:cs="Arial" w:eastAsia="Arial" w:hAnsi="Arial"/>
          <w:sz w:val="17"/>
          <w:szCs w:val="17"/>
          <w:color w:val="auto"/>
        </w:rPr>
        <w:t xml:space="preserve">, then the Required Lenders or the Borrowers may, by written notice to the Administrative Agent or the Collateral Agent, as applicable, remove such Person from its capacity as Administrative Agent or Collateral Agent, as applicable, under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consent or agreement of such Person, in any of its capacities, shall not be required in respect of its removal as a Lender or a Swingline Lender;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 successor Administrative Agent or Collateral Agent, as applicable, selected by the Required Lenders, in consultation with the Borrowers, shall be appointed concurrently with such removal.</w:t>
      </w:r>
    </w:p>
    <w:p>
      <w:pPr>
        <w:spacing w:after="0" w:line="178" w:lineRule="exact"/>
        <w:rPr>
          <w:rFonts w:ascii="Arial" w:cs="Arial" w:eastAsia="Arial" w:hAnsi="Arial"/>
          <w:sz w:val="17"/>
          <w:szCs w:val="17"/>
          <w:color w:val="auto"/>
        </w:rPr>
      </w:pPr>
    </w:p>
    <w:p>
      <w:pPr>
        <w:ind w:right="160" w:firstLine="1305"/>
        <w:spacing w:after="0" w:line="312" w:lineRule="auto"/>
        <w:tabs>
          <w:tab w:leader="none" w:pos="1991" w:val="left"/>
        </w:tabs>
        <w:numPr>
          <w:ilvl w:val="1"/>
          <w:numId w:val="465"/>
        </w:numPr>
        <w:rPr>
          <w:rFonts w:ascii="Arial" w:cs="Arial" w:eastAsia="Arial" w:hAnsi="Arial"/>
          <w:sz w:val="16"/>
          <w:szCs w:val="16"/>
          <w:color w:val="auto"/>
        </w:rPr>
      </w:pPr>
      <w:r>
        <w:rPr>
          <w:rFonts w:ascii="Arial" w:cs="Arial" w:eastAsia="Arial" w:hAnsi="Arial"/>
          <w:sz w:val="16"/>
          <w:szCs w:val="16"/>
          <w:color w:val="auto"/>
        </w:rPr>
        <w:t>Upon the acceptance of its appointment as Administrative Agent or Collateral Agent hereunder by a successor, such successor shall succeed to and become vested with all the rights, powers, privileges and duties of the retiring or removed Administrative Agent or Collateral Agent, as applicable, and the retiring or removed Administrative Agent or Collateral Agent shall be discharged from its duties and obligations hereunder. The fees</w:t>
      </w:r>
    </w:p>
    <w:p>
      <w:pPr>
        <w:sectPr>
          <w:pgSz w:w="11900" w:h="16953" w:orient="portrait"/>
          <w:cols w:equalWidth="0" w:num="1">
            <w:col w:w="11420"/>
          </w:cols>
          <w:pgMar w:left="240" w:top="341" w:right="239" w:bottom="0" w:gutter="0" w:footer="0" w:header="0"/>
        </w:sectPr>
      </w:pPr>
    </w:p>
    <w:bookmarkStart w:id="185" w:name="page186"/>
    <w:bookmarkEnd w:id="185"/>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payable by the Borrowers to a successor Administrative Agent or Collateral Agent shall be the same as those payable to its predecessor unless otherwise agreed between the Borrowers and such successor. After the Administrative Agent’s or the or Collateral Agent’s resignation or removal hereunder, the provisions of this Article and </w:t>
      </w:r>
      <w:r>
        <w:rPr>
          <w:rFonts w:ascii="Arial" w:cs="Arial" w:eastAsia="Arial" w:hAnsi="Arial"/>
          <w:sz w:val="18"/>
          <w:szCs w:val="18"/>
          <w:u w:val="single" w:color="auto"/>
          <w:color w:val="auto"/>
        </w:rPr>
        <w:t>Sections 11.03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shall continue in effect for the benefit of such retiring or removed Administrative Agent or Collateral Agent, its sub-agents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and their respective Related Parties in respect of any actions taken or omitted to be taken by any of them while it was acting as Administrative Agent or Collateral Agent.</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u w:val="single" w:color="auto"/>
          <w:color w:val="auto"/>
        </w:rPr>
        <w:t>Credit Decision</w:t>
      </w:r>
      <w:r>
        <w:rPr>
          <w:rFonts w:ascii="Arial" w:cs="Arial" w:eastAsia="Arial" w:hAnsi="Arial"/>
          <w:sz w:val="17"/>
          <w:szCs w:val="17"/>
          <w:color w:val="auto"/>
        </w:rPr>
        <w:t>. Each Lender acknowledges and agrees that the extensions of credit made hereunder are commercial loans and not investments in a business enterprise or securities. Each Lender further represents that it is engaged in making, acquiring or holding commercial loans in the ordinary course of its business and that it has, independently and without reliance upon the Administrative Agent, the Collateral Agent or any other Lender and based on such documents and information as it has deemed appropriate, made its own credit analysis and decision to enter into this Agreement as a Lender, and to make, acquire or hold Loans hereunder. Each Lender also acknowledges that it shall, independently and without reliance upon the Administrative Agent, the Collateral Agent or any other Lender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any related agreement or any document furnished hereunder or thereunder and in deciding whether or to the extent to which it will continue as a Lender or assign or otherwise transfer its rights, interests and obligations hereunder.</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Other Agents; Lead Arrangers</w:t>
      </w:r>
      <w:r>
        <w:rPr>
          <w:rFonts w:ascii="Arial" w:cs="Arial" w:eastAsia="Arial" w:hAnsi="Arial"/>
          <w:sz w:val="18"/>
          <w:szCs w:val="18"/>
          <w:color w:val="auto"/>
        </w:rPr>
        <w:t>. Notwithstanding anything to the contrary contained herein, none of the Joint Lead Arrangers, Joint Bookrunners, Syndication Agent or Co-Documentation Agents listed on the cover page hereof shall have any powers, duties or responsibilities under this Agreement or any of the other Loan Documents, except in its capacity, as applicable, as the Administrative Agent, the Collateral Agent or a Lender hereunder.</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SECTION 10.09 </w:t>
      </w:r>
      <w:r>
        <w:rPr>
          <w:rFonts w:ascii="Arial" w:cs="Arial" w:eastAsia="Arial" w:hAnsi="Arial"/>
          <w:sz w:val="17"/>
          <w:szCs w:val="17"/>
          <w:u w:val="single" w:color="auto"/>
          <w:color w:val="auto"/>
        </w:rPr>
        <w:t>Administrative Agent or Collateral Agent May File Proofs of Claim</w:t>
      </w:r>
      <w:r>
        <w:rPr>
          <w:rFonts w:ascii="Arial" w:cs="Arial" w:eastAsia="Arial" w:hAnsi="Arial"/>
          <w:sz w:val="17"/>
          <w:szCs w:val="17"/>
          <w:color w:val="auto"/>
        </w:rPr>
        <w:t>. In case of the pendency of any proceeding with respect to any Obligor under any federal, state or foreign bankruptcy, insolvency, receivership, administration, examinership or similar law now or hereafter in effect, the Administrative Agent (irrespective of whether the principal of any Loan shall then be due and payable as herein expressed or by declaration or otherwise and irrespective of whether the Administrative Agent shall have made any demand on any Borrower) or the Collateral Agent, subject to the Intercreditor Agreement, shall be entitled and empowered (but not obligated) by intervention in such proceeding or otherwise:</w:t>
      </w:r>
    </w:p>
    <w:p>
      <w:pPr>
        <w:spacing w:after="0" w:line="173" w:lineRule="exact"/>
        <w:rPr>
          <w:sz w:val="20"/>
          <w:szCs w:val="20"/>
          <w:color w:val="auto"/>
        </w:rPr>
      </w:pPr>
    </w:p>
    <w:p>
      <w:pPr>
        <w:ind w:right="100" w:firstLine="656"/>
        <w:spacing w:after="0" w:line="259" w:lineRule="auto"/>
        <w:tabs>
          <w:tab w:leader="none" w:pos="1343" w:val="left"/>
        </w:tabs>
        <w:numPr>
          <w:ilvl w:val="0"/>
          <w:numId w:val="466"/>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and all other Obligations or Secured Obligations that are owing and unpaid and to file such other documents as may be necessary or advisable in order to have the claims of the Lenders, the Collateral Agent and the Administrative Agent (including any claim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allowed in such judicial proceeding; and</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and any custodian, receiver, assignee, trustee, administrator, examiner, liquidator, sequestrator or other similar official in any such proceeding is hereby authorized by each Lender and each 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Secured Party to make such payments to the Administrative Agent or the Collateral Agent and, in the event that the Administrative Agent shall consent to the making of such payments directly to the Lenders or the other Secured Parties, to pay to the Administrative Agent or the Collateral Agent any amount due to it, in its capacity as the Administrative Agent or the Collateral Agent, as applicable, under the Loan Documents (including under </w:t>
      </w:r>
      <w:r>
        <w:rPr>
          <w:rFonts w:ascii="Arial" w:cs="Arial" w:eastAsia="Arial" w:hAnsi="Arial"/>
          <w:sz w:val="16"/>
          <w:szCs w:val="16"/>
          <w:u w:val="single" w:color="auto"/>
          <w:color w:val="auto"/>
        </w:rPr>
        <w:t>Sections 11.03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w:t>
      </w:r>
    </w:p>
    <w:p>
      <w:pPr>
        <w:spacing w:after="0" w:line="147"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6"/>
          <w:szCs w:val="16"/>
          <w:u w:val="single" w:color="auto"/>
          <w:color w:val="auto"/>
        </w:rPr>
        <w:t>Collateral Agent</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89" w:lineRule="auto"/>
        <w:tabs>
          <w:tab w:leader="none" w:pos="1991" w:val="left"/>
        </w:tabs>
        <w:numPr>
          <w:ilvl w:val="0"/>
          <w:numId w:val="467"/>
        </w:numPr>
        <w:rPr>
          <w:rFonts w:ascii="Arial" w:cs="Arial" w:eastAsia="Arial" w:hAnsi="Arial"/>
          <w:sz w:val="16"/>
          <w:szCs w:val="16"/>
          <w:color w:val="auto"/>
        </w:rPr>
      </w:pPr>
      <w:r>
        <w:rPr>
          <w:rFonts w:ascii="Arial" w:cs="Arial" w:eastAsia="Arial" w:hAnsi="Arial"/>
          <w:sz w:val="16"/>
          <w:szCs w:val="16"/>
          <w:color w:val="auto"/>
        </w:rPr>
        <w:t xml:space="preserve">In its capacity, the Collateral Agent is a “representative” of the Secured Parties within the meaning of the term “secured party” as defined in the UCC. Each Lender authorizes the Collateral Agent to enter into each of the Collateral Documents to which it is a party and to take all action contemplated by such documents. Each Lender agrees that no Secured Party (other than the Collateral Agent) shall have the right individually to seek to realize upon the security granted by any Collateral Document, it being understood and agreed that such rights and remedies may be exercised solely by the Collateral Agent for the benefit of the Secured Parties upon the terms of the Collateral Documents. In the event that any Collateral is hereafter pledged by any Person as collateral security for the Secured Obligations, the Collateral Agent is hereby authorized, and hereby granted a power of attorney, to execute and deliver on behalf of the Secured Parties any documents necessary or appropriate to grant and perfect a Lien on such Collateral in favor of the Collateral Agent on behalf of the Secured Parties, subject to the Intercreditor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Collateral Documents governed by the laws of the Netherlands, the Collateral Agent shall act in its own name but for the benefit of the Secured Parties.</w:t>
      </w:r>
    </w:p>
    <w:p>
      <w:pPr>
        <w:spacing w:after="0" w:line="166" w:lineRule="exact"/>
        <w:rPr>
          <w:rFonts w:ascii="Arial" w:cs="Arial" w:eastAsia="Arial" w:hAnsi="Arial"/>
          <w:sz w:val="16"/>
          <w:szCs w:val="16"/>
          <w:color w:val="auto"/>
        </w:rPr>
      </w:pPr>
    </w:p>
    <w:p>
      <w:pPr>
        <w:ind w:right="640" w:firstLine="1305"/>
        <w:spacing w:after="0" w:line="308" w:lineRule="auto"/>
        <w:tabs>
          <w:tab w:leader="none" w:pos="2001" w:val="left"/>
        </w:tabs>
        <w:numPr>
          <w:ilvl w:val="0"/>
          <w:numId w:val="467"/>
        </w:numPr>
        <w:rPr>
          <w:rFonts w:ascii="Arial" w:cs="Arial" w:eastAsia="Arial" w:hAnsi="Arial"/>
          <w:sz w:val="17"/>
          <w:szCs w:val="17"/>
          <w:color w:val="auto"/>
        </w:rPr>
      </w:pPr>
      <w:r>
        <w:rPr>
          <w:rFonts w:ascii="Arial" w:cs="Arial" w:eastAsia="Arial" w:hAnsi="Arial"/>
          <w:sz w:val="17"/>
          <w:szCs w:val="17"/>
          <w:color w:val="auto"/>
        </w:rPr>
        <w:t>In the event that the Collateral Agent delivers any notice to any other party under the Intercreditor Agreement, it shall use commercially reasonable efforts to, as soon as reasonably practicable, deliver a copy of the same to the Administrative Agent.</w:t>
      </w:r>
    </w:p>
    <w:p>
      <w:pPr>
        <w:spacing w:after="0" w:line="14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u w:val="single" w:color="auto"/>
          <w:color w:val="auto"/>
        </w:rPr>
        <w:t>Collateral Release Matters</w:t>
      </w:r>
      <w:r>
        <w:rPr>
          <w:rFonts w:ascii="Arial" w:cs="Arial" w:eastAsia="Arial" w:hAnsi="Arial"/>
          <w:sz w:val="16"/>
          <w:szCs w:val="16"/>
          <w:color w:val="auto"/>
        </w:rPr>
        <w:t xml:space="preserve">. The Lenders hereby authorize the Collateral Agent, at its option and in its discretion, to release any Lien granted to or held by the Collateral Agent upon any Collateral (i) as described in </w:t>
      </w:r>
      <w:r>
        <w:rPr>
          <w:rFonts w:ascii="Arial" w:cs="Arial" w:eastAsia="Arial" w:hAnsi="Arial"/>
          <w:sz w:val="16"/>
          <w:szCs w:val="16"/>
          <w:u w:val="single" w:color="auto"/>
          <w:color w:val="auto"/>
        </w:rPr>
        <w:t>Section 11.01(e)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11.22</w:t>
      </w:r>
      <w:r>
        <w:rPr>
          <w:rFonts w:ascii="Arial" w:cs="Arial" w:eastAsia="Arial" w:hAnsi="Arial"/>
          <w:sz w:val="16"/>
          <w:szCs w:val="16"/>
          <w:color w:val="auto"/>
        </w:rPr>
        <w:t>; (ii) as permitted by, but only in accordance with, the terms of the applicable Loan Document; or (iii) if approved, authorized or ratified in writing by the Required Lenders, unless such release is required to be approved by all of the Lenders hereunder. Upon request by the Collateral Agent at any time, the Lenders will confirm in writing the Collateral Agent’s authority to release particular types or items of Collateral pursuant hereto. Upon any release described in the prior sentence or any sale or transfer of assets constituting Collateral which is permitted pursuant to the terms of any Loan Document (to a Person that is not a Secured Obligor), or consented to in writing by the Required Lenders or all of the Lenders, as applicable, and promptly upon receipt of a written request by any Obligor Party to the Collateral Agent, the Collateral Agent shall (and is hereby irrevocably authorized by the Lenders to) execute such documents as may be necessary to evidence the release of the Liens granted to the Collateral Agent for the benefit of the Secured Parties herein or pursuant hereto upon the Collateral that was,</w:t>
      </w:r>
    </w:p>
    <w:p>
      <w:pPr>
        <w:sectPr>
          <w:pgSz w:w="11900" w:h="16932" w:orient="portrait"/>
          <w:cols w:equalWidth="0" w:num="1">
            <w:col w:w="11420"/>
          </w:cols>
          <w:pgMar w:left="240" w:top="125" w:right="239" w:bottom="0" w:gutter="0" w:footer="0" w:header="0"/>
        </w:sectPr>
      </w:pPr>
    </w:p>
    <w:bookmarkStart w:id="186" w:name="page187"/>
    <w:bookmarkEnd w:id="186"/>
    <w:p>
      <w:pPr>
        <w:ind w:right="300"/>
        <w:spacing w:after="0" w:line="264" w:lineRule="auto"/>
        <w:rPr>
          <w:sz w:val="20"/>
          <w:szCs w:val="20"/>
          <w:color w:val="auto"/>
        </w:rPr>
      </w:pPr>
      <w:r>
        <w:rPr>
          <w:rFonts w:ascii="Arial" w:cs="Arial" w:eastAsia="Arial" w:hAnsi="Arial"/>
          <w:sz w:val="18"/>
          <w:szCs w:val="18"/>
          <w:color w:val="auto"/>
        </w:rPr>
        <w:t xml:space="preserve">released sold or transferred;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the Collateral Agent shall not be required to execute any such document on terms which, in the Collateral Agent’s opinion, would expose the Collateral Agent to liability or create any obligation or entail any consequence other than the release of such Liens without recourse or warranty, and (ii) such release shall not in any manner discharge, affect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impair the Secured Obligations or any Liens (other than those expressly being released) upon (or obligations of WIL-Ireland or any Subsidiary in respect of) all interests retained by WIL-Ireland or any Subsidiary, including the proceeds of the sale, all of which shall continue to constitute part of the Collateral. Any execution and delivery by the Collateral Agent of documents in connection with any such release shall be without recourse to or warranty by the Collateral Agent.</w:t>
      </w:r>
    </w:p>
    <w:p>
      <w:pPr>
        <w:spacing w:after="0" w:line="187" w:lineRule="exact"/>
        <w:rPr>
          <w:sz w:val="20"/>
          <w:szCs w:val="20"/>
          <w:color w:val="auto"/>
        </w:rPr>
      </w:pPr>
    </w:p>
    <w:p>
      <w:pPr>
        <w:ind w:right="200" w:firstLine="648"/>
        <w:spacing w:after="0" w:line="285"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u w:val="single" w:color="auto"/>
          <w:color w:val="auto"/>
        </w:rPr>
        <w:t>Credit Bidding</w:t>
      </w:r>
      <w:r>
        <w:rPr>
          <w:rFonts w:ascii="Arial" w:cs="Arial" w:eastAsia="Arial" w:hAnsi="Arial"/>
          <w:sz w:val="16"/>
          <w:szCs w:val="16"/>
          <w:color w:val="auto"/>
        </w:rPr>
        <w:t xml:space="preserve">. The Secured Parties hereby irrevocably authorize the Collateral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applicable jurisdictions (including the </w:t>
      </w:r>
      <w:r>
        <w:rPr>
          <w:rFonts w:ascii="Arial" w:cs="Arial" w:eastAsia="Arial" w:hAnsi="Arial"/>
          <w:sz w:val="16"/>
          <w:szCs w:val="16"/>
          <w:i w:val="1"/>
          <w:iCs w:val="1"/>
          <w:color w:val="auto"/>
        </w:rPr>
        <w:t>Corporations Act 2001</w:t>
      </w:r>
      <w:r>
        <w:rPr>
          <w:rFonts w:ascii="Arial" w:cs="Arial" w:eastAsia="Arial" w:hAnsi="Arial"/>
          <w:sz w:val="16"/>
          <w:szCs w:val="16"/>
          <w:color w:val="auto"/>
        </w:rPr>
        <w:t xml:space="preserve"> (Cth) of Australia), or</w:t>
      </w:r>
    </w:p>
    <w:p>
      <w:pPr>
        <w:spacing w:after="0" w:line="2" w:lineRule="exact"/>
        <w:rPr>
          <w:sz w:val="20"/>
          <w:szCs w:val="20"/>
          <w:color w:val="auto"/>
        </w:rPr>
      </w:pPr>
    </w:p>
    <w:p>
      <w:pPr>
        <w:ind w:firstLine="8"/>
        <w:spacing w:after="0" w:line="284" w:lineRule="auto"/>
        <w:tabs>
          <w:tab w:leader="none" w:pos="255" w:val="left"/>
        </w:tabs>
        <w:numPr>
          <w:ilvl w:val="0"/>
          <w:numId w:val="468"/>
        </w:numPr>
        <w:rPr>
          <w:rFonts w:ascii="Arial" w:cs="Arial" w:eastAsia="Arial" w:hAnsi="Arial"/>
          <w:sz w:val="16"/>
          <w:szCs w:val="16"/>
          <w:color w:val="auto"/>
        </w:rPr>
      </w:pPr>
      <w:r>
        <w:rPr>
          <w:rFonts w:ascii="Arial" w:cs="Arial" w:eastAsia="Arial" w:hAnsi="Arial"/>
          <w:sz w:val="16"/>
          <w:szCs w:val="16"/>
          <w:color w:val="auto"/>
        </w:rPr>
        <w:t>at any other sale, foreclosure or acceptance of collateral in lieu of debt conducted by (or with the consent or at the direction of) the Collateral Agent (whether by judicial action or otherwise) in accordance with any applicable law. In connection with any such credit bid and purchase, the Secured Obligations owed to the Secured Parties shall be entitled to be, and shall be, credit bid by the Collateral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Collateral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Collateral Agent shall be authorized to adopt documents providing for the governance of the acquisition vehicle or vehicles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actions by the Collateral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of this Agreement), (iv) the Collateral Agent on behalf of such acquisition vehicle or vehicles shall be authorized to issue to each of the Secured Parties, ratably on account of the relevant Secured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amount of Secured Obligations credit bid by the acquisition vehicle or otherwise), such Secured Obligations shall automatically be reassigned to the Secured Parties pro rata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Collateral Agent may reasonably request in connection with the formation of any acquisition vehicle, the formulation or submission of any credit bid or the consummation of the transactions contemplated by such credit bid.</w:t>
      </w:r>
    </w:p>
    <w:p>
      <w:pPr>
        <w:spacing w:after="0" w:line="16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u w:val="single" w:color="auto"/>
          <w:color w:val="auto"/>
        </w:rPr>
        <w:t>Quebec Collateral Matters</w:t>
      </w:r>
      <w:r>
        <w:rPr>
          <w:rFonts w:ascii="Arial" w:cs="Arial" w:eastAsia="Arial" w:hAnsi="Arial"/>
          <w:sz w:val="16"/>
          <w:szCs w:val="16"/>
          <w:color w:val="auto"/>
        </w:rPr>
        <w:t>. For the purposes of any grant of security under the laws of the Province of Quebec which may now or in the future be required to be provided by any Credit Party, the Collateral Agent is hereby irrevocably authorized and appointed by each of the Lenders to act as hypothecary representative (within the meaning of Article 2692 of the Civil Code of Quebec) for all present and future Lenders (in such capacity, the “</w:t>
      </w:r>
      <w:r>
        <w:rPr>
          <w:rFonts w:ascii="Arial" w:cs="Arial" w:eastAsia="Arial" w:hAnsi="Arial"/>
          <w:sz w:val="16"/>
          <w:szCs w:val="16"/>
          <w:u w:val="single" w:color="auto"/>
          <w:color w:val="auto"/>
        </w:rPr>
        <w:t>Hypothecary Representative</w:t>
      </w:r>
      <w:r>
        <w:rPr>
          <w:rFonts w:ascii="Arial" w:cs="Arial" w:eastAsia="Arial" w:hAnsi="Arial"/>
          <w:sz w:val="16"/>
          <w:szCs w:val="16"/>
          <w:color w:val="auto"/>
        </w:rPr>
        <w:t>”) in order to hold any hypothec granted under the laws of the Province of Quebec and to exercise such rights and duties as are conferred upon the Hypothecary Representative under the relevant deed of hypothec and applicable laws (with the power to delegate any such rights or duties). Any execution prior to the date hereof by the Collateral Agent in its capacity as the Hypothecary Representative of any deed of hypothec or other security documents made pursuant to the laws of the Province of Quebec, is hereby ratified and confirmed. Any Person who becomes a Lender or successor Collateral Agent shall be deemed to have consented to and ratified the foregoing appointment of the Collateral Agent as the Hypothecary Representative on behalf of all Lenders, including such Person and any Affiliate of such Person designated above as a Lender. For greater certainty, the Collateral Agent, acting as the Hypothecary Representative, shall have the same rights, powers, immunities, indemnities and exclusions from liability as are prescribed in favor of the Collateral Agent in this Agreement, which shall apply mutatis mutandis. In the event of the resignation of the Collateral Agent (which shall include its resignation as the Hypothecary Representative) and appointment of a successor Collateral Agent, such successor Collateral Agent shall also act as the Hypothecary Representative, as contemplated above.</w:t>
      </w:r>
    </w:p>
    <w:p>
      <w:pPr>
        <w:spacing w:after="0" w:line="17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u w:val="single" w:color="auto"/>
          <w:color w:val="auto"/>
        </w:rPr>
        <w:t>Dutch Collateral Matters</w:t>
      </w:r>
      <w:r>
        <w:rPr>
          <w:rFonts w:ascii="Arial" w:cs="Arial" w:eastAsia="Arial" w:hAnsi="Arial"/>
          <w:sz w:val="16"/>
          <w:szCs w:val="16"/>
          <w:color w:val="auto"/>
        </w:rPr>
        <w:t>. The Collateral Agent is hereby authorized to execute and deliver any Collateral Document expressed to be governed by the laws of the Netherlands and agree with the creation of parallel debt obligations of any Dutch Collateral Party (the “</w:t>
      </w:r>
      <w:r>
        <w:rPr>
          <w:rFonts w:ascii="Arial" w:cs="Arial" w:eastAsia="Arial" w:hAnsi="Arial"/>
          <w:sz w:val="16"/>
          <w:szCs w:val="16"/>
          <w:u w:val="single" w:color="auto"/>
          <w:color w:val="auto"/>
        </w:rPr>
        <w:t>Parallel</w:t>
      </w:r>
      <w:r>
        <w:rPr>
          <w:rFonts w:ascii="Arial" w:cs="Arial" w:eastAsia="Arial" w:hAnsi="Arial"/>
          <w:sz w:val="16"/>
          <w:szCs w:val="16"/>
          <w:color w:val="auto"/>
        </w:rPr>
        <w:t xml:space="preserve"> </w:t>
      </w:r>
      <w:r>
        <w:rPr>
          <w:rFonts w:ascii="Arial" w:cs="Arial" w:eastAsia="Arial" w:hAnsi="Arial"/>
          <w:sz w:val="16"/>
          <w:szCs w:val="16"/>
          <w:u w:val="single" w:color="auto"/>
          <w:color w:val="auto"/>
        </w:rPr>
        <w:t>Debt</w:t>
      </w:r>
      <w:r>
        <w:rPr>
          <w:rFonts w:ascii="Arial" w:cs="Arial" w:eastAsia="Arial" w:hAnsi="Arial"/>
          <w:sz w:val="16"/>
          <w:szCs w:val="16"/>
          <w:color w:val="auto"/>
        </w:rPr>
        <w:t xml:space="preserve">”). The Collateral Agent may resign at any time by notifying the Lenders and the Obligors,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parties hereto acknowledge and agree that, for purposes of any Collateral Document expressed to be governed by the laws of the Netherlands, any resignation by the Collateral Agent is not effective with respect to its rights and obligations under the Parallel Debt until such rights and obligations are assigned to the successor agent.</w:t>
      </w:r>
    </w:p>
    <w:p>
      <w:pPr>
        <w:spacing w:after="0" w:line="15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Hungarian Collateral Matters</w:t>
      </w:r>
      <w:r>
        <w:rPr>
          <w:rFonts w:ascii="Arial" w:cs="Arial" w:eastAsia="Arial" w:hAnsi="Arial"/>
          <w:sz w:val="18"/>
          <w:szCs w:val="18"/>
          <w:color w:val="auto"/>
        </w:rPr>
        <w:t>. Solely for the purpose of Security Agreements under the laws of Hungary, each Secured Party hereby irrevocably appoints the</w:t>
      </w:r>
    </w:p>
    <w:p>
      <w:pPr>
        <w:sectPr>
          <w:pgSz w:w="11900" w:h="16838" w:orient="portrait"/>
          <w:cols w:equalWidth="0" w:num="1">
            <w:col w:w="11400"/>
          </w:cols>
          <w:pgMar w:left="240" w:top="125" w:right="259" w:bottom="67"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67" w:gutter="0" w:footer="0" w:header="0"/>
          <w:type w:val="continuous"/>
        </w:sectPr>
      </w:pPr>
    </w:p>
    <w:bookmarkStart w:id="187" w:name="page188"/>
    <w:bookmarkEnd w:id="187"/>
    <w:p>
      <w:pPr>
        <w:ind w:right="60"/>
        <w:spacing w:after="0" w:line="290" w:lineRule="auto"/>
        <w:rPr>
          <w:sz w:val="20"/>
          <w:szCs w:val="20"/>
          <w:color w:val="auto"/>
        </w:rPr>
      </w:pPr>
      <w:r>
        <w:rPr>
          <w:rFonts w:ascii="Arial" w:cs="Arial" w:eastAsia="Arial" w:hAnsi="Arial"/>
          <w:sz w:val="16"/>
          <w:szCs w:val="16"/>
          <w:color w:val="auto"/>
        </w:rPr>
        <w:t>Collateral Agent as its special pledge agent (in Hungarian: “zálogjogosulti bizományos”) under Section 5:96. § of Act V of 2013 on the Civil Code of Hungary (the “</w:t>
      </w:r>
      <w:r>
        <w:rPr>
          <w:rFonts w:ascii="Arial" w:cs="Arial" w:eastAsia="Arial" w:hAnsi="Arial"/>
          <w:sz w:val="16"/>
          <w:szCs w:val="16"/>
          <w:u w:val="single" w:color="auto"/>
          <w:color w:val="auto"/>
        </w:rPr>
        <w:t>Appointment</w:t>
      </w:r>
      <w:r>
        <w:rPr>
          <w:rFonts w:ascii="Arial" w:cs="Arial" w:eastAsia="Arial" w:hAnsi="Arial"/>
          <w:sz w:val="16"/>
          <w:szCs w:val="16"/>
          <w:color w:val="auto"/>
        </w:rPr>
        <w:t>”) and authorizes the Collateral Agent to take such actions on its behalf, including execution of any document and registration of the Appointment in any of the pledge registries of Hungary (“</w:t>
      </w:r>
      <w:r>
        <w:rPr>
          <w:rFonts w:ascii="Arial" w:cs="Arial" w:eastAsia="Arial" w:hAnsi="Arial"/>
          <w:sz w:val="16"/>
          <w:szCs w:val="16"/>
          <w:u w:val="single" w:color="auto"/>
          <w:color w:val="auto"/>
        </w:rPr>
        <w:t>Hungary Pledge Registries</w:t>
      </w:r>
      <w:r>
        <w:rPr>
          <w:rFonts w:ascii="Arial" w:cs="Arial" w:eastAsia="Arial" w:hAnsi="Arial"/>
          <w:sz w:val="16"/>
          <w:szCs w:val="16"/>
          <w:color w:val="auto"/>
        </w:rPr>
        <w:t>”) for the benefit of the Collateral Agent, on behalf of itself and the other Secured Parties including but not limited to the signing of security documents and any amendment, waiver, consent or notice relating thereto, and enforcement or release of any security governed by Hungarian law. The Appointment shall be effective against third parties from the date of the registration of the Appointment in the Hungary Pledge Registries. The Secured Parties (other than the Collateral Agent) shall not be registered in the Hungary Pledge Registries. The Collateral Agent registered in the Hungary Pledge Registries shall exclusively exercise the rights and obligations of the Secured Parties in relation to the Security Agreements under the laws of Hungary in its own name but for the benefit of the Secured Parties.</w:t>
      </w:r>
    </w:p>
    <w:p>
      <w:pPr>
        <w:spacing w:after="0" w:line="166"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18"/>
          <w:szCs w:val="18"/>
          <w:color w:val="auto"/>
        </w:rPr>
        <w:t>SECTION 10.16</w:t>
      </w:r>
      <w:r>
        <w:rPr>
          <w:sz w:val="20"/>
          <w:szCs w:val="20"/>
          <w:color w:val="auto"/>
        </w:rPr>
        <w:tab/>
      </w:r>
      <w:r>
        <w:rPr>
          <w:rFonts w:ascii="Arial" w:cs="Arial" w:eastAsia="Arial" w:hAnsi="Arial"/>
          <w:sz w:val="16"/>
          <w:szCs w:val="16"/>
          <w:u w:val="single" w:color="auto"/>
          <w:color w:val="auto"/>
        </w:rPr>
        <w:t>Swiss Collateral Matters</w:t>
      </w:r>
      <w:r>
        <w:rPr>
          <w:rFonts w:ascii="Arial" w:cs="Arial" w:eastAsia="Arial" w:hAnsi="Arial"/>
          <w:sz w:val="16"/>
          <w:szCs w:val="16"/>
          <w:color w:val="auto"/>
        </w:rPr>
        <w:t>. Without limiting any other rights of the Collateral Agent under this Agreement, in relation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Security Agreements governed by the laws of Switzerland (the “</w:t>
      </w:r>
      <w:r>
        <w:rPr>
          <w:rFonts w:ascii="Arial" w:cs="Arial" w:eastAsia="Arial" w:hAnsi="Arial"/>
          <w:sz w:val="18"/>
          <w:szCs w:val="18"/>
          <w:u w:val="single" w:color="auto"/>
          <w:color w:val="auto"/>
        </w:rPr>
        <w:t>Swiss Security Agreements</w:t>
      </w:r>
      <w:r>
        <w:rPr>
          <w:rFonts w:ascii="Arial" w:cs="Arial" w:eastAsia="Arial" w:hAnsi="Arial"/>
          <w:sz w:val="18"/>
          <w:szCs w:val="18"/>
          <w:color w:val="auto"/>
        </w:rPr>
        <w:t>”) the following shall apply:</w:t>
      </w:r>
    </w:p>
    <w:p>
      <w:pPr>
        <w:spacing w:after="0" w:line="217" w:lineRule="exact"/>
        <w:rPr>
          <w:sz w:val="20"/>
          <w:szCs w:val="20"/>
          <w:color w:val="auto"/>
        </w:rPr>
      </w:pPr>
    </w:p>
    <w:p>
      <w:pPr>
        <w:ind w:left="2000" w:hanging="695"/>
        <w:spacing w:after="0"/>
        <w:tabs>
          <w:tab w:leader="none" w:pos="200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Collateral Agent holds:</w:t>
      </w:r>
    </w:p>
    <w:p>
      <w:pPr>
        <w:spacing w:after="0" w:line="219" w:lineRule="exact"/>
        <w:rPr>
          <w:rFonts w:ascii="Arial" w:cs="Arial" w:eastAsia="Arial" w:hAnsi="Arial"/>
          <w:sz w:val="18"/>
          <w:szCs w:val="18"/>
          <w:color w:val="auto"/>
        </w:rPr>
      </w:pPr>
    </w:p>
    <w:p>
      <w:pPr>
        <w:ind w:left="660" w:right="360" w:firstLine="1293"/>
        <w:spacing w:after="0" w:line="277" w:lineRule="auto"/>
        <w:tabs>
          <w:tab w:leader="none" w:pos="2666" w:val="left"/>
        </w:tabs>
        <w:numPr>
          <w:ilvl w:val="1"/>
          <w:numId w:val="469"/>
        </w:numPr>
        <w:rPr>
          <w:rFonts w:ascii="Arial" w:cs="Arial" w:eastAsia="Arial" w:hAnsi="Arial"/>
          <w:sz w:val="18"/>
          <w:szCs w:val="18"/>
          <w:color w:val="auto"/>
        </w:rPr>
      </w:pPr>
      <w:r>
        <w:rPr>
          <w:rFonts w:ascii="Arial" w:cs="Arial" w:eastAsia="Arial" w:hAnsi="Arial"/>
          <w:sz w:val="18"/>
          <w:szCs w:val="18"/>
          <w:color w:val="auto"/>
        </w:rPr>
        <w:t xml:space="preserve">any Lien constituted by the </w:t>
      </w:r>
      <w:r>
        <w:rPr>
          <w:rFonts w:ascii="Arial" w:cs="Arial" w:eastAsia="Arial" w:hAnsi="Arial"/>
          <w:sz w:val="17"/>
          <w:szCs w:val="17"/>
          <w:color w:val="auto"/>
        </w:rPr>
        <w:t>Swiss Security Agreements</w:t>
      </w:r>
      <w:r>
        <w:rPr>
          <w:rFonts w:ascii="Arial" w:cs="Arial" w:eastAsia="Arial" w:hAnsi="Arial"/>
          <w:sz w:val="18"/>
          <w:szCs w:val="18"/>
          <w:color w:val="auto"/>
        </w:rPr>
        <w:t xml:space="preserve"> (but only in relation to an assignment or transfer for security purposes (</w:t>
      </w:r>
      <w:r>
        <w:rPr>
          <w:rFonts w:ascii="Arial" w:cs="Arial" w:eastAsia="Arial" w:hAnsi="Arial"/>
          <w:sz w:val="18"/>
          <w:szCs w:val="18"/>
          <w:i w:val="1"/>
          <w:iCs w:val="1"/>
          <w:color w:val="auto"/>
        </w:rPr>
        <w:t>Sicherungsübereignung</w:t>
      </w:r>
      <w:r>
        <w:rPr>
          <w:rFonts w:ascii="Arial" w:cs="Arial" w:eastAsia="Arial" w:hAnsi="Arial"/>
          <w:sz w:val="18"/>
          <w:szCs w:val="18"/>
          <w:color w:val="auto"/>
        </w:rPr>
        <w:t>) or any other non-accessory (</w:t>
      </w:r>
      <w:r>
        <w:rPr>
          <w:rFonts w:ascii="Arial" w:cs="Arial" w:eastAsia="Arial" w:hAnsi="Arial"/>
          <w:sz w:val="18"/>
          <w:szCs w:val="18"/>
          <w:i w:val="1"/>
          <w:iCs w:val="1"/>
          <w:color w:val="auto"/>
        </w:rPr>
        <w:t>nicht-akzessorische</w:t>
      </w:r>
      <w:r>
        <w:rPr>
          <w:rFonts w:ascii="Arial" w:cs="Arial" w:eastAsia="Arial" w:hAnsi="Arial"/>
          <w:sz w:val="18"/>
          <w:szCs w:val="18"/>
          <w:color w:val="auto"/>
        </w:rPr>
        <w:t>) Lien;</w:t>
      </w:r>
    </w:p>
    <w:p>
      <w:pPr>
        <w:spacing w:after="0" w:line="176" w:lineRule="exact"/>
        <w:rPr>
          <w:rFonts w:ascii="Arial" w:cs="Arial" w:eastAsia="Arial" w:hAnsi="Arial"/>
          <w:sz w:val="18"/>
          <w:szCs w:val="18"/>
          <w:color w:val="auto"/>
        </w:rPr>
      </w:pPr>
    </w:p>
    <w:p>
      <w:pPr>
        <w:ind w:left="2660" w:hanging="707"/>
        <w:spacing w:after="0"/>
        <w:tabs>
          <w:tab w:leader="none" w:pos="266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the benefit of this paragraph (a); and</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any proceeds of such Lien,</w:t>
      </w:r>
    </w:p>
    <w:p>
      <w:pPr>
        <w:spacing w:after="0" w:line="219" w:lineRule="exact"/>
        <w:rPr>
          <w:sz w:val="20"/>
          <w:szCs w:val="20"/>
          <w:color w:val="auto"/>
        </w:rPr>
      </w:pPr>
    </w:p>
    <w:p>
      <w:pPr>
        <w:ind w:left="1960" w:right="300"/>
        <w:spacing w:after="0" w:line="277" w:lineRule="auto"/>
        <w:rPr>
          <w:sz w:val="20"/>
          <w:szCs w:val="20"/>
          <w:color w:val="auto"/>
        </w:rPr>
      </w:pPr>
      <w:r>
        <w:rPr>
          <w:rFonts w:ascii="Arial" w:cs="Arial" w:eastAsia="Arial" w:hAnsi="Arial"/>
          <w:sz w:val="18"/>
          <w:szCs w:val="18"/>
          <w:color w:val="auto"/>
        </w:rPr>
        <w:t>as fiduciary (</w:t>
      </w:r>
      <w:r>
        <w:rPr>
          <w:rFonts w:ascii="Arial" w:cs="Arial" w:eastAsia="Arial" w:hAnsi="Arial"/>
          <w:sz w:val="18"/>
          <w:szCs w:val="18"/>
          <w:i w:val="1"/>
          <w:iCs w:val="1"/>
          <w:color w:val="auto"/>
        </w:rPr>
        <w:t>treuhänderisch</w:t>
      </w:r>
      <w:r>
        <w:rPr>
          <w:rFonts w:ascii="Arial" w:cs="Arial" w:eastAsia="Arial" w:hAnsi="Arial"/>
          <w:sz w:val="18"/>
          <w:szCs w:val="18"/>
          <w:color w:val="auto"/>
        </w:rPr>
        <w:t>) in its own name but for the account of the Secured Parties which have the benefit of such Lien in accordance with this Agreement and the respective Swiss Security Agreements;</w:t>
      </w:r>
    </w:p>
    <w:p>
      <w:pPr>
        <w:spacing w:after="0" w:line="176" w:lineRule="exact"/>
        <w:rPr>
          <w:sz w:val="20"/>
          <w:szCs w:val="20"/>
          <w:color w:val="auto"/>
        </w:rPr>
      </w:pPr>
    </w:p>
    <w:p>
      <w:pPr>
        <w:ind w:left="2000" w:hanging="695"/>
        <w:spacing w:after="0"/>
        <w:tabs>
          <w:tab w:leader="none" w:pos="200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each present and future Secured Party hereby authorizes the Collateral Agent:</w:t>
      </w:r>
    </w:p>
    <w:p>
      <w:pPr>
        <w:spacing w:after="0" w:line="225" w:lineRule="exact"/>
        <w:rPr>
          <w:sz w:val="20"/>
          <w:szCs w:val="20"/>
          <w:color w:val="auto"/>
        </w:rPr>
      </w:pPr>
    </w:p>
    <w:p>
      <w:pPr>
        <w:ind w:left="2660" w:hanging="707"/>
        <w:spacing w:after="0"/>
        <w:tabs>
          <w:tab w:leader="none" w:pos="266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to accept as its direct representative (</w:t>
      </w:r>
      <w:r>
        <w:rPr>
          <w:rFonts w:ascii="Arial" w:cs="Arial" w:eastAsia="Arial" w:hAnsi="Arial"/>
          <w:sz w:val="17"/>
          <w:szCs w:val="17"/>
          <w:i w:val="1"/>
          <w:iCs w:val="1"/>
          <w:color w:val="auto"/>
        </w:rPr>
        <w:t>direkter Stellvertreter</w:t>
      </w:r>
      <w:r>
        <w:rPr>
          <w:rFonts w:ascii="Arial" w:cs="Arial" w:eastAsia="Arial" w:hAnsi="Arial"/>
          <w:sz w:val="17"/>
          <w:szCs w:val="17"/>
          <w:color w:val="auto"/>
        </w:rPr>
        <w:t>) any Swiss law pledge or any other Swiss law accessory</w:t>
      </w:r>
    </w:p>
    <w:p>
      <w:pPr>
        <w:spacing w:after="0" w:line="29" w:lineRule="exact"/>
        <w:rPr>
          <w:sz w:val="20"/>
          <w:szCs w:val="20"/>
          <w:color w:val="auto"/>
        </w:rPr>
      </w:pPr>
    </w:p>
    <w:p>
      <w:pPr>
        <w:ind w:left="660" w:right="440"/>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akzessorische</w:t>
      </w:r>
      <w:r>
        <w:rPr>
          <w:rFonts w:ascii="Arial" w:cs="Arial" w:eastAsia="Arial" w:hAnsi="Arial"/>
          <w:sz w:val="16"/>
          <w:szCs w:val="16"/>
          <w:color w:val="auto"/>
        </w:rPr>
        <w:t>) Lien made or expressed to be made to such Secured Party in relation to the Swiss Security Agreements, to hold, administer and, if necessary, enforce any such Lien on behalf of each relevant Secured Party which has the benefit of such Lien;</w:t>
      </w:r>
    </w:p>
    <w:p>
      <w:pPr>
        <w:spacing w:after="0" w:line="148" w:lineRule="exact"/>
        <w:rPr>
          <w:sz w:val="20"/>
          <w:szCs w:val="20"/>
          <w:color w:val="auto"/>
        </w:rPr>
      </w:pPr>
    </w:p>
    <w:p>
      <w:pPr>
        <w:ind w:left="660" w:right="20" w:firstLine="1293"/>
        <w:spacing w:after="0" w:line="268" w:lineRule="auto"/>
        <w:tabs>
          <w:tab w:leader="none" w:pos="2671"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to agree as its direct representative (</w:t>
      </w:r>
      <w:r>
        <w:rPr>
          <w:rFonts w:ascii="Arial" w:cs="Arial" w:eastAsia="Arial" w:hAnsi="Arial"/>
          <w:sz w:val="18"/>
          <w:szCs w:val="18"/>
          <w:i w:val="1"/>
          <w:iCs w:val="1"/>
          <w:color w:val="auto"/>
        </w:rPr>
        <w:t>direkter Stellvertreter</w:t>
      </w:r>
      <w:r>
        <w:rPr>
          <w:rFonts w:ascii="Arial" w:cs="Arial" w:eastAsia="Arial" w:hAnsi="Arial"/>
          <w:sz w:val="18"/>
          <w:szCs w:val="18"/>
          <w:color w:val="auto"/>
        </w:rPr>
        <w:t>) to amendments and alterations to any Swiss Security Agreement which creates a pledge or any other Swiss law accessory (</w:t>
      </w:r>
      <w:r>
        <w:rPr>
          <w:rFonts w:ascii="Arial" w:cs="Arial" w:eastAsia="Arial" w:hAnsi="Arial"/>
          <w:sz w:val="18"/>
          <w:szCs w:val="18"/>
          <w:i w:val="1"/>
          <w:iCs w:val="1"/>
          <w:color w:val="auto"/>
        </w:rPr>
        <w:t>akzessorische</w:t>
      </w:r>
      <w:r>
        <w:rPr>
          <w:rFonts w:ascii="Arial" w:cs="Arial" w:eastAsia="Arial" w:hAnsi="Arial"/>
          <w:sz w:val="18"/>
          <w:szCs w:val="18"/>
          <w:color w:val="auto"/>
        </w:rPr>
        <w:t>) Lien;</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240" w:firstLine="1293"/>
        <w:spacing w:after="0" w:line="268" w:lineRule="auto"/>
        <w:tabs>
          <w:tab w:leader="none" w:pos="2676"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to effect as its direct representative (</w:t>
      </w:r>
      <w:r>
        <w:rPr>
          <w:rFonts w:ascii="Arial" w:cs="Arial" w:eastAsia="Arial" w:hAnsi="Arial"/>
          <w:sz w:val="18"/>
          <w:szCs w:val="18"/>
          <w:i w:val="1"/>
          <w:iCs w:val="1"/>
          <w:color w:val="auto"/>
        </w:rPr>
        <w:t>direkter Stellvertreter</w:t>
      </w:r>
      <w:r>
        <w:rPr>
          <w:rFonts w:ascii="Arial" w:cs="Arial" w:eastAsia="Arial" w:hAnsi="Arial"/>
          <w:sz w:val="18"/>
          <w:szCs w:val="18"/>
          <w:color w:val="auto"/>
        </w:rPr>
        <w:t>) any release of a Lien created or evidenced or expressed to be created or evidenced under a Swiss Security Agreement in accordance with this Agreement; and</w:t>
      </w:r>
    </w:p>
    <w:p>
      <w:pPr>
        <w:spacing w:after="0" w:line="180" w:lineRule="exact"/>
        <w:rPr>
          <w:rFonts w:ascii="Arial" w:cs="Arial" w:eastAsia="Arial" w:hAnsi="Arial"/>
          <w:sz w:val="18"/>
          <w:szCs w:val="18"/>
          <w:color w:val="auto"/>
        </w:rPr>
      </w:pPr>
    </w:p>
    <w:p>
      <w:pPr>
        <w:ind w:left="660" w:firstLine="1293"/>
        <w:spacing w:after="0" w:line="277" w:lineRule="auto"/>
        <w:tabs>
          <w:tab w:leader="none" w:pos="2666"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to exercise as its direct representative (</w:t>
      </w:r>
      <w:r>
        <w:rPr>
          <w:rFonts w:ascii="Arial" w:cs="Arial" w:eastAsia="Arial" w:hAnsi="Arial"/>
          <w:sz w:val="18"/>
          <w:szCs w:val="18"/>
          <w:i w:val="1"/>
          <w:iCs w:val="1"/>
          <w:color w:val="auto"/>
        </w:rPr>
        <w:t>direkter Stellvertreter</w:t>
      </w:r>
      <w:r>
        <w:rPr>
          <w:rFonts w:ascii="Arial" w:cs="Arial" w:eastAsia="Arial" w:hAnsi="Arial"/>
          <w:sz w:val="18"/>
          <w:szCs w:val="18"/>
          <w:color w:val="auto"/>
        </w:rPr>
        <w:t>) such other rights granted to the Collateral Agent hereunder or under the relevant Swiss Security Agreement.</w:t>
      </w:r>
    </w:p>
    <w:p>
      <w:pPr>
        <w:spacing w:after="0" w:line="170"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 xml:space="preserve">SECTION 10.17 </w:t>
      </w:r>
      <w:r>
        <w:rPr>
          <w:rFonts w:ascii="Arial" w:cs="Arial" w:eastAsia="Arial" w:hAnsi="Arial"/>
          <w:sz w:val="17"/>
          <w:szCs w:val="17"/>
          <w:u w:val="single" w:color="auto"/>
          <w:color w:val="auto"/>
        </w:rPr>
        <w:t>Intercreditor Agreement</w:t>
      </w:r>
      <w:r>
        <w:rPr>
          <w:rFonts w:ascii="Arial" w:cs="Arial" w:eastAsia="Arial" w:hAnsi="Arial"/>
          <w:sz w:val="17"/>
          <w:szCs w:val="17"/>
          <w:color w:val="auto"/>
        </w:rPr>
        <w:t>. Each Lender hereby (a) authorizes and directs the Collateral Agent to enter into the Intercreditor Agreement on behalf of such Lender, and agrees that the Collateral Agent may take such actions on its behalf as is contemplated by the terms of the Intercreditor Agreement, (b) consents to the subordination of Liens provided for in the Intercreditor Agreement, and (c) agrees that it will be bound by, and will take no actions contrary to, the provisions of the Intercreditor Agreement as if it was a signatory thereto. In the event of any conflict or inconsistency between the provisions of the Intercreditor Agreement and this Agreement, the provisions of the Intercreditor Agreement shall control.</w:t>
      </w:r>
    </w:p>
    <w:p>
      <w:pPr>
        <w:spacing w:after="0" w:line="173"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18"/>
          <w:szCs w:val="18"/>
          <w:color w:val="auto"/>
        </w:rPr>
        <w:t>SECTION 10.18</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9" w:lineRule="auto"/>
        <w:tabs>
          <w:tab w:leader="none" w:pos="1991" w:val="left"/>
        </w:tabs>
        <w:numPr>
          <w:ilvl w:val="0"/>
          <w:numId w:val="474"/>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Lead Arranger and their respective Affiliates, and not, for the avoidance of doubt, to or for the benefit of the Borrowers or any other Loan Party, that at least one of the following is and will be true:</w:t>
      </w:r>
    </w:p>
    <w:p>
      <w:pPr>
        <w:spacing w:after="0" w:line="186" w:lineRule="exact"/>
        <w:rPr>
          <w:rFonts w:ascii="Arial" w:cs="Arial" w:eastAsia="Arial" w:hAnsi="Arial"/>
          <w:sz w:val="18"/>
          <w:szCs w:val="18"/>
          <w:color w:val="auto"/>
        </w:rPr>
      </w:pPr>
    </w:p>
    <w:p>
      <w:pPr>
        <w:ind w:left="660" w:right="100" w:firstLine="1293"/>
        <w:spacing w:after="0" w:line="277" w:lineRule="auto"/>
        <w:tabs>
          <w:tab w:leader="none" w:pos="2666" w:val="left"/>
        </w:tabs>
        <w:numPr>
          <w:ilvl w:val="1"/>
          <w:numId w:val="474"/>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 or the Commitments,</w:t>
      </w:r>
    </w:p>
    <w:p>
      <w:pPr>
        <w:spacing w:after="0" w:line="170" w:lineRule="exact"/>
        <w:rPr>
          <w:rFonts w:ascii="Arial" w:cs="Arial" w:eastAsia="Arial" w:hAnsi="Arial"/>
          <w:sz w:val="18"/>
          <w:szCs w:val="18"/>
          <w:color w:val="auto"/>
        </w:rPr>
      </w:pPr>
    </w:p>
    <w:p>
      <w:pPr>
        <w:ind w:left="660" w:right="100" w:firstLine="1293"/>
        <w:spacing w:after="0" w:line="255" w:lineRule="auto"/>
        <w:tabs>
          <w:tab w:leader="none" w:pos="2671" w:val="left"/>
        </w:tabs>
        <w:numPr>
          <w:ilvl w:val="1"/>
          <w:numId w:val="474"/>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 and the conditions for exemptive relief thereunder are and will continue to be satisfied in connection therewith,</w:t>
      </w:r>
    </w:p>
    <w:p>
      <w:pPr>
        <w:spacing w:after="0" w:line="189" w:lineRule="exact"/>
        <w:rPr>
          <w:rFonts w:ascii="Arial" w:cs="Arial" w:eastAsia="Arial" w:hAnsi="Arial"/>
          <w:sz w:val="18"/>
          <w:szCs w:val="18"/>
          <w:color w:val="auto"/>
        </w:rPr>
      </w:pPr>
    </w:p>
    <w:p>
      <w:pPr>
        <w:ind w:left="660" w:right="20" w:firstLine="1293"/>
        <w:spacing w:after="0" w:line="312" w:lineRule="auto"/>
        <w:tabs>
          <w:tab w:leader="none" w:pos="2677" w:val="left"/>
        </w:tabs>
        <w:numPr>
          <w:ilvl w:val="1"/>
          <w:numId w:val="474"/>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85" w:right="299" w:bottom="72" w:gutter="0" w:footer="0" w:header="0"/>
        </w:sectPr>
      </w:pPr>
    </w:p>
    <w:bookmarkStart w:id="188" w:name="page189"/>
    <w:bookmarkEnd w:id="188"/>
    <w:p>
      <w:pPr>
        <w:ind w:left="652" w:right="180"/>
        <w:spacing w:after="0" w:line="286" w:lineRule="auto"/>
        <w:rPr>
          <w:sz w:val="20"/>
          <w:szCs w:val="20"/>
          <w:color w:val="auto"/>
        </w:rPr>
      </w:pPr>
      <w:r>
        <w:rPr>
          <w:rFonts w:ascii="Arial" w:cs="Arial" w:eastAsia="Arial" w:hAnsi="Arial"/>
          <w:sz w:val="17"/>
          <w:szCs w:val="17"/>
          <w:color w:val="auto"/>
        </w:rPr>
        <w:t>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66" w:lineRule="exact"/>
        <w:rPr>
          <w:sz w:val="20"/>
          <w:szCs w:val="20"/>
          <w:color w:val="auto"/>
        </w:rPr>
      </w:pPr>
    </w:p>
    <w:p>
      <w:pPr>
        <w:ind w:left="652" w:right="200" w:firstLine="1293"/>
        <w:spacing w:after="0" w:line="277" w:lineRule="auto"/>
        <w:tabs>
          <w:tab w:leader="none" w:pos="2658" w:val="left"/>
        </w:tabs>
        <w:numPr>
          <w:ilvl w:val="2"/>
          <w:numId w:val="475"/>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left="-8" w:right="200" w:firstLine="1305"/>
        <w:spacing w:after="0" w:line="291" w:lineRule="auto"/>
        <w:tabs>
          <w:tab w:leader="none" w:pos="1993" w:val="left"/>
        </w:tabs>
        <w:numPr>
          <w:ilvl w:val="1"/>
          <w:numId w:val="476"/>
        </w:numPr>
        <w:rPr>
          <w:rFonts w:ascii="Arial" w:cs="Arial" w:eastAsia="Arial" w:hAnsi="Arial"/>
          <w:sz w:val="16"/>
          <w:szCs w:val="16"/>
          <w:color w:val="auto"/>
        </w:rPr>
      </w:pPr>
      <w:r>
        <w:rPr>
          <w:rFonts w:ascii="Arial" w:cs="Arial" w:eastAsia="Arial" w:hAnsi="Arial"/>
          <w:sz w:val="16"/>
          <w:szCs w:val="16"/>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w:t>
      </w:r>
    </w:p>
    <w:p>
      <w:pPr>
        <w:ind w:left="-8" w:right="60" w:firstLine="8"/>
        <w:spacing w:after="0" w:line="277" w:lineRule="auto"/>
        <w:tabs>
          <w:tab w:leader="none" w:pos="247" w:val="left"/>
        </w:tabs>
        <w:numPr>
          <w:ilvl w:val="0"/>
          <w:numId w:val="477"/>
        </w:numPr>
        <w:rPr>
          <w:rFonts w:ascii="Arial" w:cs="Arial" w:eastAsia="Arial" w:hAnsi="Arial"/>
          <w:sz w:val="17"/>
          <w:szCs w:val="17"/>
          <w:color w:val="auto"/>
        </w:rPr>
      </w:pPr>
      <w:r>
        <w:rPr>
          <w:rFonts w:ascii="Arial" w:cs="Arial" w:eastAsia="Arial" w:hAnsi="Arial"/>
          <w:sz w:val="17"/>
          <w:szCs w:val="17"/>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each Lead Arranger and their respective Affiliates, and not, for the avoidance of doubt, to or for the benefit of the Borrower or any other Loan Party, that:</w:t>
      </w:r>
    </w:p>
    <w:p>
      <w:pPr>
        <w:spacing w:after="0" w:line="173" w:lineRule="exact"/>
        <w:rPr>
          <w:rFonts w:ascii="Arial" w:cs="Arial" w:eastAsia="Arial" w:hAnsi="Arial"/>
          <w:sz w:val="17"/>
          <w:szCs w:val="17"/>
          <w:color w:val="auto"/>
        </w:rPr>
      </w:pPr>
    </w:p>
    <w:p>
      <w:pPr>
        <w:ind w:left="652" w:right="20" w:firstLine="1293"/>
        <w:spacing w:after="0" w:line="264" w:lineRule="auto"/>
        <w:tabs>
          <w:tab w:leader="none" w:pos="2658" w:val="left"/>
        </w:tabs>
        <w:numPr>
          <w:ilvl w:val="2"/>
          <w:numId w:val="477"/>
        </w:numPr>
        <w:rPr>
          <w:rFonts w:ascii="Arial" w:cs="Arial" w:eastAsia="Arial" w:hAnsi="Arial"/>
          <w:sz w:val="18"/>
          <w:szCs w:val="18"/>
          <w:color w:val="auto"/>
        </w:rPr>
      </w:pPr>
      <w:r>
        <w:rPr>
          <w:rFonts w:ascii="Arial" w:cs="Arial" w:eastAsia="Arial" w:hAnsi="Arial"/>
          <w:sz w:val="18"/>
          <w:szCs w:val="18"/>
          <w:color w:val="auto"/>
        </w:rPr>
        <w:t>none of the Administrative Agent, or any Lead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81" w:lineRule="exact"/>
        <w:rPr>
          <w:rFonts w:ascii="Arial" w:cs="Arial" w:eastAsia="Arial" w:hAnsi="Arial"/>
          <w:sz w:val="18"/>
          <w:szCs w:val="18"/>
          <w:color w:val="auto"/>
        </w:rPr>
      </w:pPr>
    </w:p>
    <w:p>
      <w:pPr>
        <w:ind w:left="652" w:right="120" w:firstLine="1293"/>
        <w:spacing w:after="0" w:line="302" w:lineRule="auto"/>
        <w:tabs>
          <w:tab w:leader="none" w:pos="2663" w:val="left"/>
        </w:tabs>
        <w:numPr>
          <w:ilvl w:val="2"/>
          <w:numId w:val="477"/>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Commitments and this Agreement is independent (within the meaning of 29 CFR § 2510.3-21, as amended from time to time) and is a bank, an insurance carrier, an investment adviser, a broker-dealer or other person that holds, or has under management or control, total assets of at least $50,000,000, in each case as described in 29 CFR § 2510.3-21(c)(1)(i)(A)-(E),</w:t>
      </w:r>
    </w:p>
    <w:p>
      <w:pPr>
        <w:spacing w:after="0" w:line="154" w:lineRule="exact"/>
        <w:rPr>
          <w:rFonts w:ascii="Arial" w:cs="Arial" w:eastAsia="Arial" w:hAnsi="Arial"/>
          <w:sz w:val="16"/>
          <w:szCs w:val="16"/>
          <w:color w:val="auto"/>
        </w:rPr>
      </w:pPr>
    </w:p>
    <w:p>
      <w:pPr>
        <w:ind w:left="652" w:right="40" w:firstLine="1293"/>
        <w:spacing w:after="0" w:line="286" w:lineRule="auto"/>
        <w:tabs>
          <w:tab w:leader="none" w:pos="2669" w:val="left"/>
        </w:tabs>
        <w:numPr>
          <w:ilvl w:val="2"/>
          <w:numId w:val="477"/>
        </w:numPr>
        <w:rPr>
          <w:rFonts w:ascii="Arial" w:cs="Arial" w:eastAsia="Arial" w:hAnsi="Arial"/>
          <w:sz w:val="17"/>
          <w:szCs w:val="17"/>
          <w:color w:val="auto"/>
        </w:rPr>
      </w:pPr>
      <w:r>
        <w:rPr>
          <w:rFonts w:ascii="Arial" w:cs="Arial" w:eastAsia="Arial" w:hAnsi="Arial"/>
          <w:sz w:val="17"/>
          <w:szCs w:val="17"/>
          <w:color w:val="auto"/>
        </w:rPr>
        <w:t>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obligations),</w:t>
      </w:r>
    </w:p>
    <w:p>
      <w:pPr>
        <w:spacing w:after="0" w:line="165" w:lineRule="exact"/>
        <w:rPr>
          <w:rFonts w:ascii="Arial" w:cs="Arial" w:eastAsia="Arial" w:hAnsi="Arial"/>
          <w:sz w:val="17"/>
          <w:szCs w:val="17"/>
          <w:color w:val="auto"/>
        </w:rPr>
      </w:pPr>
    </w:p>
    <w:p>
      <w:pPr>
        <w:ind w:left="652" w:right="20" w:firstLine="1293"/>
        <w:spacing w:after="0" w:line="259" w:lineRule="auto"/>
        <w:tabs>
          <w:tab w:leader="none" w:pos="2658" w:val="left"/>
        </w:tabs>
        <w:numPr>
          <w:ilvl w:val="2"/>
          <w:numId w:val="477"/>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w:t>
      </w:r>
    </w:p>
    <w:p>
      <w:pPr>
        <w:spacing w:after="0" w:line="186" w:lineRule="exact"/>
        <w:rPr>
          <w:rFonts w:ascii="Arial" w:cs="Arial" w:eastAsia="Arial" w:hAnsi="Arial"/>
          <w:sz w:val="18"/>
          <w:szCs w:val="18"/>
          <w:color w:val="auto"/>
        </w:rPr>
      </w:pPr>
    </w:p>
    <w:p>
      <w:pPr>
        <w:ind w:left="2652" w:hanging="707"/>
        <w:spacing w:after="0"/>
        <w:tabs>
          <w:tab w:leader="none" w:pos="2652" w:val="left"/>
        </w:tabs>
        <w:numPr>
          <w:ilvl w:val="2"/>
          <w:numId w:val="477"/>
        </w:numPr>
        <w:rPr>
          <w:rFonts w:ascii="Arial" w:cs="Arial" w:eastAsia="Arial" w:hAnsi="Arial"/>
          <w:sz w:val="17"/>
          <w:szCs w:val="17"/>
          <w:color w:val="auto"/>
        </w:rPr>
      </w:pPr>
      <w:r>
        <w:rPr>
          <w:rFonts w:ascii="Arial" w:cs="Arial" w:eastAsia="Arial" w:hAnsi="Arial"/>
          <w:sz w:val="17"/>
          <w:szCs w:val="17"/>
          <w:color w:val="auto"/>
        </w:rPr>
        <w:t>no fee or other compensation is being paid directly to the Administrative Agent, or any Lead Arranger or any of their</w:t>
      </w:r>
    </w:p>
    <w:p>
      <w:pPr>
        <w:spacing w:after="0" w:line="34" w:lineRule="exact"/>
        <w:rPr>
          <w:rFonts w:ascii="Arial" w:cs="Arial" w:eastAsia="Arial" w:hAnsi="Arial"/>
          <w:sz w:val="17"/>
          <w:szCs w:val="17"/>
          <w:color w:val="auto"/>
        </w:rPr>
      </w:pPr>
    </w:p>
    <w:p>
      <w:pPr>
        <w:ind w:left="652"/>
        <w:spacing w:after="0"/>
        <w:rPr>
          <w:rFonts w:ascii="Arial" w:cs="Arial" w:eastAsia="Arial" w:hAnsi="Arial"/>
          <w:sz w:val="17"/>
          <w:szCs w:val="17"/>
          <w:color w:val="auto"/>
        </w:rPr>
      </w:pPr>
      <w:r>
        <w:rPr>
          <w:rFonts w:ascii="Arial" w:cs="Arial" w:eastAsia="Arial" w:hAnsi="Arial"/>
          <w:sz w:val="18"/>
          <w:szCs w:val="18"/>
          <w:color w:val="auto"/>
        </w:rPr>
        <w:t>respective Affiliates for</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investment advice (as opposed to other services) in connection with the Loans, the Commitments or this Agreement.</w:t>
      </w:r>
    </w:p>
    <w:p>
      <w:pPr>
        <w:spacing w:after="0" w:line="225" w:lineRule="exact"/>
        <w:rPr>
          <w:sz w:val="20"/>
          <w:szCs w:val="20"/>
          <w:color w:val="auto"/>
        </w:rPr>
      </w:pPr>
    </w:p>
    <w:p>
      <w:pPr>
        <w:ind w:left="-8" w:right="80" w:firstLine="1305"/>
        <w:spacing w:after="0" w:line="270" w:lineRule="auto"/>
        <w:tabs>
          <w:tab w:leader="none" w:pos="1983" w:val="left"/>
        </w:tabs>
        <w:numPr>
          <w:ilvl w:val="0"/>
          <w:numId w:val="478"/>
        </w:numPr>
        <w:rPr>
          <w:rFonts w:ascii="Arial" w:cs="Arial" w:eastAsia="Arial" w:hAnsi="Arial"/>
          <w:sz w:val="17"/>
          <w:szCs w:val="17"/>
          <w:color w:val="auto"/>
        </w:rPr>
      </w:pPr>
      <w:r>
        <w:rPr>
          <w:rFonts w:ascii="Arial" w:cs="Arial" w:eastAsia="Arial" w:hAnsi="Arial"/>
          <w:sz w:val="17"/>
          <w:szCs w:val="17"/>
          <w:color w:val="auto"/>
        </w:rPr>
        <w:t>The Administrative Agent, and each Lead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fronting fees, deal-away or alternate transaction fees, amendment fees, processing fees, term out premiums, banker’s acceptance fees, breakage or other early termination fees or fees similar to the foregoing.</w:t>
      </w:r>
    </w:p>
    <w:p>
      <w:pPr>
        <w:spacing w:after="0" w:line="1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652"/>
        <w:spacing w:after="0"/>
        <w:tabs>
          <w:tab w:leader="none" w:pos="2272"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u w:val="single" w:color="auto"/>
          <w:color w:val="auto"/>
        </w:rPr>
        <w:t>Waiver; Amendments; Joinder; Removal of Certain Borrowers; Release of Guarantors; Release of Collateral</w:t>
      </w:r>
      <w:r>
        <w:rPr>
          <w:rFonts w:ascii="Arial" w:cs="Arial" w:eastAsia="Arial" w:hAnsi="Arial"/>
          <w:sz w:val="16"/>
          <w:szCs w:val="16"/>
          <w:color w:val="auto"/>
        </w:rPr>
        <w:t>.</w:t>
      </w:r>
    </w:p>
    <w:p>
      <w:pPr>
        <w:spacing w:after="0" w:line="225" w:lineRule="exact"/>
        <w:rPr>
          <w:sz w:val="20"/>
          <w:szCs w:val="20"/>
          <w:color w:val="auto"/>
        </w:rPr>
      </w:pPr>
    </w:p>
    <w:p>
      <w:pPr>
        <w:ind w:left="-8" w:right="20" w:firstLine="1305"/>
        <w:spacing w:after="0" w:line="270" w:lineRule="auto"/>
        <w:tabs>
          <w:tab w:leader="none" w:pos="1983" w:val="left"/>
        </w:tabs>
        <w:numPr>
          <w:ilvl w:val="0"/>
          <w:numId w:val="479"/>
        </w:numPr>
        <w:rPr>
          <w:rFonts w:ascii="Arial" w:cs="Arial" w:eastAsia="Arial" w:hAnsi="Arial"/>
          <w:sz w:val="17"/>
          <w:szCs w:val="17"/>
          <w:color w:val="auto"/>
        </w:rPr>
      </w:pPr>
      <w:r>
        <w:rPr>
          <w:rFonts w:ascii="Arial" w:cs="Arial" w:eastAsia="Arial" w:hAnsi="Arial"/>
          <w:sz w:val="17"/>
          <w:szCs w:val="17"/>
          <w:color w:val="auto"/>
        </w:rPr>
        <w:t xml:space="preserve">No failure or delay by the Administrative Agent, the Collateral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and the Lenders hereunder and under any other Loan Document are cumulative and are not exclusive of any rights or remedies that they would otherwise have. No waiver of any provision of this Agreement or any Collateral Document or consent to any departure by any Obligor therefrom shall in any event be effective unless the same shall be permitted by paragraph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and then such waiver or consent shall be effective only in the specific instance and for the purpose for which given. Without limiting the generality of the foregoing, the making of a Loan shall not be construed as a waiver of any Default or Event of Default, regardless of whether the Administrative Agent, the Collateral Agent or any Lender may have had notice or knowledge of such Default at the time.</w:t>
      </w:r>
    </w:p>
    <w:p>
      <w:pPr>
        <w:spacing w:after="0" w:line="181" w:lineRule="exact"/>
        <w:rPr>
          <w:rFonts w:ascii="Arial" w:cs="Arial" w:eastAsia="Arial" w:hAnsi="Arial"/>
          <w:sz w:val="17"/>
          <w:szCs w:val="17"/>
          <w:color w:val="auto"/>
        </w:rPr>
      </w:pPr>
    </w:p>
    <w:p>
      <w:pPr>
        <w:ind w:left="-8" w:firstLine="1305"/>
        <w:spacing w:after="0" w:line="297" w:lineRule="auto"/>
        <w:tabs>
          <w:tab w:leader="none" w:pos="1993" w:val="left"/>
        </w:tabs>
        <w:numPr>
          <w:ilvl w:val="0"/>
          <w:numId w:val="479"/>
        </w:numPr>
        <w:rPr>
          <w:rFonts w:ascii="Arial" w:cs="Arial" w:eastAsia="Arial" w:hAnsi="Arial"/>
          <w:sz w:val="16"/>
          <w:szCs w:val="16"/>
          <w:color w:val="auto"/>
        </w:rPr>
      </w:pPr>
      <w:r>
        <w:rPr>
          <w:rFonts w:ascii="Arial" w:cs="Arial" w:eastAsia="Arial" w:hAnsi="Arial"/>
          <w:sz w:val="16"/>
          <w:szCs w:val="16"/>
          <w:color w:val="auto"/>
        </w:rPr>
        <w:t xml:space="preserve">Neither this Agreement, any Collateral Document nor any provision hereof or thereof may be waived, amended or modified except pursuant to an agreement or agreements in writing entered into by (i) in the case of this Agreement, the Obligor Parties and the Required Lenders or by the Obligor Parties and the Administrative Agent, with the consent of the Required Lenders or (ii) in the case of any Collateral Document, the Obligors party thereto and the Required Lenders or by such Obligors and the Collateral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Commitment of any Lender without the written consent of such Lender (irrespective of whether such Lender is a</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585" w:right="259" w:bottom="72" w:gutter="0" w:footer="0" w:header="0"/>
        </w:sectPr>
      </w:pPr>
    </w:p>
    <w:bookmarkStart w:id="189" w:name="page190"/>
    <w:bookmarkEnd w:id="189"/>
    <w:p>
      <w:pPr>
        <w:ind w:right="40"/>
        <w:spacing w:after="0" w:line="285" w:lineRule="auto"/>
        <w:rPr>
          <w:sz w:val="20"/>
          <w:szCs w:val="20"/>
          <w:color w:val="auto"/>
        </w:rPr>
      </w:pPr>
      <w:r>
        <w:rPr>
          <w:rFonts w:ascii="Arial" w:cs="Arial" w:eastAsia="Arial" w:hAnsi="Arial"/>
          <w:sz w:val="16"/>
          <w:szCs w:val="16"/>
          <w:color w:val="auto"/>
        </w:rPr>
        <w:t xml:space="preserve">Defaulting Lender), (ii) reduce or forgive the principal amount of any Loan or reduce the rate of interest thereon, or reduce or forgive any interest or fees payable hereunder, without the written consent of each Lender affected thereby (including Defaulting Lenders) (it being understood that only the Required Lenders shall be required to waive or amend the default rate of interest or to change any financial covenant or defined term used therein), (iii) postpone any scheduled date of payment of the principal amount of any Loan, or any date for the payment of any interest, fees or other Obligations payable hereunder, or reduce the amount of, waive or excuse any such payment, or postpone the scheduled date of expiration of any Commitment, without the written consent of each Lender affected thereby (including Defaulting Lenders) (it being understood that only the Required Lenders shall be required to waive or amend the default rate of interest or to change any financial covenant or defined term used therein), (iv) change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4.01(c)</w:t>
      </w:r>
      <w:r>
        <w:rPr>
          <w:rFonts w:ascii="Arial" w:cs="Arial" w:eastAsia="Arial" w:hAnsi="Arial"/>
          <w:sz w:val="16"/>
          <w:szCs w:val="16"/>
          <w:color w:val="auto"/>
        </w:rPr>
        <w:t xml:space="preserve"> in a manner that would alter the pro rata sharing of payments required thereby, without the written consent of each Lender (other than Defaulting Lenders), (v) change any of the provisions of this Section or the definition of “Required Lenders” or any other provision hereof specifying the number or percentage of Lenders required to waive, amend or modify any rights hereunder or make any determination or grant any consent hereunder or thereunder, without the written consent of each Lender (other than Defaulting Lenders), (vi) except as provided in </w:t>
      </w:r>
      <w:r>
        <w:rPr>
          <w:rFonts w:ascii="Arial" w:cs="Arial" w:eastAsia="Arial" w:hAnsi="Arial"/>
          <w:sz w:val="16"/>
          <w:szCs w:val="16"/>
          <w:u w:val="single" w:color="auto"/>
          <w:color w:val="auto"/>
        </w:rPr>
        <w:t>Section 11.01(d)</w:t>
      </w:r>
      <w:r>
        <w:rPr>
          <w:rFonts w:ascii="Arial" w:cs="Arial" w:eastAsia="Arial" w:hAnsi="Arial"/>
          <w:sz w:val="16"/>
          <w:szCs w:val="16"/>
          <w:color w:val="auto"/>
        </w:rPr>
        <w:t xml:space="preserve">, release any Borrower from its joint and several liability for the Obligations, without the written consent of each Lender (other than Defaulting Lenders), (vii) except as provided in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11.01(d)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11.22</w:t>
      </w:r>
      <w:r>
        <w:rPr>
          <w:rFonts w:ascii="Arial" w:cs="Arial" w:eastAsia="Arial" w:hAnsi="Arial"/>
          <w:sz w:val="16"/>
          <w:szCs w:val="16"/>
          <w:color w:val="auto"/>
        </w:rPr>
        <w:t xml:space="preserve">, release all or substantially all of the value of the Guaranty Agreements, taken as a whole, without the written consent of each Lender (other than Defaulting Lenders); (viii) except as provided in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11.01(e)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11.22</w:t>
      </w:r>
      <w:r>
        <w:rPr>
          <w:rFonts w:ascii="Arial" w:cs="Arial" w:eastAsia="Arial" w:hAnsi="Arial"/>
          <w:sz w:val="16"/>
          <w:szCs w:val="16"/>
          <w:color w:val="auto"/>
        </w:rPr>
        <w:t xml:space="preserve"> or in any Collateral Document, release all or substantially all of the Collateral without the written consent of each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such agreement shall amend, modify or otherwise affect the rights or duties of the Administrative Agent, the Collateral Agent or any Swingline Lender hereunder or any Collateral Document without the prior written consent of the Administrative Agent, the Collateral Agent or such Swingline Lender, as the case may be;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such agreement shall amend or modify any provision of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without the consent of the Administrative Agent, each Swingline Lender and the Required Lenders. Subject to the foregoing, the waiver, amendment or modification of any provision of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may be effected with the consent of the Required Lenders. Notwithstanding anything to the contrary herein, this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shall, in respect of a Defaulting Lender, be subject to </w:t>
      </w:r>
      <w:r>
        <w:rPr>
          <w:rFonts w:ascii="Arial" w:cs="Arial" w:eastAsia="Arial" w:hAnsi="Arial"/>
          <w:sz w:val="16"/>
          <w:szCs w:val="16"/>
          <w:u w:val="single" w:color="auto"/>
          <w:color w:val="auto"/>
        </w:rPr>
        <w:t>Section 2.17(b)</w:t>
      </w:r>
      <w:r>
        <w:rPr>
          <w:rFonts w:ascii="Arial" w:cs="Arial" w:eastAsia="Arial" w:hAnsi="Arial"/>
          <w:sz w:val="16"/>
          <w:szCs w:val="16"/>
          <w:color w:val="auto"/>
        </w:rPr>
        <w:t>.</w:t>
      </w:r>
    </w:p>
    <w:p>
      <w:pPr>
        <w:spacing w:after="0" w:line="168" w:lineRule="exact"/>
        <w:rPr>
          <w:sz w:val="20"/>
          <w:szCs w:val="20"/>
          <w:color w:val="auto"/>
        </w:rPr>
      </w:pPr>
    </w:p>
    <w:p>
      <w:pPr>
        <w:ind w:right="180" w:firstLine="1305"/>
        <w:spacing w:after="0" w:line="272" w:lineRule="auto"/>
        <w:tabs>
          <w:tab w:leader="none" w:pos="1991" w:val="left"/>
        </w:tabs>
        <w:numPr>
          <w:ilvl w:val="0"/>
          <w:numId w:val="480"/>
        </w:numPr>
        <w:rPr>
          <w:rFonts w:ascii="Arial" w:cs="Arial" w:eastAsia="Arial" w:hAnsi="Arial"/>
          <w:sz w:val="17"/>
          <w:szCs w:val="17"/>
          <w:color w:val="auto"/>
        </w:rPr>
      </w:pPr>
      <w:r>
        <w:rPr>
          <w:rFonts w:ascii="Arial" w:cs="Arial" w:eastAsia="Arial" w:hAnsi="Arial"/>
          <w:sz w:val="17"/>
          <w:szCs w:val="17"/>
          <w:color w:val="auto"/>
        </w:rPr>
        <w:t xml:space="preserve">From time to time, WIL-Ireland may cause one or more additional Wholly-Owned Subsidiaries to become Borrowers hereunder by delivering, or causing to be delivered, to the Administrative Agent in respect of each applicable Subsidiary, the following, each in form and substance reasonably satisfactory to the Administrative Agent: (i) a Joinder Agreement in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attached hereto, executed and delivered by such Subsidiary (the date of each such Joinder Agreement being referred to herein as a “</w:t>
      </w:r>
      <w:r>
        <w:rPr>
          <w:rFonts w:ascii="Arial" w:cs="Arial" w:eastAsia="Arial" w:hAnsi="Arial"/>
          <w:sz w:val="17"/>
          <w:szCs w:val="17"/>
          <w:u w:val="single" w:color="auto"/>
          <w:color w:val="auto"/>
        </w:rPr>
        <w:t>Joinder Date</w:t>
      </w:r>
      <w:r>
        <w:rPr>
          <w:rFonts w:ascii="Arial" w:cs="Arial" w:eastAsia="Arial" w:hAnsi="Arial"/>
          <w:sz w:val="17"/>
          <w:szCs w:val="17"/>
          <w:color w:val="auto"/>
        </w:rPr>
        <w:t xml:space="preserve">”, which date shall be at least ten days after WIL-Ireland provides notice to the Administrative Agent of its intention to cause such Subsidiary to become a Borrower hereunder), (ii) each of the documents or other closing deliverables specified in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that would have been required to be delivered by or on behalf of such Subsidiary had such Subsidiary been a Borrower on the Effective Date, each such deliverable to be dated as of the applicable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Joinder Date unless otherwise agreed by the Administrative Agent, (iii) replacement Notes dated as of the applicable Joinder Date payable to each Lender for which an existing Note is outstanding on such Joinder Date, (iv) a written confirmation by the Obligors that their guarantee obligations shall apply to the obligations of such Subsidiary under the Loan Documents from and after the Joinder Date, (v) (A) an accounting position paper from the chief accounting officer of WIL-Ireland in form and substance reasonably satisfactory to the Administrative Agent and the Collateral Agent to the effect that (1) the obligations of the Borrowers under the 364-Day Revolving Credit Facility constitute “current liabilities” and (2) the assets compromising the Collateral constitute “current assets”, in each case, as determined in accordance with GAAP and (B) a memorandum or other document from KPMG LLP or another independent certified public accountant of recognized national standing reasonably acceptable to the Administrative Agent and the Collateral Agent in form and substance reasonably satisfactory to the Administrative Agent and the Collateral Agent pursuant to which KPMG LLP or such other independent certified public accountant indicates its concurrence with the accounting classification of the chief accounting officer of WIL-Ireland expressed in the accounting position paper described in the foregoing clause (A), and (vi) such other approvals, opinions or documents as the Administrative Agent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Subsidiary may become a Borrower hereunder pursuant to this paragraph </w:t>
      </w:r>
      <w:r>
        <w:rPr>
          <w:rFonts w:ascii="Arial" w:cs="Arial" w:eastAsia="Arial" w:hAnsi="Arial"/>
          <w:sz w:val="16"/>
          <w:szCs w:val="16"/>
          <w:u w:val="single" w:color="auto"/>
          <w:color w:val="auto"/>
        </w:rPr>
        <w:t>(c)</w:t>
      </w:r>
      <w:r>
        <w:rPr>
          <w:rFonts w:ascii="Arial" w:cs="Arial" w:eastAsia="Arial" w:hAnsi="Arial"/>
          <w:sz w:val="16"/>
          <w:szCs w:val="16"/>
          <w:color w:val="auto"/>
        </w:rPr>
        <w:t xml:space="preserve"> if (x) a Default or Event of Default shall have occurred and be continuing on the applicable Joinder Date, or shall result from the joinder of such Subsidiary as a Borrower on such Joinder Date, or (y) such Subsidiary is not organized under the laws of any jurisdiction of the United States and any Lender notifies the Administrative Agent that such Subsidiary is organized in a jurisdiction in which such Lender and its Affiliates cannot legally lend or do business. Without limiting the foregoing, if the designation of any additional Wholly-Owned Subsidiary as a Borrower hereunder obligates the Administrative Agent or any Lender to comply with “know your customer” or similar regulatory requirements and the information necessary for such compliance is not already available to the Administrative Agent or such Lender, as applicable, WIL-Ireland shall, promptly upon the request of the Administrative Agent or such Lender, as applicable, supply such documentation and other evidence as is reasonably requested by the Administrative Agent or such Lender, as applicable, in order for it to comply with all “know your customer” and/or similar identification procedures required under all applicable laws and regulations. If WIL-Ireland shall designate an additional Wholly-Owned Subsidiary as a Borrower hereunder that is not organized under the laws of any jurisdiction of the United States or Bermuda, WIL-Ireland shall notify the Administrative Agent and the Lenders, on or prior to the Joinder Date applicable to such Subsidiary, of all documentation prescribed by the law of the jurisdiction in which such Subsidiary is organized, tax resident or otherwise located, or any treaty to which any such jurisdiction is a party, as shall permit payments made by such Subsidiary under this Agreement and the other Loan Documents to be made without withholding or at a reduced rate to the extent an exemption or reduction is available under any such applicable law or treaty.</w:t>
      </w:r>
    </w:p>
    <w:p>
      <w:pPr>
        <w:spacing w:after="0" w:line="395" w:lineRule="exact"/>
        <w:rPr>
          <w:sz w:val="20"/>
          <w:szCs w:val="20"/>
          <w:color w:val="auto"/>
        </w:rPr>
      </w:pPr>
    </w:p>
    <w:p>
      <w:pPr>
        <w:ind w:left="2000" w:hanging="695"/>
        <w:spacing w:after="0"/>
        <w:tabs>
          <w:tab w:leader="none" w:pos="2000" w:val="left"/>
        </w:tabs>
        <w:numPr>
          <w:ilvl w:val="1"/>
          <w:numId w:val="481"/>
        </w:numPr>
        <w:rPr>
          <w:rFonts w:ascii="Arial" w:cs="Arial" w:eastAsia="Arial" w:hAnsi="Arial"/>
          <w:sz w:val="17"/>
          <w:szCs w:val="17"/>
          <w:color w:val="auto"/>
        </w:rPr>
      </w:pPr>
      <w:r>
        <w:rPr>
          <w:rFonts w:ascii="Arial" w:cs="Arial" w:eastAsia="Arial" w:hAnsi="Arial"/>
          <w:sz w:val="17"/>
          <w:szCs w:val="17"/>
          <w:color w:val="auto"/>
        </w:rPr>
        <w:t>From time to time, WIL-Ireland may cause any Borrower (other than WIL-Bermuda) to cease to be a Borrower hereunder by</w:t>
      </w:r>
    </w:p>
    <w:p>
      <w:pPr>
        <w:spacing w:after="0" w:line="34" w:lineRule="exact"/>
        <w:rPr>
          <w:rFonts w:ascii="Arial" w:cs="Arial" w:eastAsia="Arial" w:hAnsi="Arial"/>
          <w:sz w:val="17"/>
          <w:szCs w:val="17"/>
          <w:color w:val="auto"/>
        </w:rPr>
      </w:pPr>
    </w:p>
    <w:p>
      <w:pPr>
        <w:ind w:right="40" w:firstLine="8"/>
        <w:spacing w:after="0" w:line="273" w:lineRule="auto"/>
        <w:tabs>
          <w:tab w:leader="none" w:pos="215" w:val="left"/>
        </w:tabs>
        <w:numPr>
          <w:ilvl w:val="0"/>
          <w:numId w:val="482"/>
        </w:numPr>
        <w:rPr>
          <w:rFonts w:ascii="Arial" w:cs="Arial" w:eastAsia="Arial" w:hAnsi="Arial"/>
          <w:sz w:val="17"/>
          <w:szCs w:val="17"/>
          <w:color w:val="auto"/>
        </w:rPr>
      </w:pPr>
      <w:r>
        <w:rPr>
          <w:rFonts w:ascii="Arial" w:cs="Arial" w:eastAsia="Arial" w:hAnsi="Arial"/>
          <w:sz w:val="17"/>
          <w:szCs w:val="17"/>
          <w:color w:val="auto"/>
        </w:rPr>
        <w:t>delivering to the Administrative Agent a notice to such effect, specifying the identity of the applicable Borrower and the proposed date on which such Borrower shall no longer be a Borrower hereunder, which date shall be no earlier than three Business Days after delivery of such notice (each such date being referred to herein as a “</w:t>
      </w:r>
      <w:r>
        <w:rPr>
          <w:rFonts w:ascii="Arial" w:cs="Arial" w:eastAsia="Arial" w:hAnsi="Arial"/>
          <w:sz w:val="17"/>
          <w:szCs w:val="17"/>
          <w:u w:val="single" w:color="auto"/>
          <w:color w:val="auto"/>
        </w:rPr>
        <w:t>Borrower Removal Date</w:t>
      </w:r>
      <w:r>
        <w:rPr>
          <w:rFonts w:ascii="Arial" w:cs="Arial" w:eastAsia="Arial" w:hAnsi="Arial"/>
          <w:sz w:val="17"/>
          <w:szCs w:val="17"/>
          <w:color w:val="auto"/>
        </w:rPr>
        <w:t>”) and (ii) delivering, or causing to be delivered, to the Administrative Agent replacement Notes dated as of the applicable Borrower Removal Date payable to each Lender for which an existing Note is outstanding on such Borrower Removal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Date, executed by WIL-Bermuda and each other Borrower that shall not cease to be a Borrower on such Borrower Removal Date, in form and substance reasonably satisfactory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Borrower may cease to be a Borrower hereunder pursuant to this </w:t>
      </w:r>
      <w:r>
        <w:rPr>
          <w:rFonts w:ascii="Arial" w:cs="Arial" w:eastAsia="Arial" w:hAnsi="Arial"/>
          <w:sz w:val="16"/>
          <w:szCs w:val="16"/>
          <w:u w:val="single" w:color="auto"/>
          <w:color w:val="auto"/>
        </w:rPr>
        <w:t>Section 11.01(d)</w:t>
      </w:r>
      <w:r>
        <w:rPr>
          <w:rFonts w:ascii="Arial" w:cs="Arial" w:eastAsia="Arial" w:hAnsi="Arial"/>
          <w:sz w:val="16"/>
          <w:szCs w:val="16"/>
          <w:color w:val="auto"/>
        </w:rPr>
        <w:t xml:space="preserve"> if a Default or Event of Default shall have occurred and be continuing on the applicable Borrower Removal Date, or shall result from such Borrower ceasing to be a Borrower hereunder on such Borrower Removal Date. Upon satisfaction of the conditions set forth in the preceding sentence, on the applicable Borrower Removal Date, the applicable Borrower shall no longer be a “Borrower”, an “Obligor” or an “Obligor Party” hereunder or under any other Loan Document.</w:t>
      </w:r>
    </w:p>
    <w:p>
      <w:pPr>
        <w:sectPr>
          <w:pgSz w:w="11900" w:h="16838" w:orient="portrait"/>
          <w:cols w:equalWidth="0" w:num="1">
            <w:col w:w="11420"/>
          </w:cols>
          <w:pgMar w:left="240" w:top="584" w:right="239" w:bottom="0" w:gutter="0" w:footer="0" w:header="0"/>
        </w:sectPr>
      </w:pPr>
    </w:p>
    <w:bookmarkStart w:id="190" w:name="page191"/>
    <w:bookmarkEnd w:id="190"/>
    <w:p>
      <w:pPr>
        <w:spacing w:after="0" w:line="1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Notwithstanding anything to the contrary contained herein, in the event that any Borrower shall cease to be a Borrower hereunder in accordance with this </w:t>
      </w:r>
      <w:r>
        <w:rPr>
          <w:rFonts w:ascii="Arial" w:cs="Arial" w:eastAsia="Arial" w:hAnsi="Arial"/>
          <w:sz w:val="18"/>
          <w:szCs w:val="18"/>
          <w:u w:val="single" w:color="auto"/>
          <w:color w:val="auto"/>
        </w:rPr>
        <w:t>Section 11.01(d)</w:t>
      </w:r>
      <w:r>
        <w:rPr>
          <w:rFonts w:ascii="Arial" w:cs="Arial" w:eastAsia="Arial" w:hAnsi="Arial"/>
          <w:sz w:val="18"/>
          <w:szCs w:val="18"/>
          <w:color w:val="auto"/>
        </w:rPr>
        <w:t>, the other Obligors shall remain jointly and severally liable with respect to each Loan made to such Borrower outstanding on the applicable Borrower Removal Date.</w:t>
      </w:r>
    </w:p>
    <w:p>
      <w:pPr>
        <w:spacing w:after="0" w:line="181" w:lineRule="exact"/>
        <w:rPr>
          <w:sz w:val="20"/>
          <w:szCs w:val="20"/>
          <w:color w:val="auto"/>
        </w:rPr>
      </w:pPr>
    </w:p>
    <w:p>
      <w:pPr>
        <w:ind w:right="40" w:firstLine="1305"/>
        <w:spacing w:after="0" w:line="286" w:lineRule="auto"/>
        <w:tabs>
          <w:tab w:leader="none" w:pos="1991" w:val="left"/>
        </w:tabs>
        <w:numPr>
          <w:ilvl w:val="0"/>
          <w:numId w:val="483"/>
        </w:numPr>
        <w:rPr>
          <w:rFonts w:ascii="Arial" w:cs="Arial" w:eastAsia="Arial" w:hAnsi="Arial"/>
          <w:sz w:val="16"/>
          <w:szCs w:val="16"/>
          <w:color w:val="auto"/>
        </w:rPr>
      </w:pPr>
      <w:r>
        <w:rPr>
          <w:rFonts w:ascii="Arial" w:cs="Arial" w:eastAsia="Arial" w:hAnsi="Arial"/>
          <w:sz w:val="16"/>
          <w:szCs w:val="16"/>
          <w:color w:val="auto"/>
        </w:rPr>
        <w:t xml:space="preserve">Any Liens granted to the Collateral Agent by the Obligors shall be automatically released on any Collateral (i) upon Payment in Full, (ii) constituting property being Disposed of in compliance with the terms of this Agreement (other than property Disposed of to a Restricted Subsidiary organized in a Specified Jurisdiction), (iii) constituting property leased to WIL-Ireland or any Subsidiary under a lease which has expired or been terminated in a transaction permitted under this Agreement, or (iv) as required to effect any Disposition of such Collateral in connection with any exercise of remedies of the Collateral Agent, the Administrative Agent and the Lenders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in any case set forth above, promptly upon receipt of a written request therefor from the Borrower, the Collateral Agent will execute and deliver all documents as may reasonably be requested to evidence such release. Any such release shall not in any manner discharge, affect, or impair the Obligations or any Liens (other than those expressly being released) upon (or obligations of the Obligors in respect of) all interests retained by the Obligors, including the proceeds of any Disposition, all of which shall continue to constitute part of the Collateral. In addition, each of the Lenders, on behalf of itself and any of its Affiliates that are Secured Parties, irrevocably authorizes the Collateral Agent, at its option and in its discretion, (i) to subordinate any Lien on any assets granted to or held by the Collateral Agent under any Loan Document to the holder of any Lien on such property that is permitted by clause (g) or (k) of the definition of “Permitted Liens” or (ii) in the event that WIL-Ireland shall have advised the Collateral Agent that, notwithstanding the use by WIL-Ireland of commercially reasonable efforts to obtain the consent of such holder (but without the requirement to pay any sums to obtain such consent) to permit the Collateral Agent to retain its liens (on a subordinated basis as contemplated by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the holder of such other Indebtedness requires, as a condition to the extension of such credit, that the Liens on such assets granted to or held by the Collateral Agent under any Loan Document be released, to release the Collateral Agent’s Liens on such assets.</w:t>
      </w:r>
    </w:p>
    <w:p>
      <w:pPr>
        <w:spacing w:after="0" w:line="168" w:lineRule="exact"/>
        <w:rPr>
          <w:rFonts w:ascii="Arial" w:cs="Arial" w:eastAsia="Arial" w:hAnsi="Arial"/>
          <w:sz w:val="16"/>
          <w:szCs w:val="16"/>
          <w:color w:val="auto"/>
        </w:rPr>
      </w:pPr>
    </w:p>
    <w:p>
      <w:pPr>
        <w:ind w:right="100" w:firstLine="1305"/>
        <w:spacing w:after="0" w:line="259" w:lineRule="auto"/>
        <w:tabs>
          <w:tab w:leader="none" w:pos="2016" w:val="left"/>
        </w:tabs>
        <w:numPr>
          <w:ilvl w:val="0"/>
          <w:numId w:val="483"/>
        </w:numPr>
        <w:rPr>
          <w:rFonts w:ascii="Arial" w:cs="Arial" w:eastAsia="Arial" w:hAnsi="Arial"/>
          <w:sz w:val="18"/>
          <w:szCs w:val="18"/>
          <w:color w:val="auto"/>
        </w:rPr>
      </w:pPr>
      <w:r>
        <w:rPr>
          <w:rFonts w:ascii="Arial" w:cs="Arial" w:eastAsia="Arial" w:hAnsi="Arial"/>
          <w:sz w:val="18"/>
          <w:szCs w:val="18"/>
          <w:color w:val="auto"/>
        </w:rPr>
        <w:t>Notwithstanding anything herein to the contrary, (i) if the Administrative Agent and WIL-Bermuda acting together identify any ambiguity, omission, mistake, typographical error or other defect in any provision of this Agreement, then the Administrative Agent and WIL-Bermuda shall be permitted to amend, modify or supplement such provision to cure such ambiguity, omission, mistake, typographical error or other defect, and such amendment shall become effective without any further action or consent of any other party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this Agreement and (ii) if the Collateral Agent and WIL-Bermuda acting together identify any ambiguity, omission, mistake, typographical error or other defect in any provision of any Collateral Document, then the Collateral Agent and WIL-Bermuda (with prior written notice to the Administrative Agent) shall be permitted to amend, modify or supplement such provision to cure such ambiguity, omission, mistake, typographical error or other defect, and such amendment shall become effective without any further action or consent of any other party to the applicable Collateral Document.</w:t>
      </w:r>
    </w:p>
    <w:p>
      <w:pPr>
        <w:spacing w:after="0" w:line="171" w:lineRule="exact"/>
        <w:rPr>
          <w:sz w:val="20"/>
          <w:szCs w:val="20"/>
          <w:color w:val="auto"/>
        </w:rPr>
      </w:pPr>
    </w:p>
    <w:p>
      <w:pPr>
        <w:ind w:left="660"/>
        <w:spacing w:after="0"/>
        <w:tabs>
          <w:tab w:leader="none" w:pos="228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left="2000" w:hanging="695"/>
        <w:spacing w:after="0"/>
        <w:tabs>
          <w:tab w:leader="none" w:pos="20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Except in the case of notices and other communications expressly permitted to be given by telephone (and subject to</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paragraph (b) below), all notices and other communications provided for herein shall be in writing and shall be delivered by hand or overnight courier service, mailed by certified or registered mail or sent by electronic transmission (in .pdf format), as follows:</w:t>
      </w:r>
    </w:p>
    <w:p>
      <w:pPr>
        <w:spacing w:after="0" w:line="184" w:lineRule="exact"/>
        <w:rPr>
          <w:sz w:val="20"/>
          <w:szCs w:val="20"/>
          <w:color w:val="auto"/>
        </w:rPr>
      </w:pPr>
    </w:p>
    <w:p>
      <w:pPr>
        <w:ind w:left="2660" w:hanging="707"/>
        <w:spacing w:after="0"/>
        <w:tabs>
          <w:tab w:leader="none" w:pos="266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if to any Borrower or Guarantor, to it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Weatherford International,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(713) 836-4000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LegalWeatherford@weatherford.com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Weatherford International,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(713) 836-7460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Mark.Rothleitner@weatherford.com and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Josh.Silverman@weatherford.com;</w:t>
      </w:r>
    </w:p>
    <w:p>
      <w:pPr>
        <w:spacing w:after="0" w:line="211" w:lineRule="exact"/>
        <w:rPr>
          <w:sz w:val="20"/>
          <w:szCs w:val="20"/>
          <w:color w:val="auto"/>
        </w:rPr>
      </w:pPr>
    </w:p>
    <w:p>
      <w:pPr>
        <w:ind w:left="2660" w:hanging="707"/>
        <w:spacing w:after="0"/>
        <w:tabs>
          <w:tab w:leader="none" w:pos="266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if to the Administrative Agent or to JPMorgan, in its capacity as a Swingline Lender, to it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Chase Tower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CLS Unit: MC Loan &amp; Agency 7th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21 S. Clark</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Chicago, IL 60603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April Yebd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(312) 732-2628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(888) 208-7168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jpm.agency.servicing.6@jpmchase.com;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680" w:hanging="727"/>
        <w:spacing w:after="0"/>
        <w:tabs>
          <w:tab w:leader="none" w:pos="268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if to the Collateral Agent, to it at:</w:t>
      </w:r>
    </w:p>
    <w:p>
      <w:pPr>
        <w:sectPr>
          <w:pgSz w:w="11900" w:h="16851" w:orient="portrait"/>
          <w:cols w:equalWidth="0" w:num="1">
            <w:col w:w="11420"/>
          </w:cols>
          <w:pgMar w:left="240" w:top="125" w:right="239" w:bottom="0" w:gutter="0" w:footer="0" w:header="0"/>
          <w:type w:val="continuous"/>
        </w:sectPr>
      </w:pPr>
    </w:p>
    <w:bookmarkStart w:id="191" w:name="page192"/>
    <w:bookmarkEnd w:id="191"/>
    <w:p>
      <w:pPr>
        <w:spacing w:after="0" w:line="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Morgan Stanley Senior Funding,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1300 Thames Street, 4th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Thames Street Wharf</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Baltimore, MD 21231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Brian Swiech</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+1 443 627-6871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DOCS4LOANS@morganstanley.com and Brian.Swiech@morganstanley.com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to the Administrative Agent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Chase Tower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CLS Unit: MC Loan &amp; Agency 7th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21 S. Clark</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Chicago, IL 60603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April Yebd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(312) 732-2628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(888) 208-7168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jpm.agency.servicing.6@jpmchase.com; and</w:t>
      </w:r>
    </w:p>
    <w:p>
      <w:pPr>
        <w:spacing w:after="0" w:line="211" w:lineRule="exact"/>
        <w:rPr>
          <w:sz w:val="20"/>
          <w:szCs w:val="20"/>
          <w:color w:val="auto"/>
        </w:rPr>
      </w:pPr>
    </w:p>
    <w:p>
      <w:pPr>
        <w:ind w:left="2700" w:hanging="747"/>
        <w:spacing w:after="0"/>
        <w:tabs>
          <w:tab w:leader="none" w:pos="27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if to any Lender, to it at its address (or facsimile number) set forth in its Administrative Questionnaire.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to the extent provided in paragraph (b) below, shall be effective as provided in said paragraph (b).</w:t>
      </w:r>
    </w:p>
    <w:p>
      <w:pPr>
        <w:spacing w:after="0" w:line="187" w:lineRule="exact"/>
        <w:rPr>
          <w:sz w:val="20"/>
          <w:szCs w:val="20"/>
          <w:color w:val="auto"/>
        </w:rPr>
      </w:pPr>
    </w:p>
    <w:p>
      <w:pPr>
        <w:ind w:right="100" w:firstLine="1305"/>
        <w:spacing w:after="0" w:line="257" w:lineRule="auto"/>
        <w:tabs>
          <w:tab w:leader="none" w:pos="2001" w:val="left"/>
        </w:tabs>
        <w:numPr>
          <w:ilvl w:val="0"/>
          <w:numId w:val="489"/>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hereunder may be delivered or furnished by Electronic Systems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unless otherwise agreed by the Administrative Agent and the applicable Lenders. The Administrative Agent or any Obligor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47" w:lineRule="exact"/>
        <w:rPr>
          <w:sz w:val="20"/>
          <w:szCs w:val="20"/>
          <w:color w:val="auto"/>
        </w:rPr>
      </w:pPr>
    </w:p>
    <w:p>
      <w:pPr>
        <w:ind w:left="2000" w:hanging="695"/>
        <w:spacing w:after="0"/>
        <w:tabs>
          <w:tab w:leader="none" w:pos="2000" w:val="left"/>
        </w:tabs>
        <w:numPr>
          <w:ilvl w:val="0"/>
          <w:numId w:val="490"/>
        </w:numPr>
        <w:rPr>
          <w:rFonts w:ascii="Arial" w:cs="Arial" w:eastAsia="Arial" w:hAnsi="Arial"/>
          <w:sz w:val="16"/>
          <w:szCs w:val="16"/>
          <w:color w:val="auto"/>
        </w:rPr>
      </w:pPr>
      <w:r>
        <w:rPr>
          <w:rFonts w:ascii="Arial" w:cs="Arial" w:eastAsia="Arial" w:hAnsi="Arial"/>
          <w:sz w:val="16"/>
          <w:szCs w:val="16"/>
          <w:color w:val="auto"/>
        </w:rPr>
        <w:t>Any party hereto may change its address or telecopy number for notices and other communications hereunder by notice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parties hereto.</w:t>
      </w:r>
    </w:p>
    <w:p>
      <w:pPr>
        <w:spacing w:after="0" w:line="210" w:lineRule="exact"/>
        <w:rPr>
          <w:rFonts w:ascii="Arial" w:cs="Arial" w:eastAsia="Arial" w:hAnsi="Arial"/>
          <w:sz w:val="16"/>
          <w:szCs w:val="16"/>
          <w:color w:val="auto"/>
        </w:rPr>
      </w:pPr>
    </w:p>
    <w:p>
      <w:pPr>
        <w:ind w:right="260" w:firstLine="1305"/>
        <w:spacing w:after="0" w:line="308" w:lineRule="auto"/>
        <w:tabs>
          <w:tab w:leader="none" w:pos="2001" w:val="left"/>
        </w:tabs>
        <w:numPr>
          <w:ilvl w:val="0"/>
          <w:numId w:val="490"/>
        </w:numPr>
        <w:rPr>
          <w:rFonts w:ascii="Arial" w:cs="Arial" w:eastAsia="Arial" w:hAnsi="Arial"/>
          <w:sz w:val="17"/>
          <w:szCs w:val="17"/>
          <w:color w:val="auto"/>
        </w:rPr>
      </w:pPr>
      <w:r>
        <w:rPr>
          <w:rFonts w:ascii="Arial" w:cs="Arial" w:eastAsia="Arial" w:hAnsi="Arial"/>
          <w:sz w:val="17"/>
          <w:szCs w:val="17"/>
          <w:color w:val="auto"/>
        </w:rPr>
        <w:t>The Administrative Agent shall deliver to any Borrower, upon written request, the address and facsimile number of any Lender and the name of the appropriate contact person at such Lender, in each case as provided in such Lender’s Administrative Questionnaire.</w:t>
      </w:r>
    </w:p>
    <w:p>
      <w:pPr>
        <w:spacing w:after="0" w:line="146" w:lineRule="exact"/>
        <w:rPr>
          <w:rFonts w:ascii="Arial" w:cs="Arial" w:eastAsia="Arial" w:hAnsi="Arial"/>
          <w:sz w:val="17"/>
          <w:szCs w:val="17"/>
          <w:color w:val="auto"/>
        </w:rPr>
      </w:pPr>
    </w:p>
    <w:p>
      <w:pPr>
        <w:ind w:left="2000" w:hanging="695"/>
        <w:spacing w:after="0"/>
        <w:tabs>
          <w:tab w:leader="none" w:pos="200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Electronic Systems.</w:t>
      </w:r>
    </w:p>
    <w:p>
      <w:pPr>
        <w:spacing w:after="0" w:line="225" w:lineRule="exact"/>
        <w:rPr>
          <w:rFonts w:ascii="Arial" w:cs="Arial" w:eastAsia="Arial" w:hAnsi="Arial"/>
          <w:sz w:val="18"/>
          <w:szCs w:val="18"/>
          <w:color w:val="auto"/>
        </w:rPr>
      </w:pPr>
    </w:p>
    <w:p>
      <w:pPr>
        <w:ind w:left="660" w:right="140" w:firstLine="1293"/>
        <w:spacing w:after="0" w:line="264" w:lineRule="auto"/>
        <w:tabs>
          <w:tab w:leader="none" w:pos="2666" w:val="left"/>
        </w:tabs>
        <w:numPr>
          <w:ilvl w:val="1"/>
          <w:numId w:val="490"/>
        </w:numPr>
        <w:rPr>
          <w:rFonts w:ascii="Arial" w:cs="Arial" w:eastAsia="Arial" w:hAnsi="Arial"/>
          <w:sz w:val="18"/>
          <w:szCs w:val="18"/>
          <w:color w:val="auto"/>
        </w:rPr>
      </w:pPr>
      <w:r>
        <w:rPr>
          <w:rFonts w:ascii="Arial" w:cs="Arial" w:eastAsia="Arial" w:hAnsi="Arial"/>
          <w:sz w:val="18"/>
          <w:szCs w:val="18"/>
          <w:color w:val="auto"/>
        </w:rPr>
        <w:t>Each Borrower agrees that the Administrative Agent or the Collateral Agent may, but shall not be obligated to, make Communications (as defined below) available to the other Lenders by posting the Communications on Debt Domain, Intralinks, Syndtrak, ClearPar or a substantially similar Electronic System.</w:t>
      </w:r>
    </w:p>
    <w:p>
      <w:pPr>
        <w:spacing w:after="0" w:line="181" w:lineRule="exact"/>
        <w:rPr>
          <w:rFonts w:ascii="Arial" w:cs="Arial" w:eastAsia="Arial" w:hAnsi="Arial"/>
          <w:sz w:val="18"/>
          <w:szCs w:val="18"/>
          <w:color w:val="auto"/>
        </w:rPr>
      </w:pPr>
    </w:p>
    <w:p>
      <w:pPr>
        <w:ind w:left="660" w:right="20" w:firstLine="1293"/>
        <w:spacing w:after="0" w:line="287" w:lineRule="auto"/>
        <w:tabs>
          <w:tab w:leader="none" w:pos="2671" w:val="left"/>
        </w:tabs>
        <w:numPr>
          <w:ilvl w:val="1"/>
          <w:numId w:val="490"/>
        </w:numPr>
        <w:rPr>
          <w:rFonts w:ascii="Arial" w:cs="Arial" w:eastAsia="Arial" w:hAnsi="Arial"/>
          <w:sz w:val="16"/>
          <w:szCs w:val="16"/>
          <w:color w:val="auto"/>
        </w:rPr>
      </w:pPr>
      <w:r>
        <w:rPr>
          <w:rFonts w:ascii="Arial" w:cs="Arial" w:eastAsia="Arial" w:hAnsi="Arial"/>
          <w:sz w:val="16"/>
          <w:szCs w:val="16"/>
          <w:color w:val="auto"/>
        </w:rPr>
        <w:t>Any Electronic System used by the Administrative Agent or the Collateral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the Collateral Agent or any of their respective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have any liability to any Obligor, any Lender or any other Person or entity for damages of any kind, including direct or indirect, special, incidental or consequential damages, losses or expenses (whether in tort, contract or otherwise) arising out of any Obligor’s or the Administrative Agent’s or Collateral Agent’s transmission of Communications through an Electronic System. “Communications” means, collectively, any notice, demand, communication, information, document or other material provided by or on behalf of any Obligor pursuant to any Loan Document or the transactions contemplated therein which is distributed by the Administrative Agent, the Collateral Agent or any Lender by means of electronic communications pursuant to this Section, including through an Electronic System.</w:t>
      </w:r>
    </w:p>
    <w:p>
      <w:pPr>
        <w:spacing w:after="0" w:line="17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Expenses, Etc.</w:t>
      </w:r>
      <w:r>
        <w:rPr>
          <w:rFonts w:ascii="Arial" w:cs="Arial" w:eastAsia="Arial" w:hAnsi="Arial"/>
          <w:sz w:val="18"/>
          <w:szCs w:val="18"/>
          <w:color w:val="auto"/>
        </w:rPr>
        <w:t xml:space="preserve"> The Borrowers, jointly and severally, shall pay (a) all reasonable and documented out-of-pocket expenses incurred by the Administrative Agent, the Collateral Agent and their respective Affiliates, including the reasonable and documented or invoiced fees, charges and disbursements of counsel for each of the Administrative Agent and the Collateral Agent, in connection with the syndication and distribution (including via the internet or through a services such as Intralinks) of the credit facilities provided for herein, the preparation, registration and administration of this Agreement and the other Loan Documents or</w:t>
      </w:r>
    </w:p>
    <w:p>
      <w:pPr>
        <w:sectPr>
          <w:pgSz w:w="11900" w:h="16843" w:orient="portrait"/>
          <w:cols w:equalWidth="0" w:num="1">
            <w:col w:w="11420"/>
          </w:cols>
          <w:pgMar w:left="240" w:top="341" w:right="239" w:bottom="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 xml:space="preserve">any amendments, modifications or waivers of the provisions hereof or thereof (whether or not the transactions contemplated hereby or thereby shall be consummated), (b) all reasonable and documented out-of-pocket expenses incurred by JPMorgan, Morgan Stanley and their respective Affiliates, including the reasonable and documented or invoiced fees, charges and disbursements of counsel for each of JPMorgan and Morgan Stanley, in connection with the syndication and structuring of the credit facilities provided for herein, (c) all transfer, stamp, documentary or other similar taxes, assessments or charges levied by any governmental or revenue authority in respect of this Agreement or any other Loan Document or any other document referred to herein or therein, and (d) all documented out-of-pocket expenses incurred by the Administrative Agent, the Collateral Agent and/or any Lender (including the documented or invoiced fees, disbursements and other charges of (i) any counsel for each of the Administrative Agent and the Collateral Agent (which, for the avoidance of doubt, may include counsel in foreign jurisdictions) and (ii) one counsel to the Lenders licensed in the State of New York and licensed in each jurisdiction (including any state) where any Obligor or any Subsidiary of an Obligor is organized, has its chief executive office or has assets with a material value) in connection with the enforcement, collection or protection of its rights in connection with this Agreement or any other Loan Document, including its rights under this Section, or in connection with the Loans made hereunder, including all such out-of-pocket expenses incurred during any workout, restructuring or negotiations in respect of such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Defaulting Lender will not be reimbursed for its costs and expenses related to the replacement of such Defaulting Lender or other matters incidental thereto.</w:t>
      </w:r>
    </w:p>
    <w:p>
      <w:pPr>
        <w:spacing w:after="0" w:line="188" w:lineRule="exact"/>
        <w:rPr>
          <w:sz w:val="20"/>
          <w:szCs w:val="20"/>
          <w:color w:val="auto"/>
        </w:rPr>
      </w:pPr>
    </w:p>
    <w:p>
      <w:pPr>
        <w:ind w:left="660"/>
        <w:spacing w:after="0"/>
        <w:tabs>
          <w:tab w:leader="none" w:pos="228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7"/>
          <w:szCs w:val="17"/>
          <w:u w:val="single" w:color="auto"/>
          <w:color w:val="auto"/>
        </w:rPr>
        <w:t>Indemnity</w:t>
      </w:r>
      <w:r>
        <w:rPr>
          <w:rFonts w:ascii="Arial" w:cs="Arial" w:eastAsia="Arial" w:hAnsi="Arial"/>
          <w:sz w:val="17"/>
          <w:szCs w:val="17"/>
          <w:color w:val="auto"/>
        </w:rPr>
        <w:t>.</w:t>
      </w:r>
    </w:p>
    <w:p>
      <w:pPr>
        <w:spacing w:after="0" w:line="225" w:lineRule="exact"/>
        <w:rPr>
          <w:sz w:val="20"/>
          <w:szCs w:val="20"/>
          <w:color w:val="auto"/>
        </w:rPr>
      </w:pPr>
    </w:p>
    <w:p>
      <w:pPr>
        <w:ind w:right="20" w:firstLine="1305"/>
        <w:spacing w:after="0" w:line="268" w:lineRule="auto"/>
        <w:tabs>
          <w:tab w:leader="none" w:pos="1991" w:val="left"/>
        </w:tabs>
        <w:numPr>
          <w:ilvl w:val="0"/>
          <w:numId w:val="491"/>
        </w:numPr>
        <w:rPr>
          <w:rFonts w:ascii="Arial" w:cs="Arial" w:eastAsia="Arial" w:hAnsi="Arial"/>
          <w:sz w:val="17"/>
          <w:szCs w:val="17"/>
          <w:color w:val="auto"/>
        </w:rPr>
      </w:pPr>
      <w:r>
        <w:rPr>
          <w:rFonts w:ascii="Arial" w:cs="Arial" w:eastAsia="Arial" w:hAnsi="Arial"/>
          <w:sz w:val="17"/>
          <w:szCs w:val="17"/>
          <w:color w:val="auto"/>
        </w:rPr>
        <w:t>The Borrowers, jointly and severally, shall indemnify the Administrative Agent, the Collateral Agent, each Lead Arranger and each Lender, and each Affiliate of each of the foregoing, and their respective directors, officers, employees and agents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from, and hold each Indemnitee harmless against, any and all losses, liabilities, claims or damages (including reasonable and documented or invoiced legal fees and expenses) to which any Indemnitee may become subject, insofar as such losses, liabilities, claims or damages arise out of or result from (i) any claim, investigation, litigation or proceeding (including any threatened claim, investigation, litigation or proceeding) relating to this Agreement, any Loan or any other Loan Document (whether or not such claim, investigation, litigation or proceeding is brought by a Borrower or any other Obligor or its or their respective equity holders, Affiliates, creditors or any other third Person and whether based on contract, tort or any other theory and regardless of whether any Indemnitee is a party thereto), including any claim, investigation, litigation or proceeding in any way relating to the manufacture, purchase, acceptance, rejection, ownership, delivery, lease, possession, use, operation, condition, sale, return or other disposition of any Collateral (including latent and other defects, whether or not discoverable by the Collateral Agent or any Secured Party or any Obligor, and any claim for patent, trademark or copyright infringement), (ii) any actual or alleged presence or release of Hazardous Materials on or from any property owned or operated by WIL-Ireland or any of its Subsidiaries, or any Environmental Liability related in any way to WIL-Ireland or any of its Subsidiaries, except, in each case, insofar as the Environmental Liability or liability relating to the presence or release of Hazardous Materials arises out of actions taken by, or failed to be taken by, such Indemnitee after the date on which WIL-Ireland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 xml:space="preserve">or any of its Subsidiaries is divested of ownership of such property (whether by foreclosure or deed in lieu of foreclosure, as mortgagee-in-possession or otherwise), or (iii) any actual or proposed use by any Borrower or any of its Subsidiaries of the proceeds of any extension of credit by any Lender hereunder, and the Borrowers, jointly and severally, shall reimburse each Indemnitee upon demand for any expenses (including reasonable and documented or invoiced legal fees) incurred in connection with any such claim, investigation, litigation or proceeding; but excluding any such losses, liabilities, claims, damages or expenses (A) found by a final, nonappealable judgment of a court of competent jurisdiction to have been incurred by reason of the gross negligence, willful misconduct or unlawful conduct of such Indemnitee, (B) that arise from any dispute solely between or among Indemnitees (not arising as a result of any act or omission by the Obligors or their Affiliates), other than claims against an Indemnitee in its capacity as, or in fulfilling its role or roles as an arranger, administrative agent, syndication agent or documentation agent for the facility evidence by this Agreement or (C) incurred by any Defaulting Lender to the extent directly arising from or caused by the conduct, acts, omissions or events of or applicable to such Defaulting Lender that were the cause of such Lender’s becoming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be deemed to limit the Borrower’s payment obligations under any other provision of this Agreement or any other Loan Document as a result of such Lender’s becoming a Defaulting Lender. WITHOUT LIMITING ANY PROVISION OF THIS AGREEMENT, IT IS THE EXPRESS INTENTION OF THE PARTIES HERETO THAT EACH INDEMNITEE HEREUNDER SHALL BE INDEMNIFIED AND HELD HARMLESS AGAINST ANY AND ALL LOSSES, LIABILITIES, CLAIMS OR DAMAGES ARISING OUT OF OR RESULTING FROM THE SOLE OR CONCURRENT ORDINARY NEGLIGENCE OF SUCH INDEMNITEE. WITHOUT PREJUDICE TO THE SURVIVAL OF ANY OTHER OBLIGATIONS OF THE BORROWERS HEREUNDER AND UNDER THE OTHER LOAN DOCUMENTS TO WHICH IT IS A PARTY, THE OBLIGATIONS OF THE BORROWERS UNDER THIS </w:t>
      </w:r>
      <w:r>
        <w:rPr>
          <w:rFonts w:ascii="Arial" w:cs="Arial" w:eastAsia="Arial" w:hAnsi="Arial"/>
          <w:sz w:val="17"/>
          <w:szCs w:val="17"/>
          <w:u w:val="single" w:color="auto"/>
          <w:color w:val="auto"/>
        </w:rPr>
        <w:t>SECTION 11.04</w:t>
      </w:r>
      <w:r>
        <w:rPr>
          <w:rFonts w:ascii="Arial" w:cs="Arial" w:eastAsia="Arial" w:hAnsi="Arial"/>
          <w:sz w:val="17"/>
          <w:szCs w:val="17"/>
          <w:color w:val="auto"/>
        </w:rPr>
        <w:t xml:space="preserve"> SHALL SURVIVE THE TERMINATION OF THIS AGREEMENT AND THE OTHER LOAN DOCUMENTS AND THE PAYMENT OF THE OTHER OBLIGATIONS OR THE ASSIGNMENT OF THE NOTES.</w:t>
      </w:r>
    </w:p>
    <w:p>
      <w:pPr>
        <w:spacing w:after="0" w:line="191" w:lineRule="exact"/>
        <w:rPr>
          <w:sz w:val="20"/>
          <w:szCs w:val="20"/>
          <w:color w:val="auto"/>
        </w:rPr>
      </w:pPr>
    </w:p>
    <w:p>
      <w:pPr>
        <w:ind w:firstLine="1305"/>
        <w:spacing w:after="0" w:line="255" w:lineRule="auto"/>
        <w:tabs>
          <w:tab w:leader="none" w:pos="2001" w:val="left"/>
        </w:tabs>
        <w:numPr>
          <w:ilvl w:val="0"/>
          <w:numId w:val="492"/>
        </w:numPr>
        <w:rPr>
          <w:rFonts w:ascii="Arial" w:cs="Arial" w:eastAsia="Arial" w:hAnsi="Arial"/>
          <w:sz w:val="18"/>
          <w:szCs w:val="18"/>
          <w:color w:val="auto"/>
        </w:rPr>
      </w:pPr>
      <w:r>
        <w:rPr>
          <w:rFonts w:ascii="Arial" w:cs="Arial" w:eastAsia="Arial" w:hAnsi="Arial"/>
          <w:sz w:val="18"/>
          <w:szCs w:val="18"/>
          <w:color w:val="auto"/>
        </w:rPr>
        <w:t xml:space="preserve">To the extent that any Borrower fails to pay any amount required to be paid by it to the Administrative Agent, the Collateral Agent or any Swingline Lender under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or paragraph </w:t>
      </w:r>
      <w:r>
        <w:rPr>
          <w:rFonts w:ascii="Arial" w:cs="Arial" w:eastAsia="Arial" w:hAnsi="Arial"/>
          <w:sz w:val="18"/>
          <w:szCs w:val="18"/>
          <w:u w:val="single" w:color="auto"/>
          <w:color w:val="auto"/>
        </w:rPr>
        <w:t>(a)</w:t>
      </w:r>
      <w:r>
        <w:rPr>
          <w:rFonts w:ascii="Arial" w:cs="Arial" w:eastAsia="Arial" w:hAnsi="Arial"/>
          <w:sz w:val="18"/>
          <w:szCs w:val="18"/>
          <w:color w:val="auto"/>
        </w:rPr>
        <w:t xml:space="preserve"> of this Section, each Lender severally agrees to pay to the Administrative Agent, the Collateral Agent or such Swingline Lender, as the case may be, such Lender’s Applicable Percentage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the Collateral Agent or such Swingline Lender in its capacity as such.</w:t>
      </w:r>
    </w:p>
    <w:p>
      <w:pPr>
        <w:spacing w:after="0" w:line="193" w:lineRule="exact"/>
        <w:rPr>
          <w:rFonts w:ascii="Arial" w:cs="Arial" w:eastAsia="Arial" w:hAnsi="Arial"/>
          <w:sz w:val="18"/>
          <w:szCs w:val="18"/>
          <w:color w:val="auto"/>
        </w:rPr>
      </w:pPr>
    </w:p>
    <w:p>
      <w:pPr>
        <w:ind w:right="60" w:firstLine="1305"/>
        <w:spacing w:after="0" w:line="279" w:lineRule="auto"/>
        <w:tabs>
          <w:tab w:leader="none" w:pos="1991" w:val="left"/>
        </w:tabs>
        <w:numPr>
          <w:ilvl w:val="0"/>
          <w:numId w:val="492"/>
        </w:numPr>
        <w:rPr>
          <w:rFonts w:ascii="Arial" w:cs="Arial" w:eastAsia="Arial" w:hAnsi="Arial"/>
          <w:sz w:val="17"/>
          <w:szCs w:val="17"/>
          <w:color w:val="auto"/>
        </w:rPr>
      </w:pPr>
      <w:r>
        <w:rPr>
          <w:rFonts w:ascii="Arial" w:cs="Arial" w:eastAsia="Arial" w:hAnsi="Arial"/>
          <w:sz w:val="17"/>
          <w:szCs w:val="17"/>
          <w:color w:val="auto"/>
        </w:rPr>
        <w:t>To the extent permitted by applicable law, neither any party hereto nor any of their respective directors, officers, employees and agents shall assert, and each hereby waives, any claim against any other such Person, on any theory of liability, for special, indirect, consequential or punitive damages (as opposed to direct or actual damages) arising out of, in connection with, or as a result of, this Agreement or any other Loan Document or any agreement or instrument contemplated hereby or thereby, the transactions contemplated hereby, any Loan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464" w:gutter="0" w:footer="0" w:header="0"/>
        </w:sectPr>
      </w:pPr>
    </w:p>
    <w:bookmarkStart w:id="193" w:name="page194"/>
    <w:bookmarkEnd w:id="193"/>
    <w:p>
      <w:pPr>
        <w:ind w:right="220"/>
        <w:spacing w:after="0" w:line="277" w:lineRule="auto"/>
        <w:rPr>
          <w:sz w:val="20"/>
          <w:szCs w:val="20"/>
          <w:color w:val="auto"/>
        </w:rPr>
      </w:pPr>
      <w:r>
        <w:rPr>
          <w:rFonts w:ascii="Arial" w:cs="Arial" w:eastAsia="Arial" w:hAnsi="Arial"/>
          <w:sz w:val="18"/>
          <w:szCs w:val="18"/>
          <w:color w:val="auto"/>
        </w:rPr>
        <w:t xml:space="preserve">the use of the proceeds thereof (it being understood that, to the extent any Indemnitee suffers any such special, indirect, consequential or punitive damages, the indemnification obligations of the Borrowers set forth in the paragraph </w:t>
      </w:r>
      <w:r>
        <w:rPr>
          <w:rFonts w:ascii="Arial" w:cs="Arial" w:eastAsia="Arial" w:hAnsi="Arial"/>
          <w:sz w:val="18"/>
          <w:szCs w:val="18"/>
          <w:u w:val="single" w:color="auto"/>
          <w:color w:val="auto"/>
        </w:rPr>
        <w:t>(a)</w:t>
      </w:r>
      <w:r>
        <w:rPr>
          <w:rFonts w:ascii="Arial" w:cs="Arial" w:eastAsia="Arial" w:hAnsi="Arial"/>
          <w:sz w:val="18"/>
          <w:szCs w:val="18"/>
          <w:color w:val="auto"/>
        </w:rPr>
        <w:t xml:space="preserve"> of this Section shall apply).</w:t>
      </w:r>
    </w:p>
    <w:p>
      <w:pPr>
        <w:spacing w:after="0" w:line="170" w:lineRule="exact"/>
        <w:rPr>
          <w:sz w:val="20"/>
          <w:szCs w:val="20"/>
          <w:color w:val="auto"/>
        </w:rPr>
      </w:pPr>
    </w:p>
    <w:p>
      <w:pPr>
        <w:ind w:right="40" w:firstLine="1305"/>
        <w:spacing w:after="0" w:line="257" w:lineRule="auto"/>
        <w:tabs>
          <w:tab w:leader="none" w:pos="2001" w:val="left"/>
        </w:tabs>
        <w:numPr>
          <w:ilvl w:val="0"/>
          <w:numId w:val="493"/>
        </w:numPr>
        <w:rPr>
          <w:rFonts w:ascii="Arial" w:cs="Arial" w:eastAsia="Arial" w:hAnsi="Arial"/>
          <w:sz w:val="18"/>
          <w:szCs w:val="18"/>
          <w:color w:val="auto"/>
        </w:rPr>
      </w:pPr>
      <w:r>
        <w:rPr>
          <w:rFonts w:ascii="Arial" w:cs="Arial" w:eastAsia="Arial" w:hAnsi="Arial"/>
          <w:sz w:val="18"/>
          <w:szCs w:val="18"/>
          <w:color w:val="auto"/>
        </w:rPr>
        <w:t xml:space="preserve">No Indemnitee referred to in </w:t>
      </w:r>
      <w:r>
        <w:rPr>
          <w:rFonts w:ascii="Arial" w:cs="Arial" w:eastAsia="Arial" w:hAnsi="Arial"/>
          <w:sz w:val="18"/>
          <w:szCs w:val="18"/>
          <w:u w:val="single" w:color="auto"/>
          <w:color w:val="auto"/>
        </w:rPr>
        <w:t>Section 11.04(a)</w:t>
      </w:r>
      <w:r>
        <w:rPr>
          <w:rFonts w:ascii="Arial" w:cs="Arial" w:eastAsia="Arial" w:hAnsi="Arial"/>
          <w:sz w:val="18"/>
          <w:szCs w:val="18"/>
          <w:color w:val="auto"/>
        </w:rPr>
        <w:t xml:space="preser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for any such damages found by a final, nonappealable judgment of a court of competent jurisdiction to have been incurred by reason of the gross negligence, willful misconduct or unlawful conduct of such Indemnitee.</w:t>
      </w:r>
    </w:p>
    <w:p>
      <w:pPr>
        <w:spacing w:after="0" w:line="188" w:lineRule="exact"/>
        <w:rPr>
          <w:rFonts w:ascii="Arial" w:cs="Arial" w:eastAsia="Arial" w:hAnsi="Arial"/>
          <w:sz w:val="18"/>
          <w:szCs w:val="18"/>
          <w:color w:val="auto"/>
        </w:rPr>
      </w:pPr>
    </w:p>
    <w:p>
      <w:pPr>
        <w:ind w:right="140" w:firstLine="1305"/>
        <w:spacing w:after="0" w:line="277" w:lineRule="auto"/>
        <w:tabs>
          <w:tab w:leader="none" w:pos="1991" w:val="left"/>
        </w:tabs>
        <w:numPr>
          <w:ilvl w:val="0"/>
          <w:numId w:val="493"/>
        </w:numPr>
        <w:rPr>
          <w:rFonts w:ascii="Arial" w:cs="Arial" w:eastAsia="Arial" w:hAnsi="Arial"/>
          <w:sz w:val="18"/>
          <w:szCs w:val="18"/>
          <w:color w:val="auto"/>
        </w:rPr>
      </w:pPr>
      <w:r>
        <w:rPr>
          <w:rFonts w:ascii="Arial" w:cs="Arial" w:eastAsia="Arial" w:hAnsi="Arial"/>
          <w:sz w:val="18"/>
          <w:szCs w:val="18"/>
          <w:color w:val="auto"/>
        </w:rPr>
        <w:t xml:space="preserve">All amounts due under this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and under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shall be payable not later than ten Business Days after written demand therefor and presentation of any documents required to be delivered in connection therewith.</w:t>
      </w:r>
    </w:p>
    <w:p>
      <w:pPr>
        <w:spacing w:after="0" w:line="170" w:lineRule="exact"/>
        <w:rPr>
          <w:sz w:val="20"/>
          <w:szCs w:val="20"/>
          <w:color w:val="auto"/>
        </w:rPr>
      </w:pPr>
    </w:p>
    <w:p>
      <w:pPr>
        <w:ind w:left="660"/>
        <w:spacing w:after="0"/>
        <w:tabs>
          <w:tab w:leader="none" w:pos="228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ind w:firstLine="1305"/>
        <w:spacing w:after="0" w:line="291" w:lineRule="auto"/>
        <w:tabs>
          <w:tab w:leader="none" w:pos="1991" w:val="left"/>
        </w:tabs>
        <w:numPr>
          <w:ilvl w:val="0"/>
          <w:numId w:val="494"/>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assigns permitted hereby, except that (i) no Obligor may assign or otherwise transfer any of its rights or obligations hereunder without the prior written consent of each Lender (and any attempted assignment or transfer by such Obligor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Section) and, to the extent expressly contemplated hereby, the Related Parties of each of the Administrative Agent, the Collateral Agent and the Lenders) any legal or equitable right, remedy or claim under or by reason of this Agreement.</w:t>
      </w:r>
    </w:p>
    <w:p>
      <w:pPr>
        <w:spacing w:after="0" w:line="167" w:lineRule="exact"/>
        <w:rPr>
          <w:rFonts w:ascii="Arial" w:cs="Arial" w:eastAsia="Arial" w:hAnsi="Arial"/>
          <w:sz w:val="16"/>
          <w:szCs w:val="16"/>
          <w:color w:val="auto"/>
        </w:rPr>
      </w:pPr>
    </w:p>
    <w:p>
      <w:pPr>
        <w:jc w:val="both"/>
        <w:ind w:right="160" w:firstLine="1305"/>
        <w:spacing w:after="0" w:line="259" w:lineRule="auto"/>
        <w:tabs>
          <w:tab w:leader="none" w:pos="2001" w:val="left"/>
        </w:tabs>
        <w:numPr>
          <w:ilvl w:val="0"/>
          <w:numId w:val="494"/>
        </w:numPr>
        <w:rPr>
          <w:rFonts w:ascii="Arial" w:cs="Arial" w:eastAsia="Arial" w:hAnsi="Arial"/>
          <w:sz w:val="18"/>
          <w:szCs w:val="18"/>
          <w:color w:val="auto"/>
        </w:rPr>
      </w:pPr>
      <w:r>
        <w:rPr>
          <w:rFonts w:ascii="Arial" w:cs="Arial" w:eastAsia="Arial" w:hAnsi="Arial"/>
          <w:sz w:val="18"/>
          <w:szCs w:val="18"/>
          <w:color w:val="auto"/>
        </w:rPr>
        <w:t xml:space="preserve">(i) Subject to the conditions set forth in this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(including subparagraph </w:t>
      </w:r>
      <w:r>
        <w:rPr>
          <w:rFonts w:ascii="Arial" w:cs="Arial" w:eastAsia="Arial" w:hAnsi="Arial"/>
          <w:sz w:val="18"/>
          <w:szCs w:val="18"/>
          <w:u w:val="single" w:color="auto"/>
          <w:color w:val="auto"/>
        </w:rPr>
        <w:t>(b)(ii)</w:t>
      </w:r>
      <w:r>
        <w:rPr>
          <w:rFonts w:ascii="Arial" w:cs="Arial" w:eastAsia="Arial" w:hAnsi="Arial"/>
          <w:sz w:val="18"/>
          <w:szCs w:val="18"/>
          <w:color w:val="auto"/>
        </w:rPr>
        <w:t xml:space="preserve"> below), any Lender may assign to one or more assignees all or a portion of its rights and obligations under this Agreement (including all or a portion of its Commitment and the Loans at the time owing to it) with the prior written consent (such consent not to be unreasonably withheld and, additionally, in the case of assignments pursuant to </w:t>
      </w:r>
      <w:r>
        <w:rPr>
          <w:rFonts w:ascii="Arial" w:cs="Arial" w:eastAsia="Arial" w:hAnsi="Arial"/>
          <w:sz w:val="18"/>
          <w:szCs w:val="18"/>
          <w:u w:val="single" w:color="auto"/>
          <w:color w:val="auto"/>
        </w:rPr>
        <w:t>Section 4.03</w:t>
      </w:r>
      <w:r>
        <w:rPr>
          <w:rFonts w:ascii="Arial" w:cs="Arial" w:eastAsia="Arial" w:hAnsi="Arial"/>
          <w:sz w:val="18"/>
          <w:szCs w:val="18"/>
          <w:color w:val="auto"/>
        </w:rPr>
        <w:t>, delayed or conditioned) of:</w:t>
      </w:r>
    </w:p>
    <w:p>
      <w:pPr>
        <w:spacing w:after="0" w:line="186" w:lineRule="exact"/>
        <w:rPr>
          <w:rFonts w:ascii="Arial" w:cs="Arial" w:eastAsia="Arial" w:hAnsi="Arial"/>
          <w:sz w:val="18"/>
          <w:szCs w:val="18"/>
          <w:color w:val="auto"/>
        </w:rPr>
      </w:pPr>
    </w:p>
    <w:p>
      <w:pPr>
        <w:ind w:left="1300" w:firstLine="653"/>
        <w:spacing w:after="0" w:line="277" w:lineRule="auto"/>
        <w:tabs>
          <w:tab w:leader="none" w:pos="2648" w:val="left"/>
        </w:tabs>
        <w:numPr>
          <w:ilvl w:val="1"/>
          <w:numId w:val="494"/>
        </w:numPr>
        <w:rPr>
          <w:rFonts w:ascii="Arial" w:cs="Arial" w:eastAsia="Arial" w:hAnsi="Arial"/>
          <w:sz w:val="18"/>
          <w:szCs w:val="18"/>
          <w:color w:val="auto"/>
        </w:rPr>
      </w:pPr>
      <w:r>
        <w:rPr>
          <w:rFonts w:ascii="Arial" w:cs="Arial" w:eastAsia="Arial" w:hAnsi="Arial"/>
          <w:sz w:val="18"/>
          <w:szCs w:val="18"/>
          <w:color w:val="auto"/>
        </w:rPr>
        <w:t xml:space="preserve">WIL-Bermuda,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WIL-Bermuda shall be required for an assignment to a Lender, an Affiliate of a Lender, an Approved Fund or, if an Event of Default has occurred and is continuing, any other assignee; and</w:t>
      </w:r>
    </w:p>
    <w:p>
      <w:pPr>
        <w:spacing w:after="0" w:line="170" w:lineRule="exact"/>
        <w:rPr>
          <w:rFonts w:ascii="Arial" w:cs="Arial" w:eastAsia="Arial" w:hAnsi="Arial"/>
          <w:sz w:val="18"/>
          <w:szCs w:val="18"/>
          <w:color w:val="auto"/>
        </w:rPr>
      </w:pPr>
    </w:p>
    <w:p>
      <w:pPr>
        <w:ind w:left="1300" w:right="120" w:firstLine="653"/>
        <w:spacing w:after="0" w:line="308" w:lineRule="auto"/>
        <w:tabs>
          <w:tab w:leader="none" w:pos="2638" w:val="left"/>
        </w:tabs>
        <w:numPr>
          <w:ilvl w:val="1"/>
          <w:numId w:val="494"/>
        </w:numPr>
        <w:rPr>
          <w:rFonts w:ascii="Arial" w:cs="Arial" w:eastAsia="Arial" w:hAnsi="Arial"/>
          <w:sz w:val="17"/>
          <w:szCs w:val="17"/>
          <w:color w:val="auto"/>
        </w:rPr>
      </w:pPr>
      <w:r>
        <w:rPr>
          <w:rFonts w:ascii="Arial" w:cs="Arial" w:eastAsia="Arial" w:hAnsi="Arial"/>
          <w:sz w:val="17"/>
          <w:szCs w:val="17"/>
          <w:color w:val="auto"/>
        </w:rPr>
        <w:t xml:space="preserve">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Administrative Agent shall be required for an assignment to a Lender, an Affiliate of a Lender, an Approved Fund immediately prior to giving effect to such assignment;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40" w:hanging="687"/>
        <w:spacing w:after="0"/>
        <w:tabs>
          <w:tab w:leader="none" w:pos="264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each Swingline Lender;</w:t>
      </w:r>
    </w:p>
    <w:p>
      <w:pPr>
        <w:spacing w:after="0" w:line="225" w:lineRule="exact"/>
        <w:rPr>
          <w:sz w:val="20"/>
          <w:szCs w:val="20"/>
          <w:color w:val="auto"/>
        </w:rPr>
      </w:pPr>
    </w:p>
    <w:p>
      <w:pPr>
        <w:ind w:left="1300" w:right="20"/>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consent to an assignment required by WIL-Bermuda under this </w:t>
      </w:r>
      <w:r>
        <w:rPr>
          <w:rFonts w:ascii="Arial" w:cs="Arial" w:eastAsia="Arial" w:hAnsi="Arial"/>
          <w:sz w:val="18"/>
          <w:szCs w:val="18"/>
          <w:u w:val="single" w:color="auto"/>
          <w:color w:val="auto"/>
        </w:rPr>
        <w:t>Section 11.05(b)(i)</w:t>
      </w:r>
      <w:r>
        <w:rPr>
          <w:rFonts w:ascii="Arial" w:cs="Arial" w:eastAsia="Arial" w:hAnsi="Arial"/>
          <w:sz w:val="18"/>
          <w:szCs w:val="18"/>
          <w:color w:val="auto"/>
        </w:rPr>
        <w:t xml:space="preserve"> shall be deemed to have been given by WIL-Bermuda unless it shall have objected thereto by written notice to the Administrative Agent within ten (10) Business Days after receiving a written request for its consent to such assignment.</w:t>
      </w:r>
    </w:p>
    <w:p>
      <w:pPr>
        <w:spacing w:after="0" w:line="181" w:lineRule="exact"/>
        <w:rPr>
          <w:sz w:val="20"/>
          <w:szCs w:val="20"/>
          <w:color w:val="auto"/>
        </w:rPr>
      </w:pPr>
    </w:p>
    <w:p>
      <w:pPr>
        <w:ind w:left="2660" w:hanging="707"/>
        <w:spacing w:after="0"/>
        <w:tabs>
          <w:tab w:leader="none" w:pos="26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25" w:lineRule="exact"/>
        <w:rPr>
          <w:sz w:val="20"/>
          <w:szCs w:val="20"/>
          <w:color w:val="auto"/>
        </w:rPr>
      </w:pPr>
    </w:p>
    <w:p>
      <w:pPr>
        <w:ind w:left="1300" w:right="20" w:firstLine="653"/>
        <w:spacing w:after="0" w:line="255" w:lineRule="auto"/>
        <w:tabs>
          <w:tab w:leader="none" w:pos="2648" w:val="left"/>
        </w:tabs>
        <w:numPr>
          <w:ilvl w:val="0"/>
          <w:numId w:val="497"/>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an Affiliate of a Lender or an Approved Fund or an assignment of the entire remaining amount of the assigning Lender’s Commitment or Loans of any Type, the amount of the Commitment or Loans of the assigning Lender subject to each such assignment (determined as of the date the Assignment and Assumption with respect to such assignment is delivered to the Administrative Agent) shall not be less than $5,000,000 unless each of WIL-Bermuda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consent of WIL-Bermuda shall be required if an Event of Default has occurred and is continuing;</w:t>
      </w:r>
    </w:p>
    <w:p>
      <w:pPr>
        <w:spacing w:after="0" w:line="193" w:lineRule="exact"/>
        <w:rPr>
          <w:rFonts w:ascii="Arial" w:cs="Arial" w:eastAsia="Arial" w:hAnsi="Arial"/>
          <w:sz w:val="18"/>
          <w:szCs w:val="18"/>
          <w:color w:val="auto"/>
        </w:rPr>
      </w:pPr>
    </w:p>
    <w:p>
      <w:pPr>
        <w:ind w:left="1300" w:right="260" w:firstLine="653"/>
        <w:spacing w:after="0" w:line="277" w:lineRule="auto"/>
        <w:tabs>
          <w:tab w:leader="none" w:pos="2638" w:val="left"/>
        </w:tabs>
        <w:numPr>
          <w:ilvl w:val="0"/>
          <w:numId w:val="497"/>
        </w:numPr>
        <w:rPr>
          <w:rFonts w:ascii="Arial" w:cs="Arial" w:eastAsia="Arial" w:hAnsi="Arial"/>
          <w:sz w:val="18"/>
          <w:szCs w:val="18"/>
          <w:color w:val="auto"/>
        </w:rPr>
      </w:pPr>
      <w:r>
        <w:rPr>
          <w:rFonts w:ascii="Arial" w:cs="Arial" w:eastAsia="Arial" w:hAnsi="Arial"/>
          <w:sz w:val="18"/>
          <w:szCs w:val="18"/>
          <w:color w:val="auto"/>
        </w:rPr>
        <w:t>each partial assignment shall be made as an assignment of a proportionate part of all the assigning Lender’s rights and obligations under this Agreement;</w:t>
      </w:r>
    </w:p>
    <w:p>
      <w:pPr>
        <w:spacing w:after="0" w:line="170" w:lineRule="exact"/>
        <w:rPr>
          <w:rFonts w:ascii="Arial" w:cs="Arial" w:eastAsia="Arial" w:hAnsi="Arial"/>
          <w:sz w:val="18"/>
          <w:szCs w:val="18"/>
          <w:color w:val="auto"/>
        </w:rPr>
      </w:pPr>
    </w:p>
    <w:p>
      <w:pPr>
        <w:ind w:left="1300" w:right="320" w:firstLine="653"/>
        <w:spacing w:after="0" w:line="277" w:lineRule="auto"/>
        <w:tabs>
          <w:tab w:leader="none" w:pos="2638"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Assumption, together with a processing and recordation fee of $3,500;</w:t>
      </w:r>
    </w:p>
    <w:p>
      <w:pPr>
        <w:spacing w:after="0" w:line="170" w:lineRule="exact"/>
        <w:rPr>
          <w:rFonts w:ascii="Arial" w:cs="Arial" w:eastAsia="Arial" w:hAnsi="Arial"/>
          <w:sz w:val="18"/>
          <w:szCs w:val="18"/>
          <w:color w:val="auto"/>
        </w:rPr>
      </w:pPr>
    </w:p>
    <w:p>
      <w:pPr>
        <w:ind w:left="1300" w:right="60" w:firstLine="653"/>
        <w:spacing w:after="0" w:line="257" w:lineRule="auto"/>
        <w:tabs>
          <w:tab w:leader="none" w:pos="2648"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Obligor Parties and their respective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8" w:lineRule="exact"/>
        <w:rPr>
          <w:rFonts w:ascii="Arial" w:cs="Arial" w:eastAsia="Arial" w:hAnsi="Arial"/>
          <w:sz w:val="18"/>
          <w:szCs w:val="18"/>
          <w:color w:val="auto"/>
        </w:rPr>
      </w:pPr>
    </w:p>
    <w:p>
      <w:pPr>
        <w:ind w:left="1300" w:right="40" w:firstLine="653"/>
        <w:spacing w:after="0" w:line="259" w:lineRule="auto"/>
        <w:tabs>
          <w:tab w:leader="none" w:pos="2673" w:val="left"/>
        </w:tabs>
        <w:numPr>
          <w:ilvl w:val="0"/>
          <w:numId w:val="497"/>
        </w:numPr>
        <w:rPr>
          <w:rFonts w:ascii="Arial" w:cs="Arial" w:eastAsia="Arial" w:hAnsi="Arial"/>
          <w:sz w:val="18"/>
          <w:szCs w:val="18"/>
          <w:color w:val="auto"/>
        </w:rPr>
      </w:pPr>
      <w:r>
        <w:rPr>
          <w:rFonts w:ascii="Arial" w:cs="Arial" w:eastAsia="Arial" w:hAnsi="Arial"/>
          <w:sz w:val="18"/>
          <w:szCs w:val="18"/>
          <w:color w:val="auto"/>
        </w:rPr>
        <w:t xml:space="preserve">except in connection with assignments made while an Event of Default has occurred and is continuing, all prospective assignees of a Lender shall be required, as a condition to the effectiveness of such assignment, to execute and deliver the forms required under </w:t>
      </w:r>
      <w:r>
        <w:rPr>
          <w:rFonts w:ascii="Arial" w:cs="Arial" w:eastAsia="Arial" w:hAnsi="Arial"/>
          <w:sz w:val="18"/>
          <w:szCs w:val="18"/>
          <w:u w:val="single" w:color="auto"/>
          <w:color w:val="auto"/>
        </w:rPr>
        <w:t>Section 4.02(c)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4.02(e)</w:t>
      </w:r>
      <w:r>
        <w:rPr>
          <w:rFonts w:ascii="Arial" w:cs="Arial" w:eastAsia="Arial" w:hAnsi="Arial"/>
          <w:sz w:val="18"/>
          <w:szCs w:val="18"/>
          <w:color w:val="auto"/>
        </w:rPr>
        <w:t xml:space="preserve"> for any Lender, and no assignment shall be effective in connection herewith unless and until such forms are so delivered;</w:t>
      </w:r>
    </w:p>
    <w:p>
      <w:pPr>
        <w:spacing w:after="0" w:line="186" w:lineRule="exact"/>
        <w:rPr>
          <w:rFonts w:ascii="Arial" w:cs="Arial" w:eastAsia="Arial" w:hAnsi="Arial"/>
          <w:sz w:val="18"/>
          <w:szCs w:val="18"/>
          <w:color w:val="auto"/>
        </w:rPr>
      </w:pPr>
    </w:p>
    <w:p>
      <w:pPr>
        <w:ind w:left="1300" w:right="600" w:firstLine="653"/>
        <w:spacing w:after="0" w:line="277" w:lineRule="auto"/>
        <w:tabs>
          <w:tab w:leader="none" w:pos="2663" w:val="left"/>
        </w:tabs>
        <w:numPr>
          <w:ilvl w:val="0"/>
          <w:numId w:val="497"/>
        </w:numPr>
        <w:rPr>
          <w:rFonts w:ascii="Arial" w:cs="Arial" w:eastAsia="Arial" w:hAnsi="Arial"/>
          <w:sz w:val="18"/>
          <w:szCs w:val="18"/>
          <w:color w:val="auto"/>
        </w:rPr>
      </w:pPr>
      <w:r>
        <w:rPr>
          <w:rFonts w:ascii="Arial" w:cs="Arial" w:eastAsia="Arial" w:hAnsi="Arial"/>
          <w:sz w:val="18"/>
          <w:szCs w:val="18"/>
          <w:color w:val="auto"/>
        </w:rPr>
        <w:t>except in the case when no consent of WIL-Bermuda is required because an Event of Default has occurred and is continuing, no assignment shall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315" w:gutter="0" w:footer="0" w:header="0"/>
        </w:sectPr>
      </w:pPr>
    </w:p>
    <w:bookmarkStart w:id="194" w:name="page195"/>
    <w:bookmarkEnd w:id="194"/>
    <w:p>
      <w:pPr>
        <w:spacing w:after="0" w:line="137" w:lineRule="exact"/>
        <w:rPr>
          <w:sz w:val="20"/>
          <w:szCs w:val="20"/>
          <w:color w:val="auto"/>
        </w:rPr>
      </w:pPr>
    </w:p>
    <w:p>
      <w:pPr>
        <w:ind w:left="1300" w:right="420"/>
        <w:spacing w:after="0" w:line="308" w:lineRule="auto"/>
        <w:rPr>
          <w:sz w:val="20"/>
          <w:szCs w:val="20"/>
          <w:color w:val="auto"/>
        </w:rPr>
      </w:pPr>
      <w:r>
        <w:rPr>
          <w:rFonts w:ascii="Arial" w:cs="Arial" w:eastAsia="Arial" w:hAnsi="Arial"/>
          <w:sz w:val="17"/>
          <w:szCs w:val="17"/>
          <w:color w:val="auto"/>
        </w:rPr>
        <w:t>be made to any such assignee unless such assignee provides a written representation to WIL-Bermuda that such assignee is not subject under then current law to any withholding tax on amounts payable to such assignee under this Agreement;</w:t>
      </w:r>
    </w:p>
    <w:p>
      <w:pPr>
        <w:spacing w:after="0" w:line="147" w:lineRule="exact"/>
        <w:rPr>
          <w:sz w:val="20"/>
          <w:szCs w:val="20"/>
          <w:color w:val="auto"/>
        </w:rPr>
      </w:pPr>
    </w:p>
    <w:p>
      <w:pPr>
        <w:ind w:left="2660" w:hanging="707"/>
        <w:spacing w:after="0"/>
        <w:tabs>
          <w:tab w:leader="none" w:pos="266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no assignment shall be made to an Ineligible Institution; and</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WIL-Ireland and the Administrative Agent an Assignee</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Certificate.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or elsewhere in any Loan Document, the consent of each Swiss Borrower, if any, and</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WIL-Ireland shall, so long as no Specified Event of Default has occurred and is continuing, be required for an assignment or participation to any</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assignee or Participant that is a Swiss Non-Qualifying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a consent shall not be unreasonably withheld or delayed</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and in any event, such consent shall be deemed given if any Swiss Borrower or WIL-Ireland, as applicable, does not give its written decision within</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10 Business Days after a request for such consent from the Administrative Agent. For the avoidance of doubt, if any Swiss Borrower or WIL-</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Ireland determines in its reasonable discretion that any assignment or participation would result in noncompliance with the Swiss Non-Bank</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Rules and/or that the number of Lenders and Participants that are Swiss Non-Qualifying Lenders would exceed the number of eight, then such Swiss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Borrower’s or WIL-Ireland’s objection to such assignment or participation shall be deemed to be reasonable.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11.05</w:t>
      </w:r>
      <w:r>
        <w:rPr>
          <w:rFonts w:ascii="Arial" w:cs="Arial" w:eastAsia="Arial" w:hAnsi="Arial"/>
          <w:sz w:val="18"/>
          <w:szCs w:val="18"/>
          <w:color w:val="auto"/>
        </w:rPr>
        <w:t>, the terms “</w:t>
      </w:r>
      <w:r>
        <w:rPr>
          <w:rFonts w:ascii="Arial" w:cs="Arial" w:eastAsia="Arial" w:hAnsi="Arial"/>
          <w:sz w:val="18"/>
          <w:szCs w:val="18"/>
          <w:u w:val="single" w:color="auto"/>
          <w:color w:val="auto"/>
        </w:rPr>
        <w:t>Approved Fund</w:t>
      </w:r>
      <w:r>
        <w:rPr>
          <w:rFonts w:ascii="Arial" w:cs="Arial" w:eastAsia="Arial" w:hAnsi="Arial"/>
          <w:sz w:val="18"/>
          <w:szCs w:val="18"/>
          <w:color w:val="auto"/>
        </w:rPr>
        <w:t>” and “</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have the following meanings:</w:t>
      </w:r>
    </w:p>
    <w:p>
      <w:pPr>
        <w:spacing w:after="0" w:line="225" w:lineRule="exact"/>
        <w:rPr>
          <w:sz w:val="20"/>
          <w:szCs w:val="20"/>
          <w:color w:val="auto"/>
        </w:rPr>
      </w:pPr>
    </w:p>
    <w:p>
      <w:pPr>
        <w:ind w:left="660"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1" w:lineRule="exact"/>
        <w:rPr>
          <w:sz w:val="20"/>
          <w:szCs w:val="20"/>
          <w:color w:val="auto"/>
        </w:rPr>
      </w:pPr>
    </w:p>
    <w:p>
      <w:pPr>
        <w:ind w:left="660"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means (a) a natural person, (b) a Defaulting Lender or its Lender Parent, (c) WIL-Ireland any of its Subsidiaries or any of its Affiliates, or (d) a company, investment vehicle or trust for, or owned and operated for the primary benefit of, a natural person or relative(s) thereof.</w:t>
      </w:r>
    </w:p>
    <w:p>
      <w:pPr>
        <w:spacing w:after="0" w:line="181" w:lineRule="exact"/>
        <w:rPr>
          <w:sz w:val="20"/>
          <w:szCs w:val="20"/>
          <w:color w:val="auto"/>
        </w:rPr>
      </w:pPr>
    </w:p>
    <w:p>
      <w:pPr>
        <w:ind w:left="660" w:right="80" w:firstLine="1293"/>
        <w:spacing w:after="0" w:line="255" w:lineRule="auto"/>
        <w:tabs>
          <w:tab w:leader="none" w:pos="2677" w:val="left"/>
        </w:tabs>
        <w:numPr>
          <w:ilvl w:val="0"/>
          <w:numId w:val="499"/>
        </w:numPr>
        <w:rPr>
          <w:rFonts w:ascii="Arial" w:cs="Arial" w:eastAsia="Arial" w:hAnsi="Arial"/>
          <w:sz w:val="18"/>
          <w:szCs w:val="18"/>
          <w:color w:val="auto"/>
        </w:rPr>
      </w:pPr>
      <w:r>
        <w:rPr>
          <w:rFonts w:ascii="Arial" w:cs="Arial" w:eastAsia="Arial" w:hAnsi="Arial"/>
          <w:sz w:val="18"/>
          <w:szCs w:val="18"/>
          <w:color w:val="auto"/>
        </w:rPr>
        <w:t xml:space="preserve">Subject to acceptance and recording thereof pursuant to subparagraph </w:t>
      </w:r>
      <w:r>
        <w:rPr>
          <w:rFonts w:ascii="Arial" w:cs="Arial" w:eastAsia="Arial" w:hAnsi="Arial"/>
          <w:sz w:val="18"/>
          <w:szCs w:val="18"/>
          <w:u w:val="single" w:color="auto"/>
          <w:color w:val="auto"/>
        </w:rPr>
        <w:t>(b)(iv)</w:t>
      </w:r>
      <w:r>
        <w:rPr>
          <w:rFonts w:ascii="Arial" w:cs="Arial" w:eastAsia="Arial" w:hAnsi="Arial"/>
          <w:sz w:val="18"/>
          <w:szCs w:val="18"/>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60"/>
        <w:spacing w:after="0" w:line="264" w:lineRule="auto"/>
        <w:rPr>
          <w:sz w:val="20"/>
          <w:szCs w:val="20"/>
          <w:color w:val="auto"/>
        </w:rPr>
      </w:pPr>
      <w:r>
        <w:rPr>
          <w:rFonts w:ascii="Arial" w:cs="Arial" w:eastAsia="Arial" w:hAnsi="Arial"/>
          <w:sz w:val="18"/>
          <w:szCs w:val="18"/>
          <w:color w:val="auto"/>
        </w:rPr>
        <w:t xml:space="preserve">to the benefits of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Any assignment or transfer by a Lender of rights or obligations under this Agreement that does not comply with this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shall be treated for purposes of this Agreement as a sale by such Lender of a participation in such rights and obligations in accordance with paragraph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Section.</w:t>
      </w:r>
    </w:p>
    <w:p>
      <w:pPr>
        <w:spacing w:after="0" w:line="181" w:lineRule="exact"/>
        <w:rPr>
          <w:sz w:val="20"/>
          <w:szCs w:val="20"/>
          <w:color w:val="auto"/>
        </w:rPr>
      </w:pPr>
    </w:p>
    <w:p>
      <w:pPr>
        <w:ind w:left="660" w:firstLine="1293"/>
        <w:spacing w:after="0" w:line="272" w:lineRule="auto"/>
        <w:tabs>
          <w:tab w:leader="none" w:pos="2666" w:val="left"/>
        </w:tabs>
        <w:numPr>
          <w:ilvl w:val="1"/>
          <w:numId w:val="500"/>
        </w:numPr>
        <w:rPr>
          <w:rFonts w:ascii="Arial" w:cs="Arial" w:eastAsia="Arial" w:hAnsi="Arial"/>
          <w:sz w:val="17"/>
          <w:szCs w:val="17"/>
          <w:color w:val="auto"/>
        </w:rPr>
      </w:pPr>
      <w:r>
        <w:rPr>
          <w:rFonts w:ascii="Arial" w:cs="Arial" w:eastAsia="Arial" w:hAnsi="Arial"/>
          <w:sz w:val="17"/>
          <w:szCs w:val="17"/>
          <w:color w:val="auto"/>
        </w:rPr>
        <w:t>The Administrative Agent, acting for this purpose as an agent of the Borrowers, shall maintain at one of its offices a copy of each Assignment and Assumption delivered to it and a register for the recordation of the names and addresses of the Lenders, and the Commitment of, and principal amount (and stated interest) of the Loans owing by each Borrower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presumed correct, in the absence of manifest error, and the Obligors,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Obligors and any Lender, at any reasonable time and from time to time upon reasonable prior notice.</w:t>
      </w:r>
    </w:p>
    <w:p>
      <w:pPr>
        <w:spacing w:after="0" w:line="177" w:lineRule="exact"/>
        <w:rPr>
          <w:rFonts w:ascii="Arial" w:cs="Arial" w:eastAsia="Arial" w:hAnsi="Arial"/>
          <w:sz w:val="17"/>
          <w:szCs w:val="17"/>
          <w:color w:val="auto"/>
        </w:rPr>
      </w:pPr>
    </w:p>
    <w:p>
      <w:pPr>
        <w:ind w:left="660" w:right="120" w:firstLine="1293"/>
        <w:spacing w:after="0" w:line="253" w:lineRule="auto"/>
        <w:tabs>
          <w:tab w:leader="none" w:pos="2661" w:val="left"/>
        </w:tabs>
        <w:numPr>
          <w:ilvl w:val="1"/>
          <w:numId w:val="500"/>
        </w:numPr>
        <w:rPr>
          <w:rFonts w:ascii="Arial" w:cs="Arial" w:eastAsia="Arial" w:hAnsi="Arial"/>
          <w:sz w:val="18"/>
          <w:szCs w:val="18"/>
          <w:color w:val="auto"/>
        </w:rPr>
      </w:pPr>
      <w:r>
        <w:rPr>
          <w:rFonts w:ascii="Arial" w:cs="Arial" w:eastAsia="Arial" w:hAnsi="Arial"/>
          <w:sz w:val="18"/>
          <w:szCs w:val="18"/>
          <w:color w:val="auto"/>
        </w:rPr>
        <w:t xml:space="preserve">Upon its receipt of a duly completed Assignment and Assumption executed by an assigning Lender and an assignee permitted under paragraph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such assignee’s completed Administrative Questionnaire (unless such assignee shall already be a Lender hereunder), the processing and recordation fee referred to in paragraph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and any written consent to such assignment required by paragraph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the Administrative Agent shall accept such Assignment and Assumption and record the information contained therein in the Register;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either the assigning Lender or such assignee shall have failed to make any payment required to be made by it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4.01(d)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11.04(b)</w:t>
      </w:r>
      <w:r>
        <w:rPr>
          <w:rFonts w:ascii="Arial" w:cs="Arial" w:eastAsia="Arial" w:hAnsi="Arial"/>
          <w:sz w:val="18"/>
          <w:szCs w:val="18"/>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97" w:lineRule="exact"/>
        <w:rPr>
          <w:rFonts w:ascii="Arial" w:cs="Arial" w:eastAsia="Arial" w:hAnsi="Arial"/>
          <w:sz w:val="18"/>
          <w:szCs w:val="18"/>
          <w:color w:val="auto"/>
        </w:rPr>
      </w:pPr>
    </w:p>
    <w:p>
      <w:pPr>
        <w:ind w:right="280" w:firstLine="1305"/>
        <w:spacing w:after="0" w:line="253" w:lineRule="auto"/>
        <w:tabs>
          <w:tab w:leader="none" w:pos="1991" w:val="left"/>
        </w:tabs>
        <w:numPr>
          <w:ilvl w:val="0"/>
          <w:numId w:val="501"/>
        </w:numPr>
        <w:rPr>
          <w:rFonts w:ascii="Arial" w:cs="Arial" w:eastAsia="Arial" w:hAnsi="Arial"/>
          <w:sz w:val="18"/>
          <w:szCs w:val="18"/>
          <w:color w:val="auto"/>
        </w:rPr>
      </w:pPr>
      <w:r>
        <w:rPr>
          <w:rFonts w:ascii="Arial" w:cs="Arial" w:eastAsia="Arial" w:hAnsi="Arial"/>
          <w:sz w:val="18"/>
          <w:szCs w:val="18"/>
          <w:color w:val="auto"/>
        </w:rPr>
        <w:t>(i) Except as otherwise provided in this Agreement or any other Loan Document, any Lender may, without the consent of any Obligor, the Administrative Agent, the Collateral Agent or any Swingline Lender, sell participations to one or more banks or other entities other than an Ineligible Institution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 obligations under this Agreement (including all or a portion of its Commitment and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Lender’s obligations under this Agreement shall remain unchanged, (B) such Lender shall remain solely responsible to the other parties hereto for the performance of such obligations, (C) the Borrowers, the Administrative Agent, the Collateral Agent and the other Lenders shall continue to deal solely and directly with such Lender in connection with such Lender’s rights and obligations under this Agreement and (D) such Participant delivers a Participant Certificate to such Lender, the Administrative Agent and WIL-Ireland. Any agreement or instrument pursuant to which a Lender sells such a participation shall provide that such Lender shall retain the sole right to enforce this Agreement and to approve 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 xml:space="preserve">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that affects such</w:t>
      </w:r>
    </w:p>
    <w:p>
      <w:pPr>
        <w:sectPr>
          <w:pgSz w:w="11900" w:h="16975" w:orient="portrait"/>
          <w:cols w:equalWidth="0" w:num="1">
            <w:col w:w="11420"/>
          </w:cols>
          <w:pgMar w:left="240" w:top="125" w:right="239" w:bottom="0" w:gutter="0" w:footer="0" w:header="0"/>
        </w:sectPr>
      </w:pPr>
    </w:p>
    <w:bookmarkStart w:id="195" w:name="page196"/>
    <w:bookmarkEnd w:id="195"/>
    <w:p>
      <w:pPr>
        <w:ind w:right="140"/>
        <w:spacing w:after="0" w:line="269" w:lineRule="auto"/>
        <w:rPr>
          <w:sz w:val="20"/>
          <w:szCs w:val="20"/>
          <w:color w:val="auto"/>
        </w:rPr>
      </w:pPr>
      <w:r>
        <w:rPr>
          <w:rFonts w:ascii="Arial" w:cs="Arial" w:eastAsia="Arial" w:hAnsi="Arial"/>
          <w:sz w:val="17"/>
          <w:szCs w:val="17"/>
          <w:color w:val="auto"/>
        </w:rPr>
        <w:t xml:space="preserve">Participant. Subject to subparagraph </w:t>
      </w:r>
      <w:r>
        <w:rPr>
          <w:rFonts w:ascii="Arial" w:cs="Arial" w:eastAsia="Arial" w:hAnsi="Arial"/>
          <w:sz w:val="17"/>
          <w:szCs w:val="17"/>
          <w:u w:val="single" w:color="auto"/>
          <w:color w:val="auto"/>
        </w:rPr>
        <w:t>(c)(ii)</w:t>
      </w:r>
      <w:r>
        <w:rPr>
          <w:rFonts w:ascii="Arial" w:cs="Arial" w:eastAsia="Arial" w:hAnsi="Arial"/>
          <w:sz w:val="17"/>
          <w:szCs w:val="17"/>
          <w:color w:val="auto"/>
        </w:rPr>
        <w:t xml:space="preserve"> of this Section, each Borrower agrees that each Participant shall be entitled to the benefits of </w:t>
      </w:r>
      <w:r>
        <w:rPr>
          <w:rFonts w:ascii="Arial" w:cs="Arial" w:eastAsia="Arial" w:hAnsi="Arial"/>
          <w:sz w:val="17"/>
          <w:szCs w:val="17"/>
          <w:u w:val="single" w:color="auto"/>
          <w:color w:val="auto"/>
        </w:rPr>
        <w:t>Sections 2.12</w:t>
      </w:r>
      <w:r>
        <w:rPr>
          <w:rFonts w:ascii="Arial" w:cs="Arial" w:eastAsia="Arial" w:hAnsi="Arial"/>
          <w:sz w:val="17"/>
          <w:szCs w:val="17"/>
          <w:color w:val="auto"/>
        </w:rPr>
        <w:t xml:space="preserve">, </w:t>
      </w:r>
      <w:r>
        <w:rPr>
          <w:rFonts w:ascii="Arial" w:cs="Arial" w:eastAsia="Arial" w:hAnsi="Arial"/>
          <w:sz w:val="17"/>
          <w:szCs w:val="17"/>
          <w:u w:val="single" w:color="auto"/>
          <w:color w:val="auto"/>
        </w:rPr>
        <w:t>2.13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4.02</w:t>
      </w:r>
      <w:r>
        <w:rPr>
          <w:rFonts w:ascii="Arial" w:cs="Arial" w:eastAsia="Arial" w:hAnsi="Arial"/>
          <w:sz w:val="17"/>
          <w:szCs w:val="17"/>
          <w:color w:val="auto"/>
        </w:rPr>
        <w:t xml:space="preserve"> to the same extent as if it were a Lender and had acquired its interest by assignment pursuant to paragraph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To the extent permitted by law, each Participant also shall be entitled to the benefits of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Participant agrees to be subject to </w:t>
      </w:r>
      <w:r>
        <w:rPr>
          <w:rFonts w:ascii="Arial" w:cs="Arial" w:eastAsia="Arial" w:hAnsi="Arial"/>
          <w:sz w:val="17"/>
          <w:szCs w:val="17"/>
          <w:u w:val="single" w:color="auto"/>
          <w:color w:val="auto"/>
        </w:rPr>
        <w:t>Section 4.01(b)</w:t>
      </w:r>
      <w:r>
        <w:rPr>
          <w:rFonts w:ascii="Arial" w:cs="Arial" w:eastAsia="Arial" w:hAnsi="Arial"/>
          <w:sz w:val="17"/>
          <w:szCs w:val="17"/>
          <w:color w:val="auto"/>
        </w:rPr>
        <w:t xml:space="preserve">, and to deliver the forms required by </w:t>
      </w:r>
      <w:r>
        <w:rPr>
          <w:rFonts w:ascii="Arial" w:cs="Arial" w:eastAsia="Arial" w:hAnsi="Arial"/>
          <w:sz w:val="17"/>
          <w:szCs w:val="17"/>
          <w:u w:val="single" w:color="auto"/>
          <w:color w:val="auto"/>
        </w:rPr>
        <w:t>Sections 4.02(c)</w:t>
      </w:r>
      <w:r>
        <w:rPr>
          <w:rFonts w:ascii="Arial" w:cs="Arial" w:eastAsia="Arial" w:hAnsi="Arial"/>
          <w:sz w:val="17"/>
          <w:szCs w:val="17"/>
          <w:color w:val="auto"/>
        </w:rPr>
        <w:t xml:space="preserve">, </w:t>
      </w:r>
      <w:r>
        <w:rPr>
          <w:rFonts w:ascii="Arial" w:cs="Arial" w:eastAsia="Arial" w:hAnsi="Arial"/>
          <w:sz w:val="17"/>
          <w:szCs w:val="17"/>
          <w:u w:val="single" w:color="auto"/>
          <w:color w:val="auto"/>
        </w:rPr>
        <w:t>4.02(e)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4.02(i)</w:t>
      </w:r>
      <w:r>
        <w:rPr>
          <w:rFonts w:ascii="Arial" w:cs="Arial" w:eastAsia="Arial" w:hAnsi="Arial"/>
          <w:sz w:val="17"/>
          <w:szCs w:val="17"/>
          <w:color w:val="auto"/>
        </w:rPr>
        <w:t xml:space="preserve"> as though it were a Lender. Each Lender that sells a participation shall, acting solely for this purpose as a non-fiduciary agent of the Borrowers (and such agency being solely for tax purposes),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Provided the requirements of this </w:t>
      </w:r>
      <w:r>
        <w:rPr>
          <w:rFonts w:ascii="Arial" w:cs="Arial" w:eastAsia="Arial" w:hAnsi="Arial"/>
          <w:sz w:val="17"/>
          <w:szCs w:val="17"/>
          <w:u w:val="single" w:color="auto"/>
          <w:color w:val="auto"/>
        </w:rPr>
        <w:t>Section 11.05</w:t>
      </w:r>
      <w:r>
        <w:rPr>
          <w:rFonts w:ascii="Arial" w:cs="Arial" w:eastAsia="Arial" w:hAnsi="Arial"/>
          <w:sz w:val="17"/>
          <w:szCs w:val="17"/>
          <w:color w:val="auto"/>
        </w:rPr>
        <w:t xml:space="preserve"> (including, but not limited to, </w:t>
      </w:r>
      <w:r>
        <w:rPr>
          <w:rFonts w:ascii="Arial" w:cs="Arial" w:eastAsia="Arial" w:hAnsi="Arial"/>
          <w:sz w:val="17"/>
          <w:szCs w:val="17"/>
          <w:u w:val="single" w:color="auto"/>
          <w:color w:val="auto"/>
        </w:rPr>
        <w:t>Section 11.05(c)(ii)</w:t>
      </w:r>
      <w:r>
        <w:rPr>
          <w:rFonts w:ascii="Arial" w:cs="Arial" w:eastAsia="Arial" w:hAnsi="Arial"/>
          <w:sz w:val="17"/>
          <w:szCs w:val="17"/>
          <w:color w:val="auto"/>
        </w:rPr>
        <w:t>) are satisfied,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3" w:lineRule="exact"/>
        <w:rPr>
          <w:sz w:val="20"/>
          <w:szCs w:val="20"/>
          <w:color w:val="auto"/>
        </w:rPr>
      </w:pPr>
    </w:p>
    <w:p>
      <w:pPr>
        <w:ind w:left="660" w:right="100" w:firstLine="1293"/>
        <w:spacing w:after="0" w:line="276" w:lineRule="auto"/>
        <w:tabs>
          <w:tab w:leader="none" w:pos="2671" w:val="left"/>
        </w:tabs>
        <w:numPr>
          <w:ilvl w:val="1"/>
          <w:numId w:val="502"/>
        </w:numPr>
        <w:rPr>
          <w:rFonts w:ascii="Arial" w:cs="Arial" w:eastAsia="Arial" w:hAnsi="Arial"/>
          <w:sz w:val="17"/>
          <w:szCs w:val="17"/>
          <w:color w:val="auto"/>
        </w:rPr>
      </w:pPr>
      <w:r>
        <w:rPr>
          <w:rFonts w:ascii="Arial" w:cs="Arial" w:eastAsia="Arial" w:hAnsi="Arial"/>
          <w:sz w:val="17"/>
          <w:szCs w:val="17"/>
          <w:color w:val="auto"/>
        </w:rPr>
        <w:t xml:space="preserve">A Participant shall not be entitled to receive any greater payment under </w:t>
      </w:r>
      <w:r>
        <w:rPr>
          <w:rFonts w:ascii="Arial" w:cs="Arial" w:eastAsia="Arial" w:hAnsi="Arial"/>
          <w:sz w:val="17"/>
          <w:szCs w:val="17"/>
          <w:u w:val="single" w:color="auto"/>
          <w:color w:val="auto"/>
        </w:rPr>
        <w:t>Sections 2.12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4.02</w:t>
      </w:r>
      <w:r>
        <w:rPr>
          <w:rFonts w:ascii="Arial" w:cs="Arial" w:eastAsia="Arial" w:hAnsi="Arial"/>
          <w:sz w:val="17"/>
          <w:szCs w:val="17"/>
          <w:color w:val="auto"/>
        </w:rPr>
        <w:t xml:space="preserve"> than the applicable Lender would have been entitled to receive with respect to the participation sold to such Participant, unless the sale of the participation to such Participant is made with WIL-Bermuda’s prior written consent. WIL-Bermuda shall be notified of each participation sold to a Participant, and each Participant shall comply with </w:t>
      </w:r>
      <w:r>
        <w:rPr>
          <w:rFonts w:ascii="Arial" w:cs="Arial" w:eastAsia="Arial" w:hAnsi="Arial"/>
          <w:sz w:val="17"/>
          <w:szCs w:val="17"/>
          <w:u w:val="single" w:color="auto"/>
          <w:color w:val="auto"/>
        </w:rPr>
        <w:t>Sections 4.02(c)</w:t>
      </w:r>
      <w:r>
        <w:rPr>
          <w:rFonts w:ascii="Arial" w:cs="Arial" w:eastAsia="Arial" w:hAnsi="Arial"/>
          <w:sz w:val="17"/>
          <w:szCs w:val="17"/>
          <w:color w:val="auto"/>
        </w:rPr>
        <w:t xml:space="preserve">, </w:t>
      </w:r>
      <w:r>
        <w:rPr>
          <w:rFonts w:ascii="Arial" w:cs="Arial" w:eastAsia="Arial" w:hAnsi="Arial"/>
          <w:sz w:val="17"/>
          <w:szCs w:val="17"/>
          <w:u w:val="single" w:color="auto"/>
          <w:color w:val="auto"/>
        </w:rPr>
        <w:t>4.02(d)</w:t>
      </w:r>
      <w:r>
        <w:rPr>
          <w:rFonts w:ascii="Arial" w:cs="Arial" w:eastAsia="Arial" w:hAnsi="Arial"/>
          <w:sz w:val="17"/>
          <w:szCs w:val="17"/>
          <w:color w:val="auto"/>
        </w:rPr>
        <w:t xml:space="preserve">, </w:t>
      </w:r>
      <w:r>
        <w:rPr>
          <w:rFonts w:ascii="Arial" w:cs="Arial" w:eastAsia="Arial" w:hAnsi="Arial"/>
          <w:sz w:val="17"/>
          <w:szCs w:val="17"/>
          <w:u w:val="single" w:color="auto"/>
          <w:color w:val="auto"/>
        </w:rPr>
        <w:t>4.02(e)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4.02(i)</w:t>
      </w:r>
      <w:r>
        <w:rPr>
          <w:rFonts w:ascii="Arial" w:cs="Arial" w:eastAsia="Arial" w:hAnsi="Arial"/>
          <w:sz w:val="17"/>
          <w:szCs w:val="17"/>
          <w:color w:val="auto"/>
        </w:rPr>
        <w:t xml:space="preserve"> as though it were a Lender. A Participant that fails to comply with the preceding sentence shall not be entitled to any of the benefits of </w:t>
      </w:r>
      <w:r>
        <w:rPr>
          <w:rFonts w:ascii="Arial" w:cs="Arial" w:eastAsia="Arial" w:hAnsi="Arial"/>
          <w:sz w:val="17"/>
          <w:szCs w:val="17"/>
          <w:u w:val="single" w:color="auto"/>
          <w:color w:val="auto"/>
        </w:rPr>
        <w:t>Section 4.02</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jc w:val="both"/>
        <w:ind w:right="60" w:firstLine="1305"/>
        <w:spacing w:after="0" w:line="259" w:lineRule="auto"/>
        <w:tabs>
          <w:tab w:leader="none" w:pos="2001" w:val="left"/>
        </w:tabs>
        <w:numPr>
          <w:ilvl w:val="0"/>
          <w:numId w:val="503"/>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SECTION 11.06 </w:t>
      </w:r>
      <w:r>
        <w:rPr>
          <w:rFonts w:ascii="Arial" w:cs="Arial" w:eastAsia="Arial" w:hAnsi="Arial"/>
          <w:sz w:val="17"/>
          <w:szCs w:val="17"/>
          <w:u w:val="single" w:color="auto"/>
          <w:color w:val="auto"/>
        </w:rPr>
        <w:t>Confidentiality</w:t>
      </w:r>
      <w:r>
        <w:rPr>
          <w:rFonts w:ascii="Arial" w:cs="Arial" w:eastAsia="Arial" w:hAnsi="Arial"/>
          <w:sz w:val="17"/>
          <w:szCs w:val="17"/>
          <w:color w:val="auto"/>
        </w:rPr>
        <w:t>. Each of the Administrative Agent, the Collateral Agent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to the extent set forth herein), (b) to the extent requested by any regulatory authority or self-regulatory body having or claiming jurisdiction over such Person, (c) to the extent required by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applicable laws or regulations or by any subpoena, court order or similar legal or regulatory process, (d) to any other party to this Agreement or any other Loan Document,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other Loan Document or (ii) any actual or prospective counterparty (or its advisors) to any swap or derivative transaction to which an Obligor is a direct counterparty relating to any Obligors and their respective obligations hereunder, and to any insurer or insurance broker, (g) with the consent of the applicable Obligors, (h) to the extent such Information (i) becomes publicly available other than as a result of a breach of this Section or (ii) becomes available to the Administrative Agent, the Collateral Agent or any Lender on a non-confidential basis from a source other than an Obligor, or (i) on a confidential basis to (i) any rating agency in connection with rating the Borrower or its Subsidiaries or the credit facilities provided for herein or (ii) the CUSIP Service Bureau or any similar agency in connection with the issuance and monitoring of CUSIP numbers with respect to the credit facilities provided for herein. For the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any Obligor relating to such Obligor or any other Obligor or their respective businesses, other than any such information that is available to the Administrative Agent, the Collateral Agent or any Lender on a non-confidential basis prior to disclosure by the applicable Obligor and other than information pertaining to this Agreement routinely provided by arrangers to data service providers, including league table providers, that serve the lending industry and service providers to the Administrative Agent, the Collateral Agent or any other Lender in connection with the administration and management of this Agreement and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Each of the Administrative Agent, the Collateral Agent and the Lenders shall endeavor to notify WIL-Bermuda as promptly as possible of any Information that it is required to disclose pursuant to any subpoena, court order or similar legal or regulatory process so long as it is not legally prohibited from providing such notice.</w:t>
      </w:r>
    </w:p>
    <w:p>
      <w:pPr>
        <w:spacing w:after="0" w:line="16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EACH LENDER ACKNOWLEDGES THAT INFORMATION AS DEFINED IN THE IMMEDIATELY PRECEDING PARAGRAPH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8"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ALL INFORMATION, INCLUDING REQUESTS FOR WAIVERS AND AMENDMENTS, FURNISHED BY THE BORROWER, THE ADMINISTRATIVE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AGENT OR THE COLLATERAL AGENT PURSUANT TO, OR IN THE COURSE OF ADMINISTERING, THIS AGREEMENT WILL BE SYNDICATE-LEVEL INFORMATION, WHICH MAY CONTAIN MATERIAL NON-PUBLIC INFORMATION ABOUT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ectPr>
          <w:pgSz w:w="11900" w:h="16838" w:orient="portrait"/>
          <w:cols w:equalWidth="0" w:num="1">
            <w:col w:w="11400"/>
          </w:cols>
          <w:pgMar w:left="240" w:top="125" w:right="259" w:bottom="0" w:gutter="0" w:footer="0" w:header="0"/>
        </w:sectPr>
      </w:pPr>
    </w:p>
    <w:bookmarkStart w:id="196" w:name="page197"/>
    <w:bookmarkEnd w:id="196"/>
    <w:p>
      <w:pPr>
        <w:spacing w:after="0" w:line="66"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All covenants, agreements, representations and warranties made by the Obligors herein, in the other Loan Documents and in the certificates or other instruments delivered in connection with or pursuant to this Agreement or any other Loan Document shall be considered to have been relied upon by the other parties hereto and thereto and shall survive the execution and delivery of this Agreement and the other Loan Documents and the making of any Loans, regardless of any investigation made by any such other party or on its behalf and notwithstanding that the Administrative Agent, the Collateral Agent or any Lender may have had notice or knowledge of any Default or incorrect representation or warranty at the time any credit is extended hereunder, and shall continue in full force and effect until Payment in Full. The provisions of </w:t>
      </w:r>
      <w:r>
        <w:rPr>
          <w:rFonts w:ascii="Arial" w:cs="Arial" w:eastAsia="Arial" w:hAnsi="Arial"/>
          <w:sz w:val="17"/>
          <w:szCs w:val="17"/>
          <w:u w:val="single" w:color="auto"/>
          <w:color w:val="auto"/>
        </w:rPr>
        <w:t>Sections 2.12</w:t>
      </w:r>
      <w:r>
        <w:rPr>
          <w:rFonts w:ascii="Arial" w:cs="Arial" w:eastAsia="Arial" w:hAnsi="Arial"/>
          <w:sz w:val="17"/>
          <w:szCs w:val="17"/>
          <w:color w:val="auto"/>
        </w:rPr>
        <w:t xml:space="preserve">, </w:t>
      </w:r>
      <w:r>
        <w:rPr>
          <w:rFonts w:ascii="Arial" w:cs="Arial" w:eastAsia="Arial" w:hAnsi="Arial"/>
          <w:sz w:val="17"/>
          <w:szCs w:val="17"/>
          <w:u w:val="single" w:color="auto"/>
          <w:color w:val="auto"/>
        </w:rPr>
        <w:t>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4.02</w:t>
      </w:r>
      <w:r>
        <w:rPr>
          <w:rFonts w:ascii="Arial" w:cs="Arial" w:eastAsia="Arial" w:hAnsi="Arial"/>
          <w:sz w:val="17"/>
          <w:szCs w:val="17"/>
          <w:color w:val="auto"/>
        </w:rPr>
        <w:t xml:space="preserve">, </w:t>
      </w:r>
      <w:r>
        <w:rPr>
          <w:rFonts w:ascii="Arial" w:cs="Arial" w:eastAsia="Arial" w:hAnsi="Arial"/>
          <w:sz w:val="17"/>
          <w:szCs w:val="17"/>
          <w:u w:val="single" w:color="auto"/>
          <w:color w:val="auto"/>
        </w:rPr>
        <w:t>11.03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survive and remain in full force and effect regardless of the consummation of the transactions contemplated hereby, the repayment of the Loans and the Commitments or the termination of this Agreement or any provision hereof.</w:t>
      </w:r>
    </w:p>
    <w:p>
      <w:pPr>
        <w:spacing w:after="0" w:line="17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SECTION 11.08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the other Loan Documents (other than any Collateral Document that expressly selects to be governed by the laws of another jurisdiction) and all other documents executed in connection herewith and therewith and the rights and obligations of the parties hereto and thereto, shall be construed in accordance with and governed by the law of the State of New York.</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Independence of Covenants</w:t>
      </w:r>
      <w:r>
        <w:rPr>
          <w:rFonts w:ascii="Arial" w:cs="Arial" w:eastAsia="Arial" w:hAnsi="Arial"/>
          <w:sz w:val="18"/>
          <w:szCs w:val="18"/>
          <w:color w:val="auto"/>
        </w:rPr>
        <w:t>. All covenants contained in this Agreement and in the other Loan Documents shall be given independent effect so that if a particular action or condition is not permitted by any of such covenants, the fact that such action or condition would be permitted by an exception to, or otherwise be within the limitations of, another covenant, shall not avoid the occurrence of a Default or an Event of Default if such action is taken or condition exists.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Counterparts; Integration; Effectiveness; Electronic Execution</w:t>
      </w:r>
      <w:r>
        <w:rPr>
          <w:rFonts w:ascii="Arial" w:cs="Arial" w:eastAsia="Arial" w:hAnsi="Arial"/>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the Notes, the other Loan Documents and any separate letter agreements with respect to fees payable to the Administrative Agent or the Collateral Agent constitute the entire contract among the parties relating to the subject matter hereof and supersede any and all previous agreements and understandings, oral or written, relating to the subject matter hereof. This Agreement shall become effective on the Effective Date, and thereafter shall be binding upon and inure to the benefit of the parties hereto and their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respective successors and assigns. Delivery of an executed counterpart of a signature page to this Agreement by facsimile transmission or electronic transmission (in .pdf format) shall be effective for all purposes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w:t>
      </w:r>
    </w:p>
    <w:p>
      <w:pPr>
        <w:spacing w:after="0" w:line="19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8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Conflicts Between This Agreement and the Other Loan Documents</w:t>
      </w:r>
      <w:r>
        <w:rPr>
          <w:rFonts w:ascii="Arial" w:cs="Arial" w:eastAsia="Arial" w:hAnsi="Arial"/>
          <w:sz w:val="18"/>
          <w:szCs w:val="18"/>
          <w:color w:val="auto"/>
        </w:rPr>
        <w:t>. In the event of any conflict between, or inconsistency with, the terms of this Agreement and the terms of any of the other Loan Documents, the terms of this Agreement shall control. This provision shall not apply to any matters mandatorily governed by or subject to Luxembourg law.</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SECTION 11.14 </w:t>
      </w:r>
      <w:r>
        <w:rPr>
          <w:rFonts w:ascii="Arial" w:cs="Arial" w:eastAsia="Arial" w:hAnsi="Arial"/>
          <w:sz w:val="17"/>
          <w:szCs w:val="17"/>
          <w:u w:val="single" w:color="auto"/>
          <w:color w:val="auto"/>
        </w:rPr>
        <w:t>Limitation of Interest</w:t>
      </w:r>
      <w:r>
        <w:rPr>
          <w:rFonts w:ascii="Arial" w:cs="Arial" w:eastAsia="Arial" w:hAnsi="Arial"/>
          <w:sz w:val="17"/>
          <w:szCs w:val="17"/>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7"/>
          <w:szCs w:val="17"/>
          <w:u w:val="single" w:color="auto"/>
          <w:color w:val="auto"/>
        </w:rPr>
        <w:t>Charges</w:t>
      </w:r>
      <w:r>
        <w:rPr>
          <w:rFonts w:ascii="Arial" w:cs="Arial" w:eastAsia="Arial" w:hAnsi="Arial"/>
          <w:sz w:val="17"/>
          <w:szCs w:val="17"/>
          <w:color w:val="auto"/>
        </w:rPr>
        <w:t>”),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2280" w:val="left"/>
        </w:tabs>
        <w:rPr>
          <w:sz w:val="20"/>
          <w:szCs w:val="20"/>
          <w:color w:val="auto"/>
        </w:rPr>
      </w:pPr>
      <w:r>
        <w:rPr>
          <w:rFonts w:ascii="Arial" w:cs="Arial" w:eastAsia="Arial" w:hAnsi="Arial"/>
          <w:sz w:val="18"/>
          <w:szCs w:val="18"/>
          <w:color w:val="auto"/>
        </w:rPr>
        <w:t>SECTION 11.15</w:t>
      </w:r>
      <w:r>
        <w:rPr>
          <w:sz w:val="20"/>
          <w:szCs w:val="20"/>
          <w:color w:val="auto"/>
        </w:rPr>
        <w:tab/>
      </w:r>
      <w:r>
        <w:rPr>
          <w:rFonts w:ascii="Arial" w:cs="Arial" w:eastAsia="Arial" w:hAnsi="Arial"/>
          <w:sz w:val="16"/>
          <w:szCs w:val="16"/>
          <w:u w:val="single" w:color="auto"/>
          <w:color w:val="auto"/>
        </w:rPr>
        <w:t>Submission to Jurisdiction; Consent to Service of Process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53" w:lineRule="auto"/>
        <w:tabs>
          <w:tab w:leader="none" w:pos="1991" w:val="left"/>
        </w:tabs>
        <w:numPr>
          <w:ilvl w:val="0"/>
          <w:numId w:val="504"/>
        </w:numPr>
        <w:rPr>
          <w:rFonts w:ascii="Arial" w:cs="Arial" w:eastAsia="Arial" w:hAnsi="Arial"/>
          <w:sz w:val="18"/>
          <w:szCs w:val="18"/>
          <w:color w:val="auto"/>
        </w:rPr>
      </w:pPr>
      <w:r>
        <w:rPr>
          <w:rFonts w:ascii="Arial" w:cs="Arial" w:eastAsia="Arial" w:hAnsi="Arial"/>
          <w:sz w:val="18"/>
          <w:szCs w:val="18"/>
          <w:color w:val="auto"/>
        </w:rPr>
        <w:t xml:space="preserve">Each Obligor Party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 Nothing in this Agreement or any other Loan Document (including this </w:t>
      </w:r>
      <w:r>
        <w:rPr>
          <w:rFonts w:ascii="Arial" w:cs="Arial" w:eastAsia="Arial" w:hAnsi="Arial"/>
          <w:sz w:val="18"/>
          <w:szCs w:val="18"/>
          <w:u w:val="single" w:color="auto"/>
          <w:color w:val="auto"/>
        </w:rPr>
        <w:t>Section 11.15</w:t>
      </w:r>
      <w:r>
        <w:rPr>
          <w:rFonts w:ascii="Arial" w:cs="Arial" w:eastAsia="Arial" w:hAnsi="Arial"/>
          <w:sz w:val="18"/>
          <w:szCs w:val="18"/>
          <w:color w:val="auto"/>
        </w:rPr>
        <w:t>) shall affect any right that the Administrative Agent, the Collateral Agent or any Lender may otherwise have to bring any suit, action or proceeding relating to this Agreement or any other Loan Document against any Obligor or its properties in the courts of any jurisdiction.</w:t>
      </w:r>
    </w:p>
    <w:p>
      <w:pPr>
        <w:sectPr>
          <w:pgSz w:w="11900" w:h="16904" w:orient="portrait"/>
          <w:cols w:equalWidth="0" w:num="1">
            <w:col w:w="11420"/>
          </w:cols>
          <w:pgMar w:left="240" w:top="125" w:right="239" w:bottom="0" w:gutter="0" w:footer="0" w:header="0"/>
        </w:sectPr>
      </w:pPr>
    </w:p>
    <w:bookmarkStart w:id="197" w:name="page198"/>
    <w:bookmarkEnd w:id="197"/>
    <w:p>
      <w:pPr>
        <w:ind w:right="20" w:firstLine="1305"/>
        <w:spacing w:after="0" w:line="259" w:lineRule="auto"/>
        <w:tabs>
          <w:tab w:leader="none" w:pos="2001" w:val="left"/>
        </w:tabs>
        <w:numPr>
          <w:ilvl w:val="0"/>
          <w:numId w:val="505"/>
        </w:numPr>
        <w:rPr>
          <w:rFonts w:ascii="Arial" w:cs="Arial" w:eastAsia="Arial" w:hAnsi="Arial"/>
          <w:sz w:val="18"/>
          <w:szCs w:val="18"/>
          <w:color w:val="auto"/>
        </w:rPr>
      </w:pPr>
      <w:r>
        <w:rPr>
          <w:rFonts w:ascii="Arial" w:cs="Arial" w:eastAsia="Arial" w:hAnsi="Arial"/>
          <w:sz w:val="18"/>
          <w:szCs w:val="18"/>
          <w:color w:val="auto"/>
        </w:rPr>
        <w:t xml:space="preserve">Each Obligor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w:t>
      </w:r>
      <w:r>
        <w:rPr>
          <w:rFonts w:ascii="Arial" w:cs="Arial" w:eastAsia="Arial" w:hAnsi="Arial"/>
          <w:sz w:val="18"/>
          <w:szCs w:val="18"/>
          <w:u w:val="single" w:color="auto"/>
          <w:color w:val="auto"/>
        </w:rPr>
        <w:t>(a)</w:t>
      </w:r>
      <w:r>
        <w:rPr>
          <w:rFonts w:ascii="Arial" w:cs="Arial" w:eastAsia="Arial" w:hAnsi="Arial"/>
          <w:sz w:val="18"/>
          <w:szCs w:val="18"/>
          <w:color w:val="auto"/>
        </w:rPr>
        <w:t xml:space="preserve"> of this Section. Each Obligor Party hereby irrevocably waives, to the fullest extent permitted by law, the defense of an inconvenient forum to the maintenance of such action or proceeding in any such court.</w:t>
      </w:r>
    </w:p>
    <w:p>
      <w:pPr>
        <w:spacing w:after="0" w:line="186" w:lineRule="exact"/>
        <w:rPr>
          <w:rFonts w:ascii="Arial" w:cs="Arial" w:eastAsia="Arial" w:hAnsi="Arial"/>
          <w:sz w:val="18"/>
          <w:szCs w:val="18"/>
          <w:color w:val="auto"/>
        </w:rPr>
      </w:pPr>
    </w:p>
    <w:p>
      <w:pPr>
        <w:ind w:firstLine="1305"/>
        <w:spacing w:after="0" w:line="255" w:lineRule="auto"/>
        <w:tabs>
          <w:tab w:leader="none" w:pos="1991" w:val="left"/>
        </w:tabs>
        <w:numPr>
          <w:ilvl w:val="0"/>
          <w:numId w:val="505"/>
        </w:numPr>
        <w:rPr>
          <w:rFonts w:ascii="Arial" w:cs="Arial" w:eastAsia="Arial" w:hAnsi="Arial"/>
          <w:sz w:val="18"/>
          <w:szCs w:val="18"/>
          <w:color w:val="auto"/>
        </w:rPr>
      </w:pPr>
      <w:r>
        <w:rPr>
          <w:rFonts w:ascii="Arial" w:cs="Arial" w:eastAsia="Arial" w:hAnsi="Arial"/>
          <w:sz w:val="18"/>
          <w:szCs w:val="18"/>
          <w:color w:val="auto"/>
        </w:rPr>
        <w:t xml:space="preserve">Each party to this Agreement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other than by facsimile. Nothing in this Agreement or any other Loan Document will affect the right of any party to this Agreement or any other Loan Document to serve process in any other manner permitted by law. Notwithstanding any other provision of this Agreement, each foreign Obligor Party hereby irrevocably designates C T Corporation System, 111 8th Avenue, New York, New York 10011, as the designee, appointee and agent of such Obligor Party to receive, for and on behalf of such Obligor Party, service of process in the State of New York in any suit, action or proceeding arising out of or relating to this Agreement or any other Loan Document.</w:t>
      </w:r>
    </w:p>
    <w:p>
      <w:pPr>
        <w:spacing w:after="0" w:line="193" w:lineRule="exact"/>
        <w:rPr>
          <w:rFonts w:ascii="Arial" w:cs="Arial" w:eastAsia="Arial" w:hAnsi="Arial"/>
          <w:sz w:val="18"/>
          <w:szCs w:val="18"/>
          <w:color w:val="auto"/>
        </w:rPr>
      </w:pPr>
    </w:p>
    <w:p>
      <w:pPr>
        <w:ind w:right="80" w:firstLine="1305"/>
        <w:spacing w:after="0" w:line="257" w:lineRule="auto"/>
        <w:tabs>
          <w:tab w:leader="none" w:pos="2001" w:val="left"/>
        </w:tabs>
        <w:numPr>
          <w:ilvl w:val="0"/>
          <w:numId w:val="505"/>
        </w:numPr>
        <w:rPr>
          <w:rFonts w:ascii="Arial" w:cs="Arial" w:eastAsia="Arial" w:hAnsi="Arial"/>
          <w:sz w:val="18"/>
          <w:szCs w:val="18"/>
          <w:color w:val="auto"/>
        </w:rPr>
      </w:pPr>
      <w:r>
        <w:rPr>
          <w:rFonts w:ascii="Arial" w:cs="Arial" w:eastAsia="Arial" w:hAnsi="Arial"/>
          <w:sz w:val="18"/>
          <w:szCs w:val="18"/>
          <w:color w:val="auto"/>
        </w:rPr>
        <w:t>Each Obligor Party agrees that any suit, action or proceeding brought by any Obligor Party or any of their respective Subsidiaries relating to this Agreement or any other Loan Document against the Administrative Agent, the Collateral Agent any Lender or any of their respective Affiliates shall be brought exclusively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188" w:lineRule="exact"/>
        <w:rPr>
          <w:rFonts w:ascii="Arial" w:cs="Arial" w:eastAsia="Arial" w:hAnsi="Arial"/>
          <w:sz w:val="18"/>
          <w:szCs w:val="18"/>
          <w:color w:val="auto"/>
        </w:rPr>
      </w:pPr>
    </w:p>
    <w:p>
      <w:pPr>
        <w:ind w:right="40" w:firstLine="1305"/>
        <w:spacing w:after="0" w:line="264" w:lineRule="auto"/>
        <w:tabs>
          <w:tab w:leader="none" w:pos="1991"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Administrative Agent, the Collateral Agent and each Lender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173" w:lineRule="exact"/>
        <w:rPr>
          <w:sz w:val="20"/>
          <w:szCs w:val="20"/>
          <w:color w:val="auto"/>
        </w:rPr>
      </w:pPr>
    </w:p>
    <w:p>
      <w:pPr>
        <w:ind w:right="140" w:firstLine="1305"/>
        <w:spacing w:after="0" w:line="257" w:lineRule="auto"/>
        <w:tabs>
          <w:tab w:leader="none" w:pos="2016" w:val="left"/>
        </w:tabs>
        <w:numPr>
          <w:ilvl w:val="0"/>
          <w:numId w:val="506"/>
        </w:numPr>
        <w:rPr>
          <w:rFonts w:ascii="Arial" w:cs="Arial" w:eastAsia="Arial" w:hAnsi="Arial"/>
          <w:sz w:val="18"/>
          <w:szCs w:val="18"/>
          <w:color w:val="auto"/>
        </w:rPr>
      </w:pPr>
      <w:r>
        <w:rPr>
          <w:rFonts w:ascii="Arial" w:cs="Arial" w:eastAsia="Arial" w:hAnsi="Arial"/>
          <w:sz w:val="18"/>
          <w:szCs w:val="18"/>
          <w:color w:val="auto"/>
        </w:rPr>
        <w:t xml:space="preserve">The Administrative Agent, the Collateral Agent and each Lender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this Section. Each of the Administrative Agent, the Collateral Agent and each Lender hereby irrevocably waives, to the fullest extent permitted by law, the defense of an inconvenient forum to the maintenance of such action or proceeding in any such court.</w:t>
      </w:r>
    </w:p>
    <w:p>
      <w:pPr>
        <w:spacing w:after="0" w:line="188" w:lineRule="exact"/>
        <w:rPr>
          <w:rFonts w:ascii="Arial" w:cs="Arial" w:eastAsia="Arial" w:hAnsi="Arial"/>
          <w:sz w:val="18"/>
          <w:szCs w:val="18"/>
          <w:color w:val="auto"/>
        </w:rPr>
      </w:pPr>
    </w:p>
    <w:p>
      <w:pPr>
        <w:ind w:right="200" w:firstLine="1305"/>
        <w:spacing w:after="0" w:line="286" w:lineRule="auto"/>
        <w:tabs>
          <w:tab w:leader="none" w:pos="2001" w:val="left"/>
        </w:tabs>
        <w:numPr>
          <w:ilvl w:val="0"/>
          <w:numId w:val="506"/>
        </w:numPr>
        <w:rPr>
          <w:rFonts w:ascii="Arial" w:cs="Arial" w:eastAsia="Arial" w:hAnsi="Arial"/>
          <w:sz w:val="17"/>
          <w:szCs w:val="17"/>
          <w:color w:val="auto"/>
        </w:rPr>
      </w:pPr>
      <w:r>
        <w:rPr>
          <w:rFonts w:ascii="Arial" w:cs="Arial" w:eastAsia="Arial" w:hAnsi="Arial"/>
          <w:sz w:val="17"/>
          <w:szCs w:val="17"/>
          <w:color w:val="auto"/>
        </w:rPr>
        <w:t>To the extent that any Obligor Party has or hereafter may acquire any immunity from jurisdiction of any court or from set-off or any legal process (whether through service or notice, attachment prior to judgment, attachment in aid of execution, execution or otherwise) with respect to itself or its property, such Obligor Party hereby irrevocably waives such immunity in respect of its obligations under the Loan Documents.</w:t>
      </w:r>
    </w:p>
    <w:p>
      <w:pPr>
        <w:spacing w:after="0" w:line="16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SECTION 11.16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THIS AGREEMENT,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SECTION 11.17 </w:t>
      </w:r>
      <w:r>
        <w:rPr>
          <w:rFonts w:ascii="Arial" w:cs="Arial" w:eastAsia="Arial" w:hAnsi="Arial"/>
          <w:sz w:val="17"/>
          <w:szCs w:val="17"/>
          <w:u w:val="single" w:color="auto"/>
          <w:color w:val="auto"/>
        </w:rPr>
        <w:t>Judgment Currency</w:t>
      </w:r>
      <w:r>
        <w:rPr>
          <w:rFonts w:ascii="Arial" w:cs="Arial" w:eastAsia="Arial" w:hAnsi="Arial"/>
          <w:sz w:val="17"/>
          <w:szCs w:val="17"/>
          <w:color w:val="auto"/>
        </w:rPr>
        <w:t>. The obligation of each Obligor to make payments on any Obligation to the Lenders or to the Administrative Agent or Collateral Agent hereunder or under any other Loan Document in any currency (the “</w:t>
      </w:r>
      <w:r>
        <w:rPr>
          <w:rFonts w:ascii="Arial" w:cs="Arial" w:eastAsia="Arial" w:hAnsi="Arial"/>
          <w:sz w:val="17"/>
          <w:szCs w:val="17"/>
          <w:u w:val="single" w:color="auto"/>
          <w:color w:val="auto"/>
        </w:rPr>
        <w:t>first currency</w:t>
      </w:r>
      <w:r>
        <w:rPr>
          <w:rFonts w:ascii="Arial" w:cs="Arial" w:eastAsia="Arial" w:hAnsi="Arial"/>
          <w:sz w:val="17"/>
          <w:szCs w:val="17"/>
          <w:color w:val="auto"/>
        </w:rPr>
        <w:t>”) shall not be discharged or satisfied by any tender or recovery pursuant to any judgment expressed in or converted into any other currency (the “</w:t>
      </w:r>
      <w:r>
        <w:rPr>
          <w:rFonts w:ascii="Arial" w:cs="Arial" w:eastAsia="Arial" w:hAnsi="Arial"/>
          <w:sz w:val="17"/>
          <w:szCs w:val="17"/>
          <w:u w:val="single" w:color="auto"/>
          <w:color w:val="auto"/>
        </w:rPr>
        <w:t>second currency</w:t>
      </w:r>
      <w:r>
        <w:rPr>
          <w:rFonts w:ascii="Arial" w:cs="Arial" w:eastAsia="Arial" w:hAnsi="Arial"/>
          <w:sz w:val="17"/>
          <w:szCs w:val="17"/>
          <w:color w:val="auto"/>
        </w:rPr>
        <w:t>”) except to the extent to which such tender or recovery shall result in the effective receipt by the applicable Lender or the Administrative Agent or Collateral Agent of the full amount of the first currency payable, and accordingly the primary obligation of each Obligor shall be enforceable as an alternative or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additional cause of action for the purpose of recovery in the second currency of the amount (if any) by which such effective receipt shall fall short of the full amount of the full currency payable and shall not be affected by a judgment being obtained for any other sum due hereunder.</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11.18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USA Patriot Act (Title III of Pub. L. 107-56 (signed into law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hereby notifies the Obligors that pursuant to the requirements of the PATRIOT Act, it is required to obtain, verify and record information that identifies each Obligor, which information includes the name and address of such Obligor and other information that will allow such Lender to identify such Obligor in accordance with the PATRIOT Act.</w:t>
      </w:r>
    </w:p>
    <w:p>
      <w:pPr>
        <w:spacing w:after="0" w:line="18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SECTION 11.19 </w:t>
      </w:r>
      <w:r>
        <w:rPr>
          <w:rFonts w:ascii="Arial" w:cs="Arial" w:eastAsia="Arial" w:hAnsi="Arial"/>
          <w:sz w:val="17"/>
          <w:szCs w:val="17"/>
          <w:u w:val="single" w:color="auto"/>
          <w:color w:val="auto"/>
        </w:rPr>
        <w:t>Appointment for Perfection</w:t>
      </w:r>
      <w:r>
        <w:rPr>
          <w:rFonts w:ascii="Arial" w:cs="Arial" w:eastAsia="Arial" w:hAnsi="Arial"/>
          <w:sz w:val="17"/>
          <w:szCs w:val="17"/>
          <w:color w:val="auto"/>
        </w:rPr>
        <w:t>. Each Lender hereby appoints each other Lender as its agent for the purpose of perfecting Liens, for the benefit of the Collateral Agent and the Secured Parties, in assets which, in accordance with Article 9 of the UCC or any other applicable law (including the PPSA) can be perfected only by possession or control. Should any Lender (other than the Collateral Agent) obtain possession or control of any such Collateral, such Lender shall notify the Collateral Agent thereof, and, promptly upon the Collateral Agent’s request therefor shall deliver such Collateral to the Collateral Agent or otherwise deal with such Collateral in accordance with the Collateral Agent’s instructions.</w:t>
      </w:r>
    </w:p>
    <w:p>
      <w:pPr>
        <w:sectPr>
          <w:pgSz w:w="11900" w:h="16838" w:orient="portrait"/>
          <w:cols w:equalWidth="0" w:num="1">
            <w:col w:w="11420"/>
          </w:cols>
          <w:pgMar w:left="240" w:top="341" w:right="239" w:bottom="0" w:gutter="0" w:footer="0" w:header="0"/>
        </w:sectPr>
      </w:pPr>
    </w:p>
    <w:bookmarkStart w:id="198" w:name="page199"/>
    <w:bookmarkEnd w:id="198"/>
    <w:p>
      <w:pPr>
        <w:spacing w:after="0" w:line="3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SECTION 11.20 </w:t>
      </w:r>
      <w:r>
        <w:rPr>
          <w:rFonts w:ascii="Arial" w:cs="Arial" w:eastAsia="Arial" w:hAnsi="Arial"/>
          <w:sz w:val="18"/>
          <w:szCs w:val="18"/>
          <w:u w:val="single" w:color="auto"/>
          <w:color w:val="auto"/>
        </w:rPr>
        <w:t>Payments Set Aside</w:t>
      </w:r>
      <w:r>
        <w:rPr>
          <w:rFonts w:ascii="Arial" w:cs="Arial" w:eastAsia="Arial" w:hAnsi="Arial"/>
          <w:sz w:val="18"/>
          <w:szCs w:val="18"/>
          <w:color w:val="auto"/>
        </w:rPr>
        <w:t xml:space="preserve">. To the extent that any payment by or on behalf of any Borrower is made to the Administrative Agent, the Collateral Agent or any Lender, or the Administrative Agent, the Collateral Agent or any Lender exercises its right of set-off pursuant hereto, and such payment or the proceeds of such set-off or any part thereof is subsequently invalidated, declared to be fraudulent or preferential, set aside or required (including pursuant to any settlement entered into by the Administrative Agent, the Collateral Agent or such Lender in its discretion) to be repaid to a trustee, receiver, examiner, administrator or any other party, in connection with any Bankruptcy Event of an Obligor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(to the extent such amount had previously been paid by the Administrative Agent to such Lender), plus interest thereon from the date of such demand to the date such payment is made at a rate per annum equal to the Federal Funds Effective Rate from time to time in effect. The obligations of the Lenders under clause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the preceding sentence shall survive the Payment in Full.</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11.21 </w:t>
      </w:r>
      <w:r>
        <w:rPr>
          <w:rFonts w:ascii="Arial" w:cs="Arial" w:eastAsia="Arial" w:hAnsi="Arial"/>
          <w:sz w:val="18"/>
          <w:szCs w:val="18"/>
          <w:u w:val="single" w:color="auto"/>
          <w:color w:val="auto"/>
        </w:rPr>
        <w:t>No Fiduciary Duty</w:t>
      </w:r>
      <w:r>
        <w:rPr>
          <w:rFonts w:ascii="Arial" w:cs="Arial" w:eastAsia="Arial" w:hAnsi="Arial"/>
          <w:sz w:val="18"/>
          <w:szCs w:val="18"/>
          <w:color w:val="auto"/>
        </w:rPr>
        <w:t xml:space="preserve">. The Credit Parties and their respective Affiliates (collectively, solely for purposes of this </w:t>
      </w:r>
      <w:r>
        <w:rPr>
          <w:rFonts w:ascii="Arial" w:cs="Arial" w:eastAsia="Arial" w:hAnsi="Arial"/>
          <w:sz w:val="18"/>
          <w:szCs w:val="18"/>
          <w:u w:val="single" w:color="auto"/>
          <w:color w:val="auto"/>
        </w:rPr>
        <w:t>Section 11.21</w:t>
      </w:r>
      <w:r>
        <w:rPr>
          <w:rFonts w:ascii="Arial" w:cs="Arial" w:eastAsia="Arial" w:hAnsi="Arial"/>
          <w:sz w:val="18"/>
          <w:szCs w:val="18"/>
          <w:color w:val="auto"/>
        </w:rPr>
        <w:t>, the “</w:t>
      </w:r>
      <w:r>
        <w:rPr>
          <w:rFonts w:ascii="Arial" w:cs="Arial" w:eastAsia="Arial" w:hAnsi="Arial"/>
          <w:sz w:val="18"/>
          <w:szCs w:val="18"/>
          <w:u w:val="single" w:color="auto"/>
          <w:color w:val="auto"/>
        </w:rPr>
        <w:t>Credit Parties</w:t>
      </w:r>
      <w:r>
        <w:rPr>
          <w:rFonts w:ascii="Arial" w:cs="Arial" w:eastAsia="Arial" w:hAnsi="Arial"/>
          <w:sz w:val="18"/>
          <w:szCs w:val="18"/>
          <w:color w:val="auto"/>
        </w:rPr>
        <w:t>”) may have economic interests that conflict with those of the Borrowers. Each Obligor Party agrees that nothing in the Loan Documents or otherwise will be deemed to create an advisory, fiduciary or agency relationship or fiduciary or other implied duty between the Credit Parties and the Borrowers, their stockholders or their affiliates. Each Obligor Party acknowledges and agrees that (i) the transactions contemplated by the Loan Documents are arm’s-length commercial transactions between the Credit Parties, on the one hand, and the Obligors, on the other, (ii) in connection therewith and with the process leading to such transactions, each of the Credit Parties is acting</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solely as a principal and not the fiduciary of the Obligors, their management, stockholders, creditors or any other person, (iii) no Credit Party has assumed an advisory or fiduciary responsibility in favor of any Obligor with respect to the transactions contemplated hereby or the process leading thereto (irrespective of whether any Credit Party or any of its affiliates has advised or is currently advising any Obligor on other matters), (iv) each of the Credit Parties may be engaged in a broad range of transactions that involve interests that differ from those of the Obligor Parties and their Affiliates, and no Credit Party has any obligation to disclose any of such interests to the Obligor Parties or their Affiliates and (v) each Obligor has consulted its own legal and financial advisors to the extent it deemed appropriate. Each Obligor Party further acknowledges and agrees that it is responsible for making its own independent judgment with respect to the transactions contemplated hereby and the process leading thereto. Each Obligor Party agrees that it will not claim that any Credit Party has rendered advisory services of any nature or respect, or owes a fiduciary or similar duty to such Obligor Party or any other Obligor, in connection with the transactions contemplated hereby or the process leading thereto.</w:t>
      </w:r>
    </w:p>
    <w:p>
      <w:pPr>
        <w:spacing w:after="0" w:line="182" w:lineRule="exact"/>
        <w:rPr>
          <w:sz w:val="20"/>
          <w:szCs w:val="20"/>
          <w:color w:val="auto"/>
        </w:rPr>
      </w:pPr>
    </w:p>
    <w:p>
      <w:pPr>
        <w:ind w:left="660"/>
        <w:spacing w:after="0"/>
        <w:tabs>
          <w:tab w:leader="none" w:pos="2280" w:val="left"/>
        </w:tabs>
        <w:rPr>
          <w:sz w:val="20"/>
          <w:szCs w:val="20"/>
          <w:color w:val="auto"/>
        </w:rPr>
      </w:pPr>
      <w:r>
        <w:rPr>
          <w:rFonts w:ascii="Arial" w:cs="Arial" w:eastAsia="Arial" w:hAnsi="Arial"/>
          <w:sz w:val="18"/>
          <w:szCs w:val="18"/>
          <w:color w:val="auto"/>
        </w:rPr>
        <w:t>SECTION 11.22</w:t>
      </w:r>
      <w:r>
        <w:rPr>
          <w:sz w:val="20"/>
          <w:szCs w:val="20"/>
          <w:color w:val="auto"/>
        </w:rPr>
        <w:tab/>
      </w:r>
      <w:r>
        <w:rPr>
          <w:rFonts w:ascii="Arial" w:cs="Arial" w:eastAsia="Arial" w:hAnsi="Arial"/>
          <w:sz w:val="16"/>
          <w:szCs w:val="16"/>
          <w:u w:val="single" w:color="auto"/>
          <w:color w:val="auto"/>
        </w:rPr>
        <w:t>Release of Guarantors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54" w:lineRule="auto"/>
        <w:tabs>
          <w:tab w:leader="none" w:pos="1991" w:val="left"/>
        </w:tabs>
        <w:numPr>
          <w:ilvl w:val="0"/>
          <w:numId w:val="507"/>
        </w:numPr>
        <w:rPr>
          <w:rFonts w:ascii="Arial" w:cs="Arial" w:eastAsia="Arial" w:hAnsi="Arial"/>
          <w:sz w:val="18"/>
          <w:szCs w:val="18"/>
          <w:color w:val="auto"/>
        </w:rPr>
      </w:pPr>
      <w:r>
        <w:rPr>
          <w:rFonts w:ascii="Arial" w:cs="Arial" w:eastAsia="Arial" w:hAnsi="Arial"/>
          <w:sz w:val="18"/>
          <w:szCs w:val="18"/>
          <w:color w:val="auto"/>
        </w:rPr>
        <w:t>Any Guarantor (other than WIL-Ireland or WIL-Delaware) shall be automatically released from its obligations under any applicable Guaranty Agreement and the other Loan Documents (including Collateral Documents) (i) upon Payment in Full, (ii) upon such Person ceasing to be a Subsidiary as a result of a Disposition otherwise permitted by the Loan Document, (iii) upon such Person becoming an Unrestricted Subsidiary, (iv) in connection with a Guarantor ceasing to exist as permitted by Section 8.02 or (v) if both of the following are true: (A) such Person is not a Material Specified Subsidiary that is organized in a Specified Jurisdiction and (B) such Person does not Guarantee third party Indebtedness for borrowed money of a Holdco Guarantor in the principal amount in excess of $20,000,000 (other than the Term Loan Facility and the RCF), and in any case set forth above, promptly upon receipt of a written request therefor from the Borrowers, the Administrative Agent will execute and deliver all documents as may reasonably be requested to evidence such release.</w:t>
      </w:r>
    </w:p>
    <w:p>
      <w:pPr>
        <w:spacing w:after="0" w:line="192" w:lineRule="exact"/>
        <w:rPr>
          <w:rFonts w:ascii="Arial" w:cs="Arial" w:eastAsia="Arial" w:hAnsi="Arial"/>
          <w:sz w:val="18"/>
          <w:szCs w:val="18"/>
          <w:color w:val="auto"/>
        </w:rPr>
      </w:pPr>
    </w:p>
    <w:p>
      <w:pPr>
        <w:ind w:firstLine="1305"/>
        <w:spacing w:after="0" w:line="255" w:lineRule="auto"/>
        <w:tabs>
          <w:tab w:leader="none" w:pos="2001" w:val="left"/>
        </w:tabs>
        <w:numPr>
          <w:ilvl w:val="0"/>
          <w:numId w:val="507"/>
        </w:numPr>
        <w:rPr>
          <w:rFonts w:ascii="Arial" w:cs="Arial" w:eastAsia="Arial" w:hAnsi="Arial"/>
          <w:sz w:val="18"/>
          <w:szCs w:val="18"/>
          <w:color w:val="auto"/>
        </w:rPr>
      </w:pPr>
      <w:r>
        <w:rPr>
          <w:rFonts w:ascii="Arial" w:cs="Arial" w:eastAsia="Arial" w:hAnsi="Arial"/>
          <w:sz w:val="18"/>
          <w:szCs w:val="18"/>
          <w:color w:val="auto"/>
        </w:rPr>
        <w:t>Upon written notice from the Borrowers to the Administrative Agent, any Added Optional Guarantor shall be automatically released from its obligations under any applicable Guaranty Agreement and the other Loan Documents (including Collateral Documents) if both of the following are true: (A) such Person is not a Material Specified Subsidiary that is organized in a Specified Jurisdiction and (B) such Person does not Guarantee third party Indebtedness for borrowed money of a Holdco Guarantor in the principal amount in excess of $20,000,000 (other than the Term Loan Facility and the RCF), and promptly upon receipt of a written request therefor from the Borrowers, the Administrative Agent will execute and deliver all documents as may reasonably be requested to evidence such release.</w:t>
      </w:r>
    </w:p>
    <w:p>
      <w:pPr>
        <w:spacing w:after="0" w:line="193"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 xml:space="preserve">SECTION 11.23 </w:t>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among any of the parties hereto,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20" w:firstLine="1305"/>
        <w:spacing w:after="0" w:line="277" w:lineRule="auto"/>
        <w:tabs>
          <w:tab w:leader="none" w:pos="1991"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660" w:right="280" w:firstLine="1293"/>
        <w:spacing w:after="0" w:line="259" w:lineRule="auto"/>
        <w:tabs>
          <w:tab w:leader="none" w:pos="2671" w:val="left"/>
        </w:tabs>
        <w:numPr>
          <w:ilvl w:val="1"/>
          <w:numId w:val="508"/>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660" w:right="100" w:firstLine="1293"/>
        <w:spacing w:after="0" w:line="277" w:lineRule="auto"/>
        <w:tabs>
          <w:tab w:leader="none" w:pos="2677" w:val="left"/>
        </w:tabs>
        <w:numPr>
          <w:ilvl w:val="1"/>
          <w:numId w:val="508"/>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ind w:left="660"/>
        <w:spacing w:after="0"/>
        <w:tabs>
          <w:tab w:leader="none" w:pos="2280" w:val="left"/>
        </w:tabs>
        <w:rPr>
          <w:sz w:val="20"/>
          <w:szCs w:val="20"/>
          <w:color w:val="auto"/>
        </w:rPr>
      </w:pPr>
      <w:r>
        <w:rPr>
          <w:rFonts w:ascii="Arial" w:cs="Arial" w:eastAsia="Arial" w:hAnsi="Arial"/>
          <w:sz w:val="18"/>
          <w:szCs w:val="18"/>
          <w:color w:val="auto"/>
        </w:rPr>
        <w:t>SECTION 11.24</w:t>
      </w:r>
      <w:r>
        <w:rPr>
          <w:sz w:val="20"/>
          <w:szCs w:val="20"/>
          <w:color w:val="auto"/>
        </w:rPr>
        <w:tab/>
      </w:r>
      <w:r>
        <w:rPr>
          <w:rFonts w:ascii="Arial" w:cs="Arial" w:eastAsia="Arial" w:hAnsi="Arial"/>
          <w:sz w:val="16"/>
          <w:szCs w:val="16"/>
          <w:u w:val="single" w:color="auto"/>
          <w:color w:val="auto"/>
        </w:rPr>
        <w:t>Confirmation of Lender’s Status as a Swiss Qualifying Lender</w:t>
      </w:r>
      <w:r>
        <w:rPr>
          <w:rFonts w:ascii="Arial" w:cs="Arial" w:eastAsia="Arial" w:hAnsi="Arial"/>
          <w:sz w:val="16"/>
          <w:szCs w:val="16"/>
          <w:color w:val="auto"/>
        </w:rPr>
        <w:t>.</w:t>
      </w:r>
    </w:p>
    <w:p>
      <w:pPr>
        <w:sectPr>
          <w:pgSz w:w="11900" w:h="16874" w:orient="portrait"/>
          <w:cols w:equalWidth="0" w:num="1">
            <w:col w:w="11400"/>
          </w:cols>
          <w:pgMar w:left="240" w:top="125" w:right="259" w:bottom="0" w:gutter="0" w:footer="0" w:header="0"/>
        </w:sectPr>
      </w:pPr>
    </w:p>
    <w:bookmarkStart w:id="199" w:name="page200"/>
    <w:bookmarkEnd w:id="199"/>
    <w:p>
      <w:pPr>
        <w:jc w:val="both"/>
        <w:ind w:right="100" w:firstLine="1305"/>
        <w:spacing w:after="0" w:line="264" w:lineRule="auto"/>
        <w:tabs>
          <w:tab w:leader="none" w:pos="1991" w:val="left"/>
        </w:tabs>
        <w:numPr>
          <w:ilvl w:val="0"/>
          <w:numId w:val="509"/>
        </w:numPr>
        <w:rPr>
          <w:rFonts w:ascii="Arial" w:cs="Arial" w:eastAsia="Arial" w:hAnsi="Arial"/>
          <w:sz w:val="18"/>
          <w:szCs w:val="18"/>
          <w:color w:val="auto"/>
        </w:rPr>
      </w:pPr>
      <w:r>
        <w:rPr>
          <w:rFonts w:ascii="Arial" w:cs="Arial" w:eastAsia="Arial" w:hAnsi="Arial"/>
          <w:sz w:val="18"/>
          <w:szCs w:val="18"/>
          <w:color w:val="auto"/>
        </w:rPr>
        <w:t>Each Lender confirms that, as of the Effective Date, unless notified in writing to WIL-Ireland and the Administrative Agent prior to the Effective Date, such Lender is a Swiss Qualifying Lender and has not entered into a participation arrangement with respect to this Agreement with any Person that is a Swiss Non-Qualifying Lender.</w:t>
      </w:r>
    </w:p>
    <w:p>
      <w:pPr>
        <w:spacing w:after="0" w:line="181" w:lineRule="exact"/>
        <w:rPr>
          <w:rFonts w:ascii="Arial" w:cs="Arial" w:eastAsia="Arial" w:hAnsi="Arial"/>
          <w:sz w:val="18"/>
          <w:szCs w:val="18"/>
          <w:color w:val="auto"/>
        </w:rPr>
      </w:pPr>
    </w:p>
    <w:p>
      <w:pPr>
        <w:ind w:right="200" w:firstLine="1305"/>
        <w:spacing w:after="0" w:line="286" w:lineRule="auto"/>
        <w:tabs>
          <w:tab w:leader="none" w:pos="2001" w:val="left"/>
        </w:tabs>
        <w:numPr>
          <w:ilvl w:val="0"/>
          <w:numId w:val="509"/>
        </w:numPr>
        <w:rPr>
          <w:rFonts w:ascii="Arial" w:cs="Arial" w:eastAsia="Arial" w:hAnsi="Arial"/>
          <w:sz w:val="17"/>
          <w:szCs w:val="17"/>
          <w:color w:val="auto"/>
        </w:rPr>
      </w:pPr>
      <w:r>
        <w:rPr>
          <w:rFonts w:ascii="Arial" w:cs="Arial" w:eastAsia="Arial" w:hAnsi="Arial"/>
          <w:sz w:val="17"/>
          <w:szCs w:val="17"/>
          <w:color w:val="auto"/>
        </w:rPr>
        <w:t xml:space="preserve">Without limitation to any consent or other rights provided for in this Agreement (including </w:t>
      </w:r>
      <w:r>
        <w:rPr>
          <w:rFonts w:ascii="Arial" w:cs="Arial" w:eastAsia="Arial" w:hAnsi="Arial"/>
          <w:sz w:val="17"/>
          <w:szCs w:val="17"/>
          <w:u w:val="single" w:color="auto"/>
          <w:color w:val="auto"/>
        </w:rPr>
        <w:t>Section 11.05</w:t>
      </w:r>
      <w:r>
        <w:rPr>
          <w:rFonts w:ascii="Arial" w:cs="Arial" w:eastAsia="Arial" w:hAnsi="Arial"/>
          <w:sz w:val="17"/>
          <w:szCs w:val="17"/>
          <w:color w:val="auto"/>
        </w:rPr>
        <w:t>), any Person that shall become an assignee, Participant or sub-participant with respect to any Lender or Participant pursuant to this Agreement shall confirm in writing to WIL-Ireland and the Administrative Agent prior to the date such Person becomes a Lender, Participant or sub-participant, that:</w:t>
      </w:r>
    </w:p>
    <w:p>
      <w:pPr>
        <w:spacing w:after="0" w:line="165" w:lineRule="exact"/>
        <w:rPr>
          <w:rFonts w:ascii="Arial" w:cs="Arial" w:eastAsia="Arial" w:hAnsi="Arial"/>
          <w:sz w:val="17"/>
          <w:szCs w:val="17"/>
          <w:color w:val="auto"/>
        </w:rPr>
      </w:pPr>
    </w:p>
    <w:p>
      <w:pPr>
        <w:ind w:left="660" w:right="260" w:firstLine="1293"/>
        <w:spacing w:after="0" w:line="277" w:lineRule="auto"/>
        <w:tabs>
          <w:tab w:leader="none" w:pos="2666" w:val="left"/>
        </w:tabs>
        <w:numPr>
          <w:ilvl w:val="1"/>
          <w:numId w:val="509"/>
        </w:numPr>
        <w:rPr>
          <w:rFonts w:ascii="Arial" w:cs="Arial" w:eastAsia="Arial" w:hAnsi="Arial"/>
          <w:sz w:val="18"/>
          <w:szCs w:val="18"/>
          <w:color w:val="auto"/>
        </w:rPr>
      </w:pPr>
      <w:r>
        <w:rPr>
          <w:rFonts w:ascii="Arial" w:cs="Arial" w:eastAsia="Arial" w:hAnsi="Arial"/>
          <w:sz w:val="18"/>
          <w:szCs w:val="18"/>
          <w:color w:val="auto"/>
        </w:rPr>
        <w:t>it is a Swiss Qualifying Lender and has not entered into a participation (including sub-participation) arrangement with respect to this Agreement with any Person that is a Swiss Non-Qualifying Lender; or</w:t>
      </w:r>
    </w:p>
    <w:p>
      <w:pPr>
        <w:spacing w:after="0" w:line="170" w:lineRule="exact"/>
        <w:rPr>
          <w:rFonts w:ascii="Arial" w:cs="Arial" w:eastAsia="Arial" w:hAnsi="Arial"/>
          <w:sz w:val="18"/>
          <w:szCs w:val="18"/>
          <w:color w:val="auto"/>
        </w:rPr>
      </w:pPr>
    </w:p>
    <w:p>
      <w:pPr>
        <w:ind w:left="660" w:right="40" w:firstLine="1293"/>
        <w:spacing w:after="0" w:line="277" w:lineRule="auto"/>
        <w:tabs>
          <w:tab w:leader="none" w:pos="2671" w:val="left"/>
        </w:tabs>
        <w:numPr>
          <w:ilvl w:val="1"/>
          <w:numId w:val="509"/>
        </w:numPr>
        <w:rPr>
          <w:rFonts w:ascii="Arial" w:cs="Arial" w:eastAsia="Arial" w:hAnsi="Arial"/>
          <w:sz w:val="18"/>
          <w:szCs w:val="18"/>
          <w:color w:val="auto"/>
        </w:rPr>
      </w:pPr>
      <w:r>
        <w:rPr>
          <w:rFonts w:ascii="Arial" w:cs="Arial" w:eastAsia="Arial" w:hAnsi="Arial"/>
          <w:sz w:val="18"/>
          <w:szCs w:val="18"/>
          <w:color w:val="auto"/>
        </w:rPr>
        <w:t>if it is a Swiss Non-Qualifying Lender, it counts as one single creditor for purposes of the Swiss Non-Bank Rules (taking into account any participations and sub-participations).</w:t>
      </w:r>
    </w:p>
    <w:p>
      <w:pPr>
        <w:spacing w:after="0" w:line="170" w:lineRule="exact"/>
        <w:rPr>
          <w:rFonts w:ascii="Arial" w:cs="Arial" w:eastAsia="Arial" w:hAnsi="Arial"/>
          <w:sz w:val="18"/>
          <w:szCs w:val="18"/>
          <w:color w:val="auto"/>
        </w:rPr>
      </w:pPr>
    </w:p>
    <w:p>
      <w:pPr>
        <w:ind w:right="40" w:firstLine="1305"/>
        <w:spacing w:after="0" w:line="277" w:lineRule="auto"/>
        <w:tabs>
          <w:tab w:leader="none" w:pos="1991" w:val="left"/>
        </w:tabs>
        <w:numPr>
          <w:ilvl w:val="0"/>
          <w:numId w:val="509"/>
        </w:numPr>
        <w:rPr>
          <w:rFonts w:ascii="Arial" w:cs="Arial" w:eastAsia="Arial" w:hAnsi="Arial"/>
          <w:sz w:val="18"/>
          <w:szCs w:val="18"/>
          <w:color w:val="auto"/>
        </w:rPr>
      </w:pPr>
      <w:r>
        <w:rPr>
          <w:rFonts w:ascii="Arial" w:cs="Arial" w:eastAsia="Arial" w:hAnsi="Arial"/>
          <w:sz w:val="18"/>
          <w:szCs w:val="18"/>
          <w:color w:val="auto"/>
        </w:rPr>
        <w:t>Each Lender or Participant (including sub-participants) shall promptly notify WIL-Ireland and the Administrative Agent if for any reason it ceases to be a Swiss Qualifying Lender.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Remainder of this page intentionally left blank; signature pages follow.</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37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and delivered by their respective authorized officers as of the day and year first above written.</w:t>
      </w:r>
    </w:p>
    <w:p>
      <w:pPr>
        <w:spacing w:after="0" w:line="38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 Bermuda exempted company</w:t>
      </w:r>
    </w:p>
    <w:p>
      <w:pPr>
        <w:spacing w:after="0" w:line="200" w:lineRule="exact"/>
        <w:rPr>
          <w:sz w:val="20"/>
          <w:szCs w:val="20"/>
          <w:color w:val="auto"/>
        </w:rPr>
      </w:pPr>
    </w:p>
    <w:p>
      <w:pPr>
        <w:spacing w:after="0" w:line="227"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Mohammed Dadhiwala</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 Irish public limited company</w:t>
      </w:r>
    </w:p>
    <w:p>
      <w:pPr>
        <w:spacing w:after="0" w:line="200" w:lineRule="exact"/>
        <w:rPr>
          <w:sz w:val="20"/>
          <w:szCs w:val="20"/>
          <w:color w:val="auto"/>
        </w:rPr>
      </w:pPr>
    </w:p>
    <w:p>
      <w:pPr>
        <w:spacing w:after="0" w:line="227"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Bryant</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Timothy Bryant</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364-Day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 Administrative Agent, a Swingline Lender and a Lender</w:t>
      </w:r>
    </w:p>
    <w:p>
      <w:pPr>
        <w:spacing w:after="0" w:line="200" w:lineRule="exact"/>
        <w:rPr>
          <w:sz w:val="20"/>
          <w:szCs w:val="20"/>
          <w:color w:val="auto"/>
        </w:rPr>
      </w:pPr>
    </w:p>
    <w:p>
      <w:pPr>
        <w:spacing w:after="0" w:line="227" w:lineRule="exact"/>
        <w:rPr>
          <w:sz w:val="20"/>
          <w:szCs w:val="20"/>
          <w:color w:val="auto"/>
        </w:rPr>
      </w:pPr>
    </w:p>
    <w:tbl>
      <w:tblPr>
        <w:tblLayout w:type="fixed"/>
        <w:tblInd w:w="59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ind w:left="80"/>
              <w:spacing w:after="0"/>
              <w:rPr>
                <w:sz w:val="20"/>
                <w:szCs w:val="20"/>
                <w:color w:val="auto"/>
              </w:rPr>
            </w:pPr>
            <w:r>
              <w:rPr>
                <w:rFonts w:ascii="Arial" w:cs="Arial" w:eastAsia="Arial" w:hAnsi="Arial"/>
                <w:sz w:val="18"/>
                <w:szCs w:val="18"/>
                <w:color w:val="auto"/>
              </w:rPr>
              <w:t>/s/ Jeffrey C. Miller</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80" w:type="dxa"/>
            <w:vAlign w:val="bottom"/>
          </w:tcPr>
          <w:p>
            <w:pPr>
              <w:spacing w:after="0"/>
              <w:rPr>
                <w:sz w:val="16"/>
                <w:szCs w:val="16"/>
                <w:color w:val="auto"/>
              </w:rPr>
            </w:pPr>
          </w:p>
        </w:tc>
        <w:tc>
          <w:tcPr>
            <w:tcW w:w="488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Jeffrey C. Miller</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gridSpan w:val="2"/>
          </w:tcPr>
          <w:p>
            <w:pPr>
              <w:ind w:left="80"/>
              <w:spacing w:after="0"/>
              <w:rPr>
                <w:sz w:val="20"/>
                <w:szCs w:val="20"/>
                <w:color w:val="auto"/>
              </w:rPr>
            </w:pPr>
            <w:r>
              <w:rPr>
                <w:rFonts w:ascii="Arial" w:cs="Arial" w:eastAsia="Arial" w:hAnsi="Arial"/>
                <w:sz w:val="18"/>
                <w:szCs w:val="18"/>
                <w:color w:val="auto"/>
              </w:rPr>
              <w:t>Executive 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364-Day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WELLS FARGO BANK, NATIONAL</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ASSOCIATION, as a Lender</w:t>
      </w:r>
    </w:p>
    <w:p>
      <w:pPr>
        <w:spacing w:after="0" w:line="200" w:lineRule="exact"/>
        <w:rPr>
          <w:sz w:val="20"/>
          <w:szCs w:val="20"/>
          <w:color w:val="auto"/>
        </w:rPr>
      </w:pPr>
    </w:p>
    <w:p>
      <w:pPr>
        <w:spacing w:after="0" w:line="227" w:lineRule="exact"/>
        <w:rPr>
          <w:sz w:val="20"/>
          <w:szCs w:val="20"/>
          <w:color w:val="auto"/>
        </w:rPr>
      </w:pPr>
    </w:p>
    <w:tbl>
      <w:tblPr>
        <w:tblLayout w:type="fixed"/>
        <w:tblInd w:w="59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Tribolet</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Michael A. Tribolet</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364-Day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43" w:gutter="0" w:footer="0" w:header="0"/>
        </w:sectPr>
      </w:pPr>
    </w:p>
    <w:bookmarkStart w:id="200" w:name="page201"/>
    <w:bookmarkEnd w:id="200"/>
    <w:p>
      <w:pPr>
        <w:ind w:left="4700"/>
        <w:spacing w:after="0"/>
        <w:rPr>
          <w:sz w:val="20"/>
          <w:szCs w:val="20"/>
          <w:color w:val="auto"/>
        </w:rPr>
      </w:pPr>
      <w:r>
        <w:rPr>
          <w:rFonts w:ascii="Arial" w:cs="Arial" w:eastAsia="Arial" w:hAnsi="Arial"/>
          <w:sz w:val="18"/>
          <w:szCs w:val="18"/>
          <w:color w:val="auto"/>
        </w:rPr>
        <w:t>MORGAN STANLEY SENIOR FUNDING, INC.,</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Collateral Agent</w:t>
      </w:r>
    </w:p>
    <w:p>
      <w:pPr>
        <w:spacing w:after="0" w:line="200" w:lineRule="exact"/>
        <w:rPr>
          <w:sz w:val="20"/>
          <w:szCs w:val="20"/>
          <w:color w:val="auto"/>
        </w:rPr>
      </w:pPr>
    </w:p>
    <w:p>
      <w:pPr>
        <w:spacing w:after="0" w:line="227" w:lineRule="exact"/>
        <w:rPr>
          <w:sz w:val="20"/>
          <w:szCs w:val="20"/>
          <w:color w:val="auto"/>
        </w:rPr>
      </w:pPr>
    </w:p>
    <w:tbl>
      <w:tblPr>
        <w:tblLayout w:type="fixed"/>
        <w:tblInd w:w="47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Hanson</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Lisa Hanson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2480"/>
        <w:spacing w:after="0"/>
        <w:rPr>
          <w:sz w:val="20"/>
          <w:szCs w:val="20"/>
          <w:color w:val="auto"/>
        </w:rPr>
      </w:pPr>
      <w:r>
        <w:rPr>
          <w:rFonts w:ascii="Arial" w:cs="Arial" w:eastAsia="Arial" w:hAnsi="Arial"/>
          <w:sz w:val="18"/>
          <w:szCs w:val="18"/>
          <w:i w:val="1"/>
          <w:iCs w:val="1"/>
          <w:color w:val="auto"/>
        </w:rPr>
        <w:t>Signature Page to 364-Day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CITIBANK, N.A., as a Lender</w:t>
      </w:r>
    </w:p>
    <w:p>
      <w:pPr>
        <w:spacing w:after="0" w:line="200" w:lineRule="exact"/>
        <w:rPr>
          <w:sz w:val="20"/>
          <w:szCs w:val="20"/>
          <w:color w:val="auto"/>
        </w:rPr>
      </w:pPr>
    </w:p>
    <w:p>
      <w:pPr>
        <w:spacing w:after="0" w:line="241" w:lineRule="exact"/>
        <w:rPr>
          <w:sz w:val="20"/>
          <w:szCs w:val="20"/>
          <w:color w:val="auto"/>
        </w:rPr>
      </w:pPr>
    </w:p>
    <w:tbl>
      <w:tblPr>
        <w:tblLayout w:type="fixed"/>
        <w:tblInd w:w="47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Kardos</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Peter Kardos</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2480"/>
        <w:spacing w:after="0"/>
        <w:rPr>
          <w:sz w:val="20"/>
          <w:szCs w:val="20"/>
          <w:color w:val="auto"/>
        </w:rPr>
      </w:pPr>
      <w:r>
        <w:rPr>
          <w:rFonts w:ascii="Arial" w:cs="Arial" w:eastAsia="Arial" w:hAnsi="Arial"/>
          <w:sz w:val="18"/>
          <w:szCs w:val="18"/>
          <w:i w:val="1"/>
          <w:iCs w:val="1"/>
          <w:color w:val="auto"/>
        </w:rPr>
        <w:t>Signature Page to 364-Day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DEUTSCHE BANK AG NEW YORK BRANCH,</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tbl>
      <w:tblPr>
        <w:tblLayout w:type="fixed"/>
        <w:tblInd w:w="47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Ming K. Chu</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Ming K. Chu</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Director</w:t>
            </w:r>
          </w:p>
        </w:tc>
      </w:tr>
      <w:tr>
        <w:trPr>
          <w:trHeight w:val="64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Virginia Cosenza</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Virginia Cosenza</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2480"/>
        <w:spacing w:after="0"/>
        <w:rPr>
          <w:sz w:val="20"/>
          <w:szCs w:val="20"/>
          <w:color w:val="auto"/>
        </w:rPr>
      </w:pPr>
      <w:r>
        <w:rPr>
          <w:rFonts w:ascii="Arial" w:cs="Arial" w:eastAsia="Arial" w:hAnsi="Arial"/>
          <w:sz w:val="18"/>
          <w:szCs w:val="18"/>
          <w:i w:val="1"/>
          <w:iCs w:val="1"/>
          <w:color w:val="auto"/>
        </w:rPr>
        <w:t>Signature Page to 364-Day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SKANDINAVISKA ENSKILDA BANKEN AB (PUBL),</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tbl>
      <w:tblPr>
        <w:tblLayout w:type="fixed"/>
        <w:tblInd w:w="47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Duncan Nash</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Duncan Nash</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p>
        </w:tc>
      </w:tr>
      <w:tr>
        <w:trPr>
          <w:trHeight w:val="64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/s/ Andrew Moore</w:t>
            </w:r>
          </w:p>
        </w:tc>
      </w:tr>
    </w:tbl>
    <w:p>
      <w:pPr>
        <w:ind w:left="4700"/>
        <w:spacing w:after="0"/>
        <w:tabs>
          <w:tab w:leader="none" w:pos="53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Andrew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-130810</wp:posOffset>
            </wp:positionV>
            <wp:extent cx="310451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480"/>
        <w:spacing w:after="0"/>
        <w:rPr>
          <w:sz w:val="20"/>
          <w:szCs w:val="20"/>
          <w:color w:val="auto"/>
        </w:rPr>
      </w:pPr>
      <w:r>
        <w:rPr>
          <w:rFonts w:ascii="Arial" w:cs="Arial" w:eastAsia="Arial" w:hAnsi="Arial"/>
          <w:sz w:val="18"/>
          <w:szCs w:val="18"/>
          <w:i w:val="1"/>
          <w:iCs w:val="1"/>
          <w:color w:val="auto"/>
        </w:rPr>
        <w:t>Signature Page to 364-Day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THE TORONTO-DOMINION BANK, NEW YORK BRANCH, as a</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Lender</w:t>
      </w:r>
    </w:p>
    <w:p>
      <w:pPr>
        <w:spacing w:after="0" w:line="200" w:lineRule="exact"/>
        <w:rPr>
          <w:sz w:val="20"/>
          <w:szCs w:val="20"/>
          <w:color w:val="auto"/>
        </w:rPr>
      </w:pPr>
    </w:p>
    <w:p>
      <w:pPr>
        <w:spacing w:after="0" w:line="227" w:lineRule="exact"/>
        <w:rPr>
          <w:sz w:val="20"/>
          <w:szCs w:val="20"/>
          <w:color w:val="auto"/>
        </w:rPr>
      </w:pPr>
    </w:p>
    <w:tbl>
      <w:tblPr>
        <w:tblLayout w:type="fixed"/>
        <w:tblInd w:w="47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Annie Dorval</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Annie Dorval</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2480"/>
        <w:spacing w:after="0"/>
        <w:rPr>
          <w:sz w:val="20"/>
          <w:szCs w:val="20"/>
          <w:color w:val="auto"/>
        </w:rPr>
      </w:pPr>
      <w:r>
        <w:rPr>
          <w:rFonts w:ascii="Arial" w:cs="Arial" w:eastAsia="Arial" w:hAnsi="Arial"/>
          <w:sz w:val="18"/>
          <w:szCs w:val="18"/>
          <w:i w:val="1"/>
          <w:iCs w:val="1"/>
          <w:color w:val="auto"/>
        </w:rPr>
        <w:t>Signature Page to 364-Day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451" w:gutter="0" w:footer="0" w:header="0"/>
        </w:sectPr>
      </w:pPr>
    </w:p>
    <w:bookmarkStart w:id="201" w:name="page202"/>
    <w:bookmarkEnd w:id="201"/>
    <w:p>
      <w:pPr>
        <w:ind w:left="4920"/>
        <w:spacing w:after="0"/>
        <w:rPr>
          <w:sz w:val="20"/>
          <w:szCs w:val="20"/>
          <w:color w:val="auto"/>
        </w:rPr>
      </w:pPr>
      <w:r>
        <w:rPr>
          <w:rFonts w:ascii="Arial" w:cs="Arial" w:eastAsia="Arial" w:hAnsi="Arial"/>
          <w:sz w:val="18"/>
          <w:szCs w:val="18"/>
          <w:color w:val="auto"/>
        </w:rPr>
        <w:t>ROYAL BANK OF CANADA, as a Lender</w:t>
      </w:r>
    </w:p>
    <w:p>
      <w:pPr>
        <w:spacing w:after="0" w:line="200" w:lineRule="exact"/>
        <w:rPr>
          <w:sz w:val="20"/>
          <w:szCs w:val="20"/>
          <w:color w:val="auto"/>
        </w:rPr>
      </w:pPr>
    </w:p>
    <w:p>
      <w:pPr>
        <w:spacing w:after="0" w:line="241" w:lineRule="exact"/>
        <w:rPr>
          <w:sz w:val="20"/>
          <w:szCs w:val="20"/>
          <w:color w:val="auto"/>
        </w:rPr>
      </w:pPr>
    </w:p>
    <w:tbl>
      <w:tblPr>
        <w:tblLayout w:type="fixed"/>
        <w:tblInd w:w="49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F. Young</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Sean F. Young</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2700"/>
        <w:spacing w:after="0"/>
        <w:rPr>
          <w:sz w:val="20"/>
          <w:szCs w:val="20"/>
          <w:color w:val="auto"/>
        </w:rPr>
      </w:pPr>
      <w:r>
        <w:rPr>
          <w:rFonts w:ascii="Arial" w:cs="Arial" w:eastAsia="Arial" w:hAnsi="Arial"/>
          <w:sz w:val="18"/>
          <w:szCs w:val="18"/>
          <w:i w:val="1"/>
          <w:iCs w:val="1"/>
          <w:color w:val="auto"/>
        </w:rPr>
        <w:t>Signature Page to 364-Day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218440</wp:posOffset>
            </wp:positionV>
            <wp:extent cx="726757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STANDARD CHARTERED BANK, as a Lender</w:t>
      </w:r>
    </w:p>
    <w:p>
      <w:pPr>
        <w:spacing w:after="0" w:line="200" w:lineRule="exact"/>
        <w:rPr>
          <w:sz w:val="20"/>
          <w:szCs w:val="20"/>
          <w:color w:val="auto"/>
        </w:rPr>
      </w:pPr>
    </w:p>
    <w:p>
      <w:pPr>
        <w:spacing w:after="0" w:line="241" w:lineRule="exact"/>
        <w:rPr>
          <w:sz w:val="20"/>
          <w:szCs w:val="20"/>
          <w:color w:val="auto"/>
        </w:rPr>
      </w:pPr>
    </w:p>
    <w:tbl>
      <w:tblPr>
        <w:tblLayout w:type="fixed"/>
        <w:tblInd w:w="49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Guilherme Domingos</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Guilherme Domingos</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Director, Standard Chartered Bank</w:t>
            </w:r>
          </w:p>
        </w:tc>
      </w:tr>
    </w:tbl>
    <w:p>
      <w:pPr>
        <w:spacing w:after="0" w:line="202" w:lineRule="exact"/>
        <w:rPr>
          <w:sz w:val="20"/>
          <w:szCs w:val="20"/>
          <w:color w:val="auto"/>
        </w:rPr>
      </w:pPr>
    </w:p>
    <w:p>
      <w:pPr>
        <w:ind w:left="2700"/>
        <w:spacing w:after="0"/>
        <w:rPr>
          <w:sz w:val="20"/>
          <w:szCs w:val="20"/>
          <w:color w:val="auto"/>
        </w:rPr>
      </w:pPr>
      <w:r>
        <w:rPr>
          <w:rFonts w:ascii="Arial" w:cs="Arial" w:eastAsia="Arial" w:hAnsi="Arial"/>
          <w:sz w:val="18"/>
          <w:szCs w:val="18"/>
          <w:i w:val="1"/>
          <w:iCs w:val="1"/>
          <w:color w:val="auto"/>
        </w:rPr>
        <w:t>Signature Page to 364-Day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218440</wp:posOffset>
            </wp:positionV>
            <wp:extent cx="726757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NORDEA BANK AB (PUBL), NEW YORK BRANCH, as a Lender</w:t>
      </w:r>
    </w:p>
    <w:p>
      <w:pPr>
        <w:spacing w:after="0" w:line="200" w:lineRule="exact"/>
        <w:rPr>
          <w:sz w:val="20"/>
          <w:szCs w:val="20"/>
          <w:color w:val="auto"/>
        </w:rPr>
      </w:pPr>
    </w:p>
    <w:p>
      <w:pPr>
        <w:spacing w:after="0" w:line="241" w:lineRule="exact"/>
        <w:rPr>
          <w:sz w:val="20"/>
          <w:szCs w:val="20"/>
          <w:color w:val="auto"/>
        </w:rPr>
      </w:pPr>
    </w:p>
    <w:tbl>
      <w:tblPr>
        <w:tblLayout w:type="fixed"/>
        <w:tblInd w:w="49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Olli Savikko</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Olli Savikko</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SVP</w:t>
            </w:r>
          </w:p>
        </w:tc>
      </w:tr>
      <w:tr>
        <w:trPr>
          <w:trHeight w:val="64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J. Lee</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Elizabeth J. Lee</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2700"/>
        <w:spacing w:after="0"/>
        <w:rPr>
          <w:sz w:val="20"/>
          <w:szCs w:val="20"/>
          <w:color w:val="auto"/>
        </w:rPr>
      </w:pPr>
      <w:r>
        <w:rPr>
          <w:rFonts w:ascii="Arial" w:cs="Arial" w:eastAsia="Arial" w:hAnsi="Arial"/>
          <w:sz w:val="18"/>
          <w:szCs w:val="18"/>
          <w:i w:val="1"/>
          <w:iCs w:val="1"/>
          <w:color w:val="auto"/>
        </w:rPr>
        <w:t>Signature Page to 364-Day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218440</wp:posOffset>
            </wp:positionV>
            <wp:extent cx="726757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1.01A</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u w:val="single" w:color="auto"/>
          <w:color w:val="auto"/>
        </w:rPr>
        <w:t>EXCLUDED JURISDICTIONS</w:t>
      </w:r>
    </w:p>
    <w:p>
      <w:pPr>
        <w:spacing w:after="0" w:line="229" w:lineRule="exact"/>
        <w:rPr>
          <w:sz w:val="20"/>
          <w:szCs w:val="20"/>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Any Sanctioned Country</w:t>
      </w:r>
    </w:p>
    <w:p>
      <w:pPr>
        <w:spacing w:after="0" w:line="23"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Afghanistan</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Albania</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Algeria</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Angola</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Azerbaijan</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Bangladesh</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Bahrain</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Brunei</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China</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Chad</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Democratic Republic of the Congo</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Egypt</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Equatorial Guinea</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Ethiopia</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Gabon</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Iraq</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Ivory Coast</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Jordan</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Kazakhstan</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Kuwait</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Libya</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Mauritania</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Morocco</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Myanmar</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Pakistan</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Oman</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Qatar</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Republic of the Congo</w:t>
      </w:r>
    </w:p>
    <w:p>
      <w:pPr>
        <w:sectPr>
          <w:pgSz w:w="11900" w:h="16838" w:orient="portrait"/>
          <w:cols w:equalWidth="0" w:num="1">
            <w:col w:w="10440"/>
          </w:cols>
          <w:pgMar w:left="1220" w:top="341" w:right="239" w:bottom="0" w:gutter="0" w:footer="0" w:header="0"/>
        </w:sectPr>
      </w:pPr>
    </w:p>
    <w:bookmarkStart w:id="202" w:name="page203"/>
    <w:bookmarkEnd w:id="202"/>
    <w:p>
      <w:pPr>
        <w:spacing w:after="0" w:line="50" w:lineRule="exact"/>
        <w:rPr>
          <w:sz w:val="20"/>
          <w:szCs w:val="20"/>
          <w:color w:val="auto"/>
        </w:rPr>
      </w:pPr>
    </w:p>
    <w:p>
      <w:pPr>
        <w:ind w:left="1260" w:hanging="280"/>
        <w:spacing w:after="0"/>
        <w:tabs>
          <w:tab w:leader="none" w:pos="12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Russia</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Saudi Arabia</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Thailand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Trinidad and Tobago</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Tunisia</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Turkey</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Turkmenistan</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Ukraine</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Venezuela</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Vietnam</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Yemen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1.01B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INITIAL GUARANTORS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Australia Initial Guarantor: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Australia Pty Limited (Secured Obligor)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Bermuda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International Drilling Company Limited (Secured Obligor)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Sabre Drilling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Bermuda Holdings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International Holding (Bermuda)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Pangaea Holdings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Services, Ltd. (Secured Obligor)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Holdings (Bermuda)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International Ltd. (Secured Obligor)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WOFS Assurance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Colombia Limited (Secured Obligor)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Drilling International (BVI) Ltd. (Secured Obligor)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Drilling International Holdings (BVI)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Holdings (BVI) Ltd. (Secured Obligor)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Oil Tool Middle East Limited (Secured Obligor)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Canada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Canada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Deutsche Holding (Canada) ULC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(Nova Scotia) ULC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England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Eurasia Limited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U.K. Limited (Secured Obligor)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Ireland Initial Guarantor: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Luxembourg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European Holdings (Luxembourg) S.à r.l.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International (Luxembourg) Holdings S.à r.l.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Netherlands Initial Guarantor: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Netherlands B.V.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Norway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Norge AS (Secured Obligor)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Laboratories (Norway)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Panama Initial Guarantor: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Services S. de R.L.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Switzerland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Management Company Switzerland Sarl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Products GmbH (Secured Obligor)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Switzerland Trading and Development GmbH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Worldwide Holdings GmbH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WOFS International Finance GmbH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WOFS Swiss Finance GmbH</w:t>
      </w:r>
    </w:p>
    <w:p>
      <w:pPr>
        <w:sectPr>
          <w:pgSz w:w="11900" w:h="16889" w:orient="portrait"/>
          <w:cols w:equalWidth="0" w:num="1">
            <w:col w:w="11420"/>
          </w:cols>
          <w:pgMar w:left="240" w:top="126" w:right="239" w:bottom="0" w:gutter="0" w:footer="0" w:header="0"/>
        </w:sectPr>
      </w:pPr>
    </w:p>
    <w:bookmarkStart w:id="203" w:name="page204"/>
    <w:bookmarkEnd w:id="203"/>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Holdings (Switzerland) GmbH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Initial Guarantors: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PD Holdings (USA), 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Precision Drilling Holdings,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Precision Drilling LP,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Precision USA Holdings,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Precision Energy Services, Inc. (Secured Obligor)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Artificial Lift Systems, LLC (Secured Obligor)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Investment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International,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Holdings U.S.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Weatherford/Lamb,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Limited Partner,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U.S. Holdings,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U.S., L.P. (Secured Obligor)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WEUS Holding, LLC (Secured Obligor)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Precision Drilling Technology Services Group (USA)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Precision Oilfield Services, LLP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Visual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gridSpan w:val="4"/>
          </w:tcPr>
          <w:p>
            <w:pPr>
              <w:ind w:left="540"/>
              <w:spacing w:after="0"/>
              <w:rPr>
                <w:sz w:val="20"/>
                <w:szCs w:val="20"/>
                <w:color w:val="auto"/>
              </w:rPr>
            </w:pPr>
            <w:r>
              <w:rPr>
                <w:rFonts w:ascii="Arial" w:cs="Arial" w:eastAsia="Arial" w:hAnsi="Arial"/>
                <w:sz w:val="18"/>
                <w:szCs w:val="18"/>
                <w:b w:val="1"/>
                <w:bCs w:val="1"/>
                <w:color w:val="auto"/>
                <w:w w:val="99"/>
              </w:rPr>
              <w:t>SCHEDULE 2.01</w:t>
            </w:r>
          </w:p>
        </w:tc>
        <w:tc>
          <w:tcPr>
            <w:tcW w:w="0" w:type="dxa"/>
            <w:vAlign w:val="bottom"/>
          </w:tcPr>
          <w:p>
            <w:pPr>
              <w:spacing w:after="0"/>
              <w:rPr>
                <w:sz w:val="1"/>
                <w:szCs w:val="1"/>
                <w:color w:val="auto"/>
              </w:rPr>
            </w:pPr>
          </w:p>
        </w:tc>
      </w:tr>
      <w:tr>
        <w:trPr>
          <w:trHeight w:val="412"/>
        </w:trPr>
        <w:tc>
          <w:tcPr>
            <w:tcW w:w="4240" w:type="dxa"/>
            <w:vAlign w:val="bottom"/>
          </w:tcPr>
          <w:p>
            <w:pPr>
              <w:spacing w:after="0"/>
              <w:rPr>
                <w:sz w:val="24"/>
                <w:szCs w:val="24"/>
                <w:color w:val="auto"/>
              </w:rPr>
            </w:pPr>
          </w:p>
        </w:tc>
        <w:tc>
          <w:tcPr>
            <w:tcW w:w="3320" w:type="dxa"/>
            <w:vAlign w:val="bottom"/>
            <w:gridSpan w:val="5"/>
          </w:tcPr>
          <w:p>
            <w:pPr>
              <w:jc w:val="right"/>
              <w:ind w:right="1030"/>
              <w:spacing w:after="0"/>
              <w:rPr>
                <w:sz w:val="20"/>
                <w:szCs w:val="20"/>
                <w:color w:val="auto"/>
              </w:rPr>
            </w:pPr>
            <w:r>
              <w:rPr>
                <w:rFonts w:ascii="Arial" w:cs="Arial" w:eastAsia="Arial" w:hAnsi="Arial"/>
                <w:sz w:val="18"/>
                <w:szCs w:val="18"/>
                <w:b w:val="1"/>
                <w:bCs w:val="1"/>
                <w:color w:val="auto"/>
              </w:rPr>
              <w:t>COMMITMENTS</w:t>
            </w: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76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rPr>
              <w:t>Commitment</w:t>
            </w:r>
          </w:p>
        </w:tc>
        <w:tc>
          <w:tcPr>
            <w:tcW w:w="1940" w:type="dxa"/>
            <w:vAlign w:val="bottom"/>
            <w:gridSpan w:val="4"/>
          </w:tcPr>
          <w:p>
            <w:pPr>
              <w:ind w:left="520"/>
              <w:spacing w:after="0"/>
              <w:rPr>
                <w:sz w:val="20"/>
                <w:szCs w:val="20"/>
                <w:color w:val="auto"/>
              </w:rPr>
            </w:pPr>
            <w:r>
              <w:rPr>
                <w:rFonts w:ascii="Arial" w:cs="Arial" w:eastAsia="Arial" w:hAnsi="Arial"/>
                <w:sz w:val="14"/>
                <w:szCs w:val="14"/>
                <w:b w:val="1"/>
                <w:bCs w:val="1"/>
                <w:color w:val="auto"/>
              </w:rPr>
              <w:t>Applicable</w:t>
            </w:r>
          </w:p>
        </w:tc>
        <w:tc>
          <w:tcPr>
            <w:tcW w:w="0" w:type="dxa"/>
            <w:vAlign w:val="bottom"/>
          </w:tcPr>
          <w:p>
            <w:pPr>
              <w:spacing w:after="0"/>
              <w:rPr>
                <w:sz w:val="1"/>
                <w:szCs w:val="1"/>
                <w:color w:val="auto"/>
              </w:rPr>
            </w:pPr>
          </w:p>
        </w:tc>
      </w:tr>
      <w:tr>
        <w:trPr>
          <w:trHeight w:val="171"/>
        </w:trPr>
        <w:tc>
          <w:tcPr>
            <w:tcW w:w="42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40" w:type="dxa"/>
            <w:vAlign w:val="bottom"/>
            <w:gridSpan w:val="4"/>
          </w:tcPr>
          <w:p>
            <w:pPr>
              <w:ind w:left="5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0"/>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7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40,419,240.86</w:t>
            </w:r>
          </w:p>
        </w:tc>
        <w:tc>
          <w:tcPr>
            <w:tcW w:w="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12.760911614345%</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Deutsche Bank AG New York Branch</w:t>
            </w:r>
          </w:p>
        </w:tc>
        <w:tc>
          <w:tcPr>
            <w:tcW w:w="3320" w:type="dxa"/>
            <w:vAlign w:val="bottom"/>
            <w:gridSpan w:val="5"/>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40,419,240.87</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12.760911617502%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Wells Fargo Bank, National Association</w:t>
            </w:r>
          </w:p>
        </w:tc>
        <w:tc>
          <w:tcPr>
            <w:tcW w:w="3320" w:type="dxa"/>
            <w:vAlign w:val="bottom"/>
            <w:gridSpan w:val="5"/>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40,419,240.87</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12.760911617502%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Morgan Stanley Bank, N.A.</w:t>
            </w:r>
          </w:p>
        </w:tc>
        <w:tc>
          <w:tcPr>
            <w:tcW w:w="3320" w:type="dxa"/>
            <w:vAlign w:val="bottom"/>
            <w:gridSpan w:val="5"/>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40,419,240.87</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12.760911617502%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Citibank, N.A.</w:t>
            </w:r>
          </w:p>
        </w:tc>
        <w:tc>
          <w:tcPr>
            <w:tcW w:w="3320" w:type="dxa"/>
            <w:vAlign w:val="bottom"/>
            <w:gridSpan w:val="5"/>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40,419,240.87</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12.760911617502%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Skandinaviska Enskilda Banken AB (publ)</w:t>
            </w:r>
          </w:p>
        </w:tc>
        <w:tc>
          <w:tcPr>
            <w:tcW w:w="3320" w:type="dxa"/>
            <w:vAlign w:val="bottom"/>
            <w:gridSpan w:val="5"/>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28,467,595.40</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8.987612360920%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The Toronto Dominion Bank, New York Branch</w:t>
            </w:r>
          </w:p>
        </w:tc>
        <w:tc>
          <w:tcPr>
            <w:tcW w:w="3320" w:type="dxa"/>
            <w:vAlign w:val="bottom"/>
            <w:gridSpan w:val="5"/>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28,467,595.40</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8.987612360920%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Royal Bank of Canada</w:t>
            </w:r>
          </w:p>
        </w:tc>
        <w:tc>
          <w:tcPr>
            <w:tcW w:w="3320" w:type="dxa"/>
            <w:vAlign w:val="bottom"/>
            <w:gridSpan w:val="5"/>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25,620,835.86</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8.088851124828%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Nordea Bank AB (publ), New York Branch</w:t>
            </w:r>
          </w:p>
        </w:tc>
        <w:tc>
          <w:tcPr>
            <w:tcW w:w="3320" w:type="dxa"/>
            <w:vAlign w:val="bottom"/>
            <w:gridSpan w:val="5"/>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18,219,261.05</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5.752071909094%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Standard Chartered Bank</w:t>
            </w:r>
          </w:p>
        </w:tc>
        <w:tc>
          <w:tcPr>
            <w:tcW w:w="3320" w:type="dxa"/>
            <w:vAlign w:val="bottom"/>
            <w:gridSpan w:val="5"/>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13,871,089.37</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4.379294159887%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316,742,581.42</w:t>
            </w:r>
          </w:p>
        </w:tc>
        <w:tc>
          <w:tcPr>
            <w:tcW w:w="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100.000000000000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4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u w:val="single" w:color="auto"/>
          <w:color w:val="auto"/>
        </w:rPr>
        <w:t>SCHEDULE 6.05</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DISCLOSED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u w:val="single" w:color="auto"/>
          <w:color w:val="auto"/>
        </w:rPr>
        <w:t>SCHEDULE 7.11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POST-CLOSING MATTERS</w:t>
      </w:r>
    </w:p>
    <w:p>
      <w:pPr>
        <w:spacing w:after="0" w:line="225" w:lineRule="exact"/>
        <w:rPr>
          <w:sz w:val="20"/>
          <w:szCs w:val="20"/>
          <w:color w:val="auto"/>
        </w:rPr>
      </w:pPr>
    </w:p>
    <w:p>
      <w:pPr>
        <w:ind w:left="340" w:hanging="332"/>
        <w:spacing w:after="0"/>
        <w:tabs>
          <w:tab w:leader="none" w:pos="340" w:val="left"/>
        </w:tabs>
        <w:numPr>
          <w:ilvl w:val="0"/>
          <w:numId w:val="512"/>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SECURITY AGREEMENTS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hanging="328"/>
        <w:spacing w:after="0"/>
        <w:tabs>
          <w:tab w:leader="none" w:pos="660" w:val="left"/>
        </w:tabs>
        <w:numPr>
          <w:ilvl w:val="1"/>
          <w:numId w:val="512"/>
        </w:numPr>
        <w:rPr>
          <w:rFonts w:ascii="Arial" w:cs="Arial" w:eastAsia="Arial" w:hAnsi="Arial"/>
          <w:sz w:val="17"/>
          <w:szCs w:val="17"/>
          <w:color w:val="auto"/>
        </w:rPr>
      </w:pPr>
      <w:r>
        <w:rPr>
          <w:rFonts w:ascii="Arial" w:cs="Arial" w:eastAsia="Arial" w:hAnsi="Arial"/>
          <w:sz w:val="17"/>
          <w:szCs w:val="17"/>
          <w:color w:val="auto"/>
        </w:rPr>
        <w:t>On or before September 5, 2018 (or such later date as the Administrative Agent may agree in its sole discretion), WIL-Ireland shall cause</w:t>
      </w:r>
    </w:p>
    <w:p>
      <w:pPr>
        <w:spacing w:after="0" w:line="34" w:lineRule="exact"/>
        <w:rPr>
          <w:rFonts w:ascii="Arial" w:cs="Arial" w:eastAsia="Arial" w:hAnsi="Arial"/>
          <w:sz w:val="17"/>
          <w:szCs w:val="17"/>
          <w:color w:val="auto"/>
        </w:rPr>
      </w:pPr>
    </w:p>
    <w:p>
      <w:pPr>
        <w:ind w:left="660" w:right="140"/>
        <w:spacing w:after="0" w:line="284" w:lineRule="auto"/>
        <w:rPr>
          <w:rFonts w:ascii="Arial" w:cs="Arial" w:eastAsia="Arial" w:hAnsi="Arial"/>
          <w:sz w:val="17"/>
          <w:szCs w:val="17"/>
          <w:color w:val="auto"/>
        </w:rPr>
      </w:pPr>
      <w:r>
        <w:rPr>
          <w:rFonts w:ascii="Arial" w:cs="Arial" w:eastAsia="Arial" w:hAnsi="Arial"/>
          <w:sz w:val="16"/>
          <w:szCs w:val="16"/>
          <w:color w:val="auto"/>
        </w:rPr>
        <w:t>(A) Weatherford Colombia Limited, Weatherford Drilling International (BVI) Ltd., Weatherford Holdings (BVI) Ltd., Weatherford Oil Tool Middle East Limited (“</w:t>
      </w:r>
      <w:r>
        <w:rPr>
          <w:rFonts w:ascii="Arial" w:cs="Arial" w:eastAsia="Arial" w:hAnsi="Arial"/>
          <w:sz w:val="16"/>
          <w:szCs w:val="16"/>
          <w:u w:val="single" w:color="auto"/>
          <w:color w:val="auto"/>
        </w:rPr>
        <w:t>Weatherford Oil</w:t>
      </w:r>
      <w:r>
        <w:rPr>
          <w:rFonts w:ascii="Arial" w:cs="Arial" w:eastAsia="Arial" w:hAnsi="Arial"/>
          <w:sz w:val="16"/>
          <w:szCs w:val="16"/>
          <w:color w:val="auto"/>
        </w:rPr>
        <w:t>”) (each, an entity organized under the laws of the British Virgin Islands, and together, the “</w:t>
      </w:r>
      <w:r>
        <w:rPr>
          <w:rFonts w:ascii="Arial" w:cs="Arial" w:eastAsia="Arial" w:hAnsi="Arial"/>
          <w:sz w:val="16"/>
          <w:szCs w:val="16"/>
          <w:u w:val="single" w:color="auto"/>
          <w:color w:val="auto"/>
        </w:rPr>
        <w:t>Initial BVI Eligible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Current Assets Collateral Grantors</w:t>
      </w:r>
      <w:r>
        <w:rPr>
          <w:rFonts w:ascii="Arial" w:cs="Arial" w:eastAsia="Arial" w:hAnsi="Arial"/>
          <w:sz w:val="16"/>
          <w:szCs w:val="16"/>
          <w:color w:val="auto"/>
        </w:rPr>
        <w:t>”), Key International Drilling Company Limited, Weatherford Services, Ltd. and Weatherford International Ltd. (each, an entity organized under the laws of Bermuda, and together, the “</w:t>
      </w:r>
      <w:r>
        <w:rPr>
          <w:rFonts w:ascii="Arial" w:cs="Arial" w:eastAsia="Arial" w:hAnsi="Arial"/>
          <w:sz w:val="16"/>
          <w:szCs w:val="16"/>
          <w:u w:val="single" w:color="auto"/>
          <w:color w:val="auto"/>
        </w:rPr>
        <w:t>Initial Bermuda Eligible Current Assets Collateral Grantors</w:t>
      </w:r>
      <w:r>
        <w:rPr>
          <w:rFonts w:ascii="Arial" w:cs="Arial" w:eastAsia="Arial" w:hAnsi="Arial"/>
          <w:sz w:val="16"/>
          <w:szCs w:val="16"/>
          <w:color w:val="auto"/>
        </w:rPr>
        <w:t xml:space="preserve">”) to execute and deliver to the Administrative Agent (i) Collateral Documents (or one or more joinders thereto), in form and substance reasonably satisfactory to the Collateral Agent and the Administrative Agent, as are necessary to cause all Current Assets that are intended to be Collateral of such Eligible Current Assets Collateral Grantor to be subject to a perfected (or any analogous concept to the extent perfection does not apply in the relevant jurisdiction) Lien in favor of the Collateral Agent for the benefit of the Secured Parties to secure the Secured Obligations, having priority over all other Liens on the Collateral except for Liens permitted by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of the Credit Agreement, and (ii) each applicable Intercreditor Agreement (or one or more joinders thereto) pursuant to which such Eligible Current Assets Collateral Grantor agrees to be bound by the terms and provisions thereof and (B) Weatherford Oil to deliver to the Administrative Agent (i) a consent or waiver or similar document executed by Deutsche Bank AG Abu Dhabi Branch with respect to the existing Restrictive Agreement related to that certain Revolving Credit Facility, dated as of March 3, 2010, between Deutsche Bank AG Abu Dhabi Branch and Weatherford Oil and (ii) a consent or waiver or similar document executed by Standard Chartered Bank Dubai with respect to the existing Restrictive Agreement related to that certain Banking Facilities Letter, dated as of February 9, 2012, between Standard Chartered Bank Dubai and Weatherford Oil; provided, that notwithstanding anything to the contrary set forth in the Credit</w:t>
      </w:r>
    </w:p>
    <w:p>
      <w:pPr>
        <w:sectPr>
          <w:pgSz w:w="11900" w:h="16895" w:orient="portrait"/>
          <w:cols w:equalWidth="0" w:num="1">
            <w:col w:w="11460"/>
          </w:cols>
          <w:pgMar w:left="240" w:top="125" w:right="199" w:bottom="0" w:gutter="0" w:footer="0" w:header="0"/>
        </w:sectPr>
      </w:pPr>
    </w:p>
    <w:bookmarkStart w:id="204" w:name="page205"/>
    <w:bookmarkEnd w:id="204"/>
    <w:p>
      <w:pPr>
        <w:ind w:left="660" w:right="40"/>
        <w:spacing w:after="0" w:line="277" w:lineRule="auto"/>
        <w:rPr>
          <w:sz w:val="20"/>
          <w:szCs w:val="20"/>
          <w:color w:val="auto"/>
        </w:rPr>
      </w:pPr>
      <w:r>
        <w:rPr>
          <w:rFonts w:ascii="Arial" w:cs="Arial" w:eastAsia="Arial" w:hAnsi="Arial"/>
          <w:sz w:val="18"/>
          <w:szCs w:val="18"/>
          <w:color w:val="auto"/>
        </w:rPr>
        <w:t>Agreement or in any other Loan Document, no Eligible Current Assets Collateral Grantor shall have any obligation to provide a Lien on any Current Assets that are not subject to a Lien securing the Term Loan Obligations.</w:t>
      </w:r>
    </w:p>
    <w:p>
      <w:pPr>
        <w:spacing w:after="0" w:line="170" w:lineRule="exact"/>
        <w:rPr>
          <w:sz w:val="20"/>
          <w:szCs w:val="20"/>
          <w:color w:val="auto"/>
        </w:rPr>
      </w:pPr>
    </w:p>
    <w:p>
      <w:pPr>
        <w:ind w:left="660" w:right="40" w:hanging="328"/>
        <w:spacing w:after="0" w:line="255" w:lineRule="auto"/>
        <w:tabs>
          <w:tab w:leader="none" w:pos="66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On or before October 5, 2018 (or such later date as the Administrative Agent may agree in its sole discretion), WIL-Ireland shall cause Weatherford Australia Pty Limited, an entity organized under the laws of Australia, Weatherford U.K. Limited, an entity organized under the laws of the England and Wales, Weatherford Norge AS, an entity organized under the laws of Norway and Weatherford Products GmbH, an entity organized under the laws of Switzerland, to execute and deliver to the Administrative Agent (i) Collateral Documents (or one or more joinders thereto), in form and substance reasonably satisfactory to the Collateral Agent and the Administrative Agent, as are necessary to cause all Current Assets that are intended to be Collateral of such Eligible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660" w:right="14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Current Assets Collateral Grantor to be subject to a perfected (or any analogous concept to the extent perfection does not apply in the relevant jurisdiction) Lien in favor of the Collateral Agent for the benefit of the Secured Parties to secure the Secured Obligations, having priority over all other Liens on the Collateral except for Liens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of the Credit Agreement, and (ii) each applicable Intercreditor Agreement (or one or more joinders thereto) pursuant to which such Eligible Current Assets Collateral Grantor agrees to be bound by the terms and provisions thereof; provided, that notwithstanding anything to the contrary set forth in the Credit Agreement or in any other Loan Document, no Eligible Current Assets Collateral Grantor shall have any obligation to provide a Lien on any Current Assets that are not subject to a Lien securing the Term Loan Obligations.</w:t>
      </w:r>
    </w:p>
    <w:p>
      <w:pPr>
        <w:spacing w:after="0" w:line="185" w:lineRule="exact"/>
        <w:rPr>
          <w:rFonts w:ascii="Arial" w:cs="Arial" w:eastAsia="Arial" w:hAnsi="Arial"/>
          <w:sz w:val="18"/>
          <w:szCs w:val="18"/>
          <w:color w:val="auto"/>
        </w:rPr>
      </w:pPr>
    </w:p>
    <w:p>
      <w:pPr>
        <w:ind w:left="340" w:hanging="332"/>
        <w:spacing w:after="0"/>
        <w:tabs>
          <w:tab w:leader="none" w:pos="340" w:val="left"/>
        </w:tabs>
        <w:numPr>
          <w:ilvl w:val="0"/>
          <w:numId w:val="514"/>
        </w:numPr>
        <w:rPr>
          <w:rFonts w:ascii="Arial" w:cs="Arial" w:eastAsia="Arial" w:hAnsi="Arial"/>
          <w:sz w:val="18"/>
          <w:szCs w:val="18"/>
          <w:color w:val="auto"/>
        </w:rPr>
      </w:pPr>
      <w:r>
        <w:rPr>
          <w:rFonts w:ascii="Arial" w:cs="Arial" w:eastAsia="Arial" w:hAnsi="Arial"/>
          <w:sz w:val="18"/>
          <w:szCs w:val="18"/>
          <w:b w:val="1"/>
          <w:bCs w:val="1"/>
          <w:u w:val="single" w:color="auto"/>
          <w:color w:val="auto"/>
        </w:rPr>
        <w:t>DEPOSIT ACCOUNT CONTROL AGREEMENTS AND SECURITIES ACCOUNT CONTROL AGREEMENTS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-1604645</wp:posOffset>
            </wp:positionV>
            <wp:extent cx="726757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Without limiting the foregoing part A.1., on or before September 5, 2018 (or such later date as the Administrative Agent may agree in its sole discretion), WIL-Ireland shall cause each Initial Secured Obligor organized under the laws of the United States, the Initial BVI Eligible Current Assets Collateral Grantors and the Initial Bermuda Eligible Current Assets Collateral Grantors and (a) each relevant bank or financial institution to execute and deliver the Deposit Account Control Agreements (as defined in the US Security Agreement) required by Section 4.7 of the US Security Agreement and (b) each relevant securities intermediary to execute and deliver the securities account control agreements (if any) required by Section 4.5 of the US Security Agreement.</w:t>
      </w:r>
    </w:p>
    <w:p>
      <w:pPr>
        <w:spacing w:after="0" w:line="154" w:lineRule="exact"/>
        <w:rPr>
          <w:sz w:val="20"/>
          <w:szCs w:val="20"/>
          <w:color w:val="auto"/>
        </w:rPr>
      </w:pPr>
    </w:p>
    <w:p>
      <w:pPr>
        <w:ind w:left="340" w:hanging="332"/>
        <w:spacing w:after="0"/>
        <w:tabs>
          <w:tab w:leader="none" w:pos="340" w:val="left"/>
        </w:tabs>
        <w:numPr>
          <w:ilvl w:val="0"/>
          <w:numId w:val="515"/>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DELIVERABLES</w:t>
      </w:r>
      <w:r>
        <w:rPr>
          <w:rFonts w:ascii="Arial" w:cs="Arial" w:eastAsia="Arial" w:hAnsi="Arial"/>
          <w:sz w:val="18"/>
          <w:szCs w:val="18"/>
          <w:color w:val="auto"/>
        </w:rPr>
        <w:t>:</w:t>
      </w:r>
    </w:p>
    <w:p>
      <w:pPr>
        <w:spacing w:after="0" w:line="229"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In connection with each of the foregoing parts A and B, and subject to the same time periods prescribed in such parts, WIL-Ireland shall cause each Secured Obligor (and each Eligible Current Assets Collateral Grantor that is to become a Secured Obligor at such time) to execute and/or deliver (a) to the extent it is customary for a borrower’s counsel to deliver such opinions in the applicable jurisdiction, favorable, signed opinions of the applicable Secured Obligor’s counsel, addressed to the Administrative Agent, the Collateral Agent and the Lenders as of the date such opinion is delivered, covering each applicable document referred to in parts A and B above and in form, scope and substance reasonably satisfactory to the Administrative Agent and the Collateral Agent;</w:t>
      </w:r>
    </w:p>
    <w:p>
      <w:pPr>
        <w:spacing w:after="0" w:line="2" w:lineRule="exact"/>
        <w:rPr>
          <w:sz w:val="20"/>
          <w:szCs w:val="20"/>
          <w:color w:val="auto"/>
        </w:rPr>
      </w:pPr>
    </w:p>
    <w:p>
      <w:pPr>
        <w:ind w:right="20" w:firstLine="8"/>
        <w:spacing w:after="0" w:line="252" w:lineRule="auto"/>
        <w:tabs>
          <w:tab w:leader="none" w:pos="255" w:val="left"/>
        </w:tabs>
        <w:numPr>
          <w:ilvl w:val="0"/>
          <w:numId w:val="516"/>
        </w:numPr>
        <w:rPr>
          <w:rFonts w:ascii="Arial" w:cs="Arial" w:eastAsia="Arial" w:hAnsi="Arial"/>
          <w:sz w:val="18"/>
          <w:szCs w:val="18"/>
          <w:color w:val="auto"/>
        </w:rPr>
      </w:pPr>
      <w:r>
        <w:rPr>
          <w:rFonts w:ascii="Arial" w:cs="Arial" w:eastAsia="Arial" w:hAnsi="Arial"/>
          <w:sz w:val="18"/>
          <w:szCs w:val="18"/>
          <w:color w:val="auto"/>
        </w:rPr>
        <w:t xml:space="preserve">any supplemental organizational or authorization documents and certificates as may be reasonably requested by the Administrative Agent or the Collateral Agent or necessary in connection with the delivery of the opinions described in the preceding clause (a); and (c) each document, form or notice required by any of the foregoing Collateral Documents or reasonably requested by the Collateral Agent to be filed, delivered, registered or recorded in order to perfect (or any analogous concept to the extent perfection does not apply in the relevant jurisdiction), subject to the Intercreditor Agreement, the Liens in favor of the Collateral Agent, on behalf of the Secured Parties, over and on the Collateral described in this </w:t>
      </w:r>
      <w:r>
        <w:rPr>
          <w:rFonts w:ascii="Arial" w:cs="Arial" w:eastAsia="Arial" w:hAnsi="Arial"/>
          <w:sz w:val="18"/>
          <w:szCs w:val="18"/>
          <w:u w:val="single" w:color="auto"/>
          <w:color w:val="auto"/>
        </w:rPr>
        <w:t>Schedule 7.11</w:t>
      </w:r>
      <w:r>
        <w:rPr>
          <w:rFonts w:ascii="Arial" w:cs="Arial" w:eastAsia="Arial" w:hAnsi="Arial"/>
          <w:sz w:val="18"/>
          <w:szCs w:val="18"/>
          <w:color w:val="auto"/>
        </w:rPr>
        <w:t>, which shall be in proper form for filing, registration or recordation.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8.01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EXISTING INDEBTEDNESS</w:t>
      </w:r>
    </w:p>
    <w:p>
      <w:pPr>
        <w:spacing w:after="0" w:line="225" w:lineRule="exact"/>
        <w:rPr>
          <w:sz w:val="20"/>
          <w:szCs w:val="20"/>
          <w:color w:val="auto"/>
        </w:rPr>
      </w:pPr>
    </w:p>
    <w:p>
      <w:pPr>
        <w:ind w:left="340" w:hanging="332"/>
        <w:spacing w:after="0"/>
        <w:tabs>
          <w:tab w:leader="none" w:pos="340" w:val="left"/>
        </w:tabs>
        <w:numPr>
          <w:ilvl w:val="0"/>
          <w:numId w:val="517"/>
        </w:numPr>
        <w:rPr>
          <w:rFonts w:ascii="Arial" w:cs="Arial" w:eastAsia="Arial" w:hAnsi="Arial"/>
          <w:sz w:val="18"/>
          <w:szCs w:val="18"/>
          <w:b w:val="1"/>
          <w:bCs w:val="1"/>
          <w:color w:val="auto"/>
        </w:rPr>
      </w:pPr>
      <w:r>
        <w:rPr>
          <w:rFonts w:ascii="Arial" w:cs="Arial" w:eastAsia="Arial" w:hAnsi="Arial"/>
          <w:sz w:val="18"/>
          <w:szCs w:val="18"/>
          <w:b w:val="1"/>
          <w:bCs w:val="1"/>
          <w:color w:val="auto"/>
        </w:rPr>
        <w:t>Certain credit facilities described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Bank</w:t>
            </w:r>
          </w:p>
        </w:tc>
        <w:tc>
          <w:tcPr>
            <w:tcW w:w="2300" w:type="dxa"/>
            <w:vAlign w:val="bottom"/>
          </w:tcPr>
          <w:p>
            <w:pPr>
              <w:ind w:left="840"/>
              <w:spacing w:after="0"/>
              <w:rPr>
                <w:sz w:val="20"/>
                <w:szCs w:val="20"/>
                <w:color w:val="auto"/>
              </w:rPr>
            </w:pPr>
            <w:r>
              <w:rPr>
                <w:rFonts w:ascii="Arial" w:cs="Arial" w:eastAsia="Arial" w:hAnsi="Arial"/>
                <w:sz w:val="14"/>
                <w:szCs w:val="14"/>
                <w:b w:val="1"/>
                <w:bCs w:val="1"/>
                <w:color w:val="auto"/>
              </w:rPr>
              <w:t>Borrower</w:t>
            </w:r>
          </w:p>
        </w:tc>
        <w:tc>
          <w:tcPr>
            <w:tcW w:w="280" w:type="dxa"/>
            <w:vAlign w:val="bottom"/>
          </w:tcPr>
          <w:p>
            <w:pPr>
              <w:spacing w:after="0"/>
              <w:rPr>
                <w:sz w:val="14"/>
                <w:szCs w:val="14"/>
                <w:color w:val="auto"/>
              </w:rPr>
            </w:pPr>
          </w:p>
        </w:tc>
        <w:tc>
          <w:tcPr>
            <w:tcW w:w="2280" w:type="dxa"/>
            <w:vAlign w:val="bottom"/>
          </w:tcPr>
          <w:p>
            <w:pPr>
              <w:ind w:left="800"/>
              <w:spacing w:after="0"/>
              <w:rPr>
                <w:sz w:val="20"/>
                <w:szCs w:val="20"/>
                <w:color w:val="auto"/>
              </w:rPr>
            </w:pPr>
            <w:r>
              <w:rPr>
                <w:rFonts w:ascii="Arial" w:cs="Arial" w:eastAsia="Arial" w:hAnsi="Arial"/>
                <w:sz w:val="14"/>
                <w:szCs w:val="14"/>
                <w:b w:val="1"/>
                <w:bCs w:val="1"/>
                <w:color w:val="auto"/>
              </w:rPr>
              <w:t>Guarantor</w:t>
            </w:r>
          </w:p>
        </w:tc>
        <w:tc>
          <w:tcPr>
            <w:tcW w:w="280" w:type="dxa"/>
            <w:vAlign w:val="bottom"/>
          </w:tcPr>
          <w:p>
            <w:pPr>
              <w:spacing w:after="0"/>
              <w:rPr>
                <w:sz w:val="14"/>
                <w:szCs w:val="14"/>
                <w:color w:val="auto"/>
              </w:rPr>
            </w:pPr>
          </w:p>
        </w:tc>
        <w:tc>
          <w:tcPr>
            <w:tcW w:w="1700" w:type="dxa"/>
            <w:vAlign w:val="bottom"/>
          </w:tcPr>
          <w:p>
            <w:pPr>
              <w:ind w:left="360"/>
              <w:spacing w:after="0"/>
              <w:rPr>
                <w:sz w:val="20"/>
                <w:szCs w:val="20"/>
                <w:color w:val="auto"/>
              </w:rPr>
            </w:pPr>
            <w:r>
              <w:rPr>
                <w:rFonts w:ascii="Arial" w:cs="Arial" w:eastAsia="Arial" w:hAnsi="Arial"/>
                <w:sz w:val="14"/>
                <w:szCs w:val="14"/>
                <w:b w:val="1"/>
                <w:bCs w:val="1"/>
                <w:color w:val="auto"/>
              </w:rPr>
              <w:t>Facility Amount</w:t>
            </w:r>
          </w:p>
        </w:tc>
        <w:tc>
          <w:tcPr>
            <w:tcW w:w="280" w:type="dxa"/>
            <w:vAlign w:val="bottom"/>
          </w:tcPr>
          <w:p>
            <w:pPr>
              <w:spacing w:after="0"/>
              <w:rPr>
                <w:sz w:val="14"/>
                <w:szCs w:val="14"/>
                <w:color w:val="auto"/>
              </w:rPr>
            </w:pPr>
          </w:p>
        </w:tc>
        <w:tc>
          <w:tcPr>
            <w:tcW w:w="1480" w:type="dxa"/>
            <w:vAlign w:val="bottom"/>
            <w:gridSpan w:val="2"/>
          </w:tcPr>
          <w:p>
            <w:pPr>
              <w:ind w:left="300"/>
              <w:spacing w:after="0"/>
              <w:rPr>
                <w:sz w:val="20"/>
                <w:szCs w:val="20"/>
                <w:color w:val="auto"/>
              </w:rPr>
            </w:pPr>
            <w:r>
              <w:rPr>
                <w:rFonts w:ascii="Arial" w:cs="Arial" w:eastAsia="Arial" w:hAnsi="Arial"/>
                <w:sz w:val="14"/>
                <w:szCs w:val="14"/>
                <w:b w:val="1"/>
                <w:bCs w:val="1"/>
                <w:color w:val="auto"/>
              </w:rPr>
              <w:t>Facility Type</w:t>
            </w:r>
          </w:p>
        </w:tc>
      </w:tr>
      <w:tr>
        <w:trPr>
          <w:trHeight w:val="210"/>
        </w:trPr>
        <w:tc>
          <w:tcPr>
            <w:tcW w:w="2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JPMorgan Chase Bank, N.A.</w:t>
            </w:r>
          </w:p>
        </w:tc>
        <w:tc>
          <w:tcPr>
            <w:tcW w:w="3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Weatherford Canada Ltd.</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WIL-Ireland</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$25,000,000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Overdraft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282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1"/>
              </w:rPr>
              <w:t>Wells Fargo Bank, National</w:t>
            </w: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820" w:type="dxa"/>
            <w:vAlign w:val="bottom"/>
            <w:gridSpan w:val="2"/>
          </w:tcPr>
          <w:p>
            <w:pPr>
              <w:ind w:left="940"/>
              <w:spacing w:after="0"/>
              <w:rPr>
                <w:sz w:val="20"/>
                <w:szCs w:val="20"/>
                <w:color w:val="auto"/>
              </w:rPr>
            </w:pPr>
            <w:r>
              <w:rPr>
                <w:rFonts w:ascii="Arial" w:cs="Arial" w:eastAsia="Arial" w:hAnsi="Arial"/>
                <w:sz w:val="18"/>
                <w:szCs w:val="18"/>
                <w:color w:val="auto"/>
              </w:rPr>
              <w:t>Association</w:t>
            </w:r>
          </w:p>
        </w:tc>
        <w:tc>
          <w:tcPr>
            <w:tcW w:w="2300" w:type="dxa"/>
            <w:vAlign w:val="bottom"/>
          </w:tcPr>
          <w:p>
            <w:pPr>
              <w:spacing w:after="0"/>
              <w:rPr>
                <w:sz w:val="20"/>
                <w:szCs w:val="20"/>
                <w:color w:val="auto"/>
              </w:rPr>
            </w:pPr>
            <w:r>
              <w:rPr>
                <w:rFonts w:ascii="Arial" w:cs="Arial" w:eastAsia="Arial" w:hAnsi="Arial"/>
                <w:sz w:val="18"/>
                <w:szCs w:val="18"/>
                <w:color w:val="auto"/>
              </w:rPr>
              <w:t>PD Holdings (USA), L.P.</w:t>
            </w:r>
          </w:p>
        </w:tc>
        <w:tc>
          <w:tcPr>
            <w:tcW w:w="25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$10,000,000</w:t>
            </w:r>
          </w:p>
        </w:tc>
        <w:tc>
          <w:tcPr>
            <w:tcW w:w="1760" w:type="dxa"/>
            <w:vAlign w:val="bottom"/>
            <w:gridSpan w:val="3"/>
          </w:tcPr>
          <w:p>
            <w:pPr>
              <w:ind w:left="280"/>
              <w:spacing w:after="0"/>
              <w:rPr>
                <w:sz w:val="20"/>
                <w:szCs w:val="20"/>
                <w:color w:val="auto"/>
              </w:rPr>
            </w:pPr>
            <w:r>
              <w:rPr>
                <w:rFonts w:ascii="Arial" w:cs="Arial" w:eastAsia="Arial" w:hAnsi="Arial"/>
                <w:sz w:val="18"/>
                <w:szCs w:val="18"/>
                <w:color w:val="auto"/>
              </w:rPr>
              <w:t>Overdraft</w:t>
            </w:r>
          </w:p>
        </w:tc>
      </w:tr>
      <w:tr>
        <w:trPr>
          <w:trHeight w:val="202"/>
        </w:trPr>
        <w:tc>
          <w:tcPr>
            <w:tcW w:w="282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color w:val="auto"/>
                <w:w w:val="90"/>
              </w:rPr>
              <w:t>Barclays Bank Plc</w:t>
            </w:r>
          </w:p>
        </w:tc>
        <w:tc>
          <w:tcPr>
            <w:tcW w:w="230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WIL-Ireland and WIL-</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Weatherford U.K. Limited</w:t>
            </w:r>
          </w:p>
        </w:tc>
        <w:tc>
          <w:tcPr>
            <w:tcW w:w="2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Bermuda</w:t>
            </w: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GBP 12,000,000</w:t>
            </w:r>
          </w:p>
        </w:tc>
        <w:tc>
          <w:tcPr>
            <w:tcW w:w="1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Overdraft</w:t>
            </w:r>
          </w:p>
        </w:tc>
      </w:tr>
      <w:tr>
        <w:trPr>
          <w:trHeight w:val="202"/>
        </w:trPr>
        <w:tc>
          <w:tcPr>
            <w:tcW w:w="282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2"/>
              </w:rPr>
              <w:t>Nordea Bank AB</w:t>
            </w: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98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NOK 50,000,000</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(Additional NOK</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560" w:type="dxa"/>
            <w:vAlign w:val="bottom"/>
            <w:gridSpan w:val="2"/>
          </w:tcPr>
          <w:p>
            <w:pPr>
              <w:ind w:left="280"/>
              <w:spacing w:after="0"/>
              <w:rPr>
                <w:sz w:val="20"/>
                <w:szCs w:val="20"/>
                <w:color w:val="auto"/>
              </w:rPr>
            </w:pPr>
            <w:r>
              <w:rPr>
                <w:rFonts w:ascii="Arial" w:cs="Arial" w:eastAsia="Arial" w:hAnsi="Arial"/>
                <w:sz w:val="18"/>
                <w:szCs w:val="18"/>
                <w:color w:val="auto"/>
              </w:rPr>
              <w:t>Weatherford Laboratories</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w w:val="99"/>
              </w:rPr>
              <w:t>10,000,000 in related</w:t>
            </w:r>
          </w:p>
        </w:tc>
        <w:tc>
          <w:tcPr>
            <w:tcW w:w="1760" w:type="dxa"/>
            <w:vAlign w:val="bottom"/>
            <w:gridSpan w:val="3"/>
          </w:tcPr>
          <w:p>
            <w:pPr>
              <w:ind w:left="280"/>
              <w:spacing w:after="0"/>
              <w:rPr>
                <w:sz w:val="20"/>
                <w:szCs w:val="20"/>
                <w:color w:val="auto"/>
              </w:rPr>
            </w:pPr>
            <w:r>
              <w:rPr>
                <w:rFonts w:ascii="Arial" w:cs="Arial" w:eastAsia="Arial" w:hAnsi="Arial"/>
                <w:sz w:val="18"/>
                <w:szCs w:val="18"/>
                <w:color w:val="auto"/>
              </w:rPr>
              <w:t>Overdraft and</w:t>
            </w:r>
          </w:p>
        </w:tc>
      </w:tr>
      <w:tr>
        <w:trPr>
          <w:trHeight w:val="230"/>
        </w:trPr>
        <w:tc>
          <w:tcPr>
            <w:tcW w:w="2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Weatherford Norge AS</w:t>
            </w:r>
          </w:p>
        </w:tc>
        <w:tc>
          <w:tcPr>
            <w:tcW w:w="2560" w:type="dxa"/>
            <w:vAlign w:val="bottom"/>
            <w:gridSpan w:val="2"/>
          </w:tcPr>
          <w:p>
            <w:pPr>
              <w:ind w:left="280"/>
              <w:spacing w:after="0"/>
              <w:rPr>
                <w:sz w:val="20"/>
                <w:szCs w:val="20"/>
                <w:color w:val="auto"/>
              </w:rPr>
            </w:pPr>
            <w:r>
              <w:rPr>
                <w:rFonts w:ascii="Arial" w:cs="Arial" w:eastAsia="Arial" w:hAnsi="Arial"/>
                <w:sz w:val="18"/>
                <w:szCs w:val="18"/>
                <w:color w:val="auto"/>
              </w:rPr>
              <w:t>(Norway) AS</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Guarantee Facility)</w:t>
            </w:r>
          </w:p>
        </w:tc>
        <w:tc>
          <w:tcPr>
            <w:tcW w:w="1760" w:type="dxa"/>
            <w:vAlign w:val="bottom"/>
            <w:gridSpan w:val="3"/>
          </w:tcPr>
          <w:p>
            <w:pPr>
              <w:ind w:left="280"/>
              <w:spacing w:after="0"/>
              <w:rPr>
                <w:sz w:val="20"/>
                <w:szCs w:val="20"/>
                <w:color w:val="auto"/>
              </w:rPr>
            </w:pPr>
            <w:r>
              <w:rPr>
                <w:rFonts w:ascii="Arial" w:cs="Arial" w:eastAsia="Arial" w:hAnsi="Arial"/>
                <w:sz w:val="18"/>
                <w:szCs w:val="18"/>
                <w:color w:val="auto"/>
              </w:rPr>
              <w:t>Guarantee</w:t>
            </w:r>
          </w:p>
        </w:tc>
      </w:tr>
      <w:tr>
        <w:trPr>
          <w:trHeight w:val="202"/>
        </w:trPr>
        <w:tc>
          <w:tcPr>
            <w:tcW w:w="282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color w:val="auto"/>
                <w:w w:val="91"/>
              </w:rPr>
              <w:t>Deutsche Bank AG</w:t>
            </w:r>
          </w:p>
        </w:tc>
        <w:tc>
          <w:tcPr>
            <w:tcW w:w="230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WIL-Ireland, WIL-Bermuda</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4"/>
              </w:rPr>
              <w:t>Weatherford Netherlands B.V.</w:t>
            </w:r>
          </w:p>
        </w:tc>
        <w:tc>
          <w:tcPr>
            <w:tcW w:w="2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9"/>
              </w:rPr>
              <w:t>and other subsidiary guarantors</w:t>
            </w: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$20,000,000</w:t>
            </w:r>
          </w:p>
        </w:tc>
        <w:tc>
          <w:tcPr>
            <w:tcW w:w="1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Overdraft</w:t>
            </w:r>
          </w:p>
        </w:tc>
      </w:tr>
    </w:tbl>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Guarantees: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8.04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EXISTING LIENS</w:t>
      </w:r>
    </w:p>
    <w:p>
      <w:pPr>
        <w:sectPr>
          <w:pgSz w:w="11900" w:h="16838" w:orient="portrait"/>
          <w:cols w:equalWidth="0" w:num="1">
            <w:col w:w="11420"/>
          </w:cols>
          <w:pgMar w:left="240" w:top="125" w:right="239" w:bottom="0" w:gutter="0" w:footer="0" w:header="0"/>
        </w:sectPr>
      </w:pPr>
    </w:p>
    <w:bookmarkStart w:id="205" w:name="page206"/>
    <w:bookmarkEnd w:id="20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Primary Obligor</w:t>
            </w: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Description</w:t>
            </w: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Secured Party</w:t>
            </w:r>
          </w:p>
        </w:tc>
        <w:tc>
          <w:tcPr>
            <w:tcW w:w="25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Grantor</w:t>
            </w:r>
          </w:p>
        </w:tc>
        <w:tc>
          <w:tcPr>
            <w:tcW w:w="1640" w:type="dxa"/>
            <w:vAlign w:val="bottom"/>
            <w:gridSpan w:val="2"/>
            <w:vMerge w:val="continue"/>
          </w:tcPr>
          <w:p>
            <w:pPr>
              <w:spacing w:after="0"/>
              <w:rPr>
                <w:sz w:val="12"/>
                <w:szCs w:val="12"/>
                <w:color w:val="auto"/>
              </w:rPr>
            </w:pP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of the</w:t>
            </w:r>
          </w:p>
        </w:tc>
        <w:tc>
          <w:tcPr>
            <w:tcW w:w="2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Description of Secured Obligation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80" w:type="dxa"/>
            <w:vAlign w:val="bottom"/>
            <w:gridSpan w:val="2"/>
            <w:vMerge w:val="continue"/>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and Guarantors</w:t>
            </w: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Collateral</w:t>
            </w:r>
          </w:p>
        </w:tc>
        <w:tc>
          <w:tcPr>
            <w:tcW w:w="2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1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Citibank, N.A., United Arab</w:t>
            </w:r>
          </w:p>
        </w:tc>
        <w:tc>
          <w:tcPr>
            <w:tcW w:w="30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Weatherford Oil Tool Middle</w:t>
            </w: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Pledge of deposit</w:t>
            </w:r>
          </w:p>
        </w:tc>
        <w:tc>
          <w:tcPr>
            <w:tcW w:w="300" w:type="dxa"/>
            <w:vAlign w:val="bottom"/>
            <w:tcBorders>
              <w:top w:val="single" w:sz="8" w:color="CCEEFF"/>
            </w:tcBorders>
            <w:shd w:val="clear" w:color="auto" w:fill="CCEEFF"/>
          </w:tcPr>
          <w:p>
            <w:pPr>
              <w:spacing w:after="0"/>
              <w:rPr>
                <w:sz w:val="16"/>
                <w:szCs w:val="16"/>
                <w:color w:val="auto"/>
              </w:rPr>
            </w:pPr>
          </w:p>
        </w:tc>
        <w:tc>
          <w:tcPr>
            <w:tcW w:w="26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L/C obligations in an amount equal</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Emirates</w:t>
            </w:r>
          </w:p>
        </w:tc>
        <w:tc>
          <w:tcPr>
            <w:tcW w:w="25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East (Dubai Branch)</w:t>
            </w: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WIL-Bermuda</w:t>
            </w:r>
          </w:p>
        </w:tc>
        <w:tc>
          <w:tcPr>
            <w:tcW w:w="2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account to secure L/Cs</w:t>
            </w: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to $8.3 million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8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89"/>
              </w:rPr>
              <w:t>Standard Chartered Bank</w:t>
            </w: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9"/>
              </w:rPr>
              <w:t>Pledge of deposit</w:t>
            </w:r>
          </w:p>
        </w:tc>
        <w:tc>
          <w:tcPr>
            <w:tcW w:w="272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L/C obligations in an amount equal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WIL-Bermuda</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rPr>
              <w:t>N/A</w:t>
            </w: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account to secure L/Cs</w:t>
            </w: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to $0.6 million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1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4"/>
          </w:tcPr>
          <w:p>
            <w:pPr>
              <w:ind w:left="60"/>
              <w:spacing w:after="0"/>
              <w:rPr>
                <w:sz w:val="20"/>
                <w:szCs w:val="20"/>
                <w:color w:val="auto"/>
              </w:rPr>
            </w:pPr>
            <w:r>
              <w:rPr>
                <w:rFonts w:ascii="Arial" w:cs="Arial" w:eastAsia="Arial" w:hAnsi="Arial"/>
                <w:sz w:val="18"/>
                <w:szCs w:val="18"/>
                <w:b w:val="1"/>
                <w:bCs w:val="1"/>
                <w:color w:val="auto"/>
                <w:w w:val="99"/>
              </w:rPr>
              <w:t>SCHEDULE 8.06</w:t>
            </w:r>
          </w:p>
        </w:tc>
        <w:tc>
          <w:tcPr>
            <w:tcW w:w="0" w:type="dxa"/>
            <w:vAlign w:val="bottom"/>
          </w:tcPr>
          <w:p>
            <w:pPr>
              <w:spacing w:after="0"/>
              <w:rPr>
                <w:sz w:val="1"/>
                <w:szCs w:val="1"/>
                <w:color w:val="auto"/>
              </w:rPr>
            </w:pPr>
          </w:p>
        </w:tc>
      </w:tr>
      <w:tr>
        <w:trPr>
          <w:trHeight w:val="412"/>
        </w:trPr>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920" w:type="dxa"/>
            <w:vAlign w:val="bottom"/>
            <w:gridSpan w:val="6"/>
          </w:tcPr>
          <w:p>
            <w:pPr>
              <w:ind w:left="2520"/>
              <w:spacing w:after="0"/>
              <w:rPr>
                <w:sz w:val="20"/>
                <w:szCs w:val="20"/>
                <w:color w:val="auto"/>
              </w:rPr>
            </w:pPr>
            <w:r>
              <w:rPr>
                <w:rFonts w:ascii="Arial" w:cs="Arial" w:eastAsia="Arial" w:hAnsi="Arial"/>
                <w:sz w:val="18"/>
                <w:szCs w:val="18"/>
                <w:b w:val="1"/>
                <w:bCs w:val="1"/>
                <w:color w:val="auto"/>
              </w:rPr>
              <w:t>EXISTING INVESTMENTS</w:t>
            </w:r>
          </w:p>
        </w:tc>
        <w:tc>
          <w:tcPr>
            <w:tcW w:w="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Percent of equity</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held by</w:t>
            </w:r>
          </w:p>
        </w:tc>
        <w:tc>
          <w:tcPr>
            <w:tcW w:w="0" w:type="dxa"/>
            <w:vAlign w:val="bottom"/>
          </w:tcPr>
          <w:p>
            <w:pPr>
              <w:spacing w:after="0"/>
              <w:rPr>
                <w:sz w:val="1"/>
                <w:szCs w:val="1"/>
                <w:color w:val="auto"/>
              </w:rPr>
            </w:pPr>
          </w:p>
        </w:tc>
      </w:tr>
      <w:tr>
        <w:trPr>
          <w:trHeight w:val="149"/>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3760" w:type="dxa"/>
            <w:vAlign w:val="bottom"/>
            <w:gridSpan w:val="2"/>
            <w:vMerge w:val="restart"/>
          </w:tcPr>
          <w:p>
            <w:pPr>
              <w:ind w:left="1480"/>
              <w:spacing w:after="0"/>
              <w:rPr>
                <w:sz w:val="20"/>
                <w:szCs w:val="20"/>
                <w:color w:val="auto"/>
              </w:rPr>
            </w:pPr>
            <w:r>
              <w:rPr>
                <w:rFonts w:ascii="Arial" w:cs="Arial" w:eastAsia="Arial" w:hAnsi="Arial"/>
                <w:sz w:val="14"/>
                <w:szCs w:val="14"/>
                <w:b w:val="1"/>
                <w:bCs w:val="1"/>
                <w:color w:val="auto"/>
              </w:rPr>
              <w:t>Entity Name</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1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Registered Holder</w:t>
            </w:r>
          </w:p>
        </w:tc>
        <w:tc>
          <w:tcPr>
            <w:tcW w:w="60" w:type="dxa"/>
            <w:vAlign w:val="bottom"/>
          </w:tcPr>
          <w:p>
            <w:pPr>
              <w:spacing w:after="0"/>
              <w:rPr>
                <w:sz w:val="12"/>
                <w:szCs w:val="12"/>
                <w:color w:val="auto"/>
              </w:rPr>
            </w:pPr>
          </w:p>
        </w:tc>
        <w:tc>
          <w:tcPr>
            <w:tcW w:w="14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Weatherford</w:t>
            </w:r>
          </w:p>
        </w:tc>
        <w:tc>
          <w:tcPr>
            <w:tcW w:w="0" w:type="dxa"/>
            <w:vAlign w:val="bottom"/>
          </w:tcPr>
          <w:p>
            <w:pPr>
              <w:spacing w:after="0"/>
              <w:rPr>
                <w:sz w:val="1"/>
                <w:szCs w:val="1"/>
                <w:color w:val="auto"/>
              </w:rPr>
            </w:pPr>
          </w:p>
        </w:tc>
      </w:tr>
      <w:tr>
        <w:trPr>
          <w:trHeight w:val="171"/>
        </w:trPr>
        <w:tc>
          <w:tcPr>
            <w:tcW w:w="2080" w:type="dxa"/>
            <w:vAlign w:val="bottom"/>
            <w:gridSpan w:val="2"/>
            <w:vMerge w:val="continue"/>
          </w:tcPr>
          <w:p>
            <w:pPr>
              <w:spacing w:after="0"/>
              <w:rPr>
                <w:sz w:val="14"/>
                <w:szCs w:val="14"/>
                <w:color w:val="auto"/>
              </w:rPr>
            </w:pPr>
          </w:p>
        </w:tc>
        <w:tc>
          <w:tcPr>
            <w:tcW w:w="3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Subsidiary</w:t>
            </w:r>
          </w:p>
        </w:tc>
        <w:tc>
          <w:tcPr>
            <w:tcW w:w="0" w:type="dxa"/>
            <w:vAlign w:val="bottom"/>
          </w:tcPr>
          <w:p>
            <w:pPr>
              <w:spacing w:after="0"/>
              <w:rPr>
                <w:sz w:val="1"/>
                <w:szCs w:val="1"/>
                <w:color w:val="auto"/>
              </w:rPr>
            </w:pPr>
          </w:p>
        </w:tc>
      </w:tr>
      <w:tr>
        <w:trPr>
          <w:trHeight w:val="210"/>
        </w:trPr>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Consolidated JV</w:t>
            </w:r>
          </w:p>
        </w:tc>
        <w:tc>
          <w:tcPr>
            <w:tcW w:w="22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Bios Developments Limited</w:t>
            </w:r>
          </w:p>
        </w:tc>
        <w:tc>
          <w:tcPr>
            <w:tcW w:w="2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Weatherford Holdings U.K. Ltd.</w:t>
            </w:r>
          </w:p>
        </w:tc>
        <w:tc>
          <w:tcPr>
            <w:tcW w:w="2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40.0012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8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1"/>
              </w:rPr>
              <w:t>Consolidated JV</w:t>
            </w: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rPr>
              <w:t>Shandong Weatherford Highland Artificial Lift</w:t>
            </w:r>
          </w:p>
        </w:tc>
        <w:tc>
          <w:tcPr>
            <w:tcW w:w="4160" w:type="dxa"/>
            <w:vAlign w:val="bottom"/>
            <w:gridSpan w:val="4"/>
          </w:tcPr>
          <w:p>
            <w:pPr>
              <w:ind w:left="200"/>
              <w:spacing w:after="0" w:line="201" w:lineRule="exact"/>
              <w:rPr>
                <w:sz w:val="20"/>
                <w:szCs w:val="20"/>
                <w:color w:val="auto"/>
              </w:rPr>
            </w:pPr>
            <w:r>
              <w:rPr>
                <w:rFonts w:ascii="Arial" w:cs="Arial" w:eastAsia="Arial" w:hAnsi="Arial"/>
                <w:sz w:val="18"/>
                <w:szCs w:val="18"/>
                <w:color w:val="auto"/>
              </w:rPr>
              <w:t>Energy Ventures Far East Limited</w:t>
            </w: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Equipment Co., Ltd.</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60.00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Consolidated JV</w:t>
            </w: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Emirates Link Weatherford Laboratories LLC</w:t>
            </w:r>
          </w:p>
        </w:tc>
        <w:tc>
          <w:tcPr>
            <w:tcW w:w="41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Weatherford Laboratories (Norway) AS</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Consolidated JV</w:t>
            </w:r>
          </w:p>
        </w:tc>
        <w:tc>
          <w:tcPr>
            <w:tcW w:w="3760" w:type="dxa"/>
            <w:vAlign w:val="bottom"/>
            <w:gridSpan w:val="2"/>
          </w:tcPr>
          <w:p>
            <w:pPr>
              <w:spacing w:after="0"/>
              <w:rPr>
                <w:sz w:val="20"/>
                <w:szCs w:val="20"/>
                <w:color w:val="auto"/>
              </w:rPr>
            </w:pPr>
            <w:r>
              <w:rPr>
                <w:rFonts w:ascii="Arial" w:cs="Arial" w:eastAsia="Arial" w:hAnsi="Arial"/>
                <w:sz w:val="18"/>
                <w:szCs w:val="18"/>
                <w:color w:val="auto"/>
              </w:rPr>
              <w:t>Powerflo Rentals (Dubai) LLC</w:t>
            </w:r>
          </w:p>
        </w:tc>
        <w:tc>
          <w:tcPr>
            <w:tcW w:w="4160" w:type="dxa"/>
            <w:vAlign w:val="bottom"/>
            <w:gridSpan w:val="4"/>
          </w:tcPr>
          <w:p>
            <w:pPr>
              <w:ind w:left="200"/>
              <w:spacing w:after="0"/>
              <w:rPr>
                <w:sz w:val="20"/>
                <w:szCs w:val="20"/>
                <w:color w:val="auto"/>
              </w:rPr>
            </w:pPr>
            <w:r>
              <w:rPr>
                <w:rFonts w:ascii="Arial" w:cs="Arial" w:eastAsia="Arial" w:hAnsi="Arial"/>
                <w:sz w:val="18"/>
                <w:szCs w:val="18"/>
                <w:color w:val="auto"/>
              </w:rPr>
              <w:t>Offshore Rentals Limited</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49.00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Consolidated JV</w:t>
            </w: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Precision Drilling Services M.E. W.L.L.</w:t>
            </w:r>
          </w:p>
        </w:tc>
        <w:tc>
          <w:tcPr>
            <w:tcW w:w="41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Precision Energy Services (BVI) Ltd.</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Consolidated JV</w:t>
            </w:r>
          </w:p>
        </w:tc>
        <w:tc>
          <w:tcPr>
            <w:tcW w:w="3760" w:type="dxa"/>
            <w:vAlign w:val="bottom"/>
            <w:gridSpan w:val="2"/>
          </w:tcPr>
          <w:p>
            <w:pPr>
              <w:spacing w:after="0"/>
              <w:rPr>
                <w:sz w:val="20"/>
                <w:szCs w:val="20"/>
                <w:color w:val="auto"/>
              </w:rPr>
            </w:pPr>
            <w:r>
              <w:rPr>
                <w:rFonts w:ascii="Arial" w:cs="Arial" w:eastAsia="Arial" w:hAnsi="Arial"/>
                <w:sz w:val="18"/>
                <w:szCs w:val="18"/>
                <w:color w:val="auto"/>
              </w:rPr>
              <w:t>United Precision Drilling Company W.L.L.</w:t>
            </w:r>
          </w:p>
        </w:tc>
        <w:tc>
          <w:tcPr>
            <w:tcW w:w="4160" w:type="dxa"/>
            <w:vAlign w:val="bottom"/>
            <w:gridSpan w:val="4"/>
          </w:tcPr>
          <w:p>
            <w:pPr>
              <w:ind w:left="200"/>
              <w:spacing w:after="0"/>
              <w:rPr>
                <w:sz w:val="20"/>
                <w:szCs w:val="20"/>
                <w:color w:val="auto"/>
              </w:rPr>
            </w:pPr>
            <w:r>
              <w:rPr>
                <w:rFonts w:ascii="Arial" w:cs="Arial" w:eastAsia="Arial" w:hAnsi="Arial"/>
                <w:sz w:val="18"/>
                <w:szCs w:val="18"/>
                <w:color w:val="auto"/>
              </w:rPr>
              <w:t>Precision Drilling (Cyprus) Limited</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47.50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Consolidated JV</w:t>
            </w: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Al-Rushaid Co. Ltd.</w:t>
            </w:r>
          </w:p>
        </w:tc>
        <w:tc>
          <w:tcPr>
            <w:tcW w:w="41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Weatherford Overseas Products, Limited</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Consolidated JV</w:t>
            </w:r>
          </w:p>
        </w:tc>
        <w:tc>
          <w:tcPr>
            <w:tcW w:w="3760" w:type="dxa"/>
            <w:vAlign w:val="bottom"/>
            <w:gridSpan w:val="2"/>
          </w:tcPr>
          <w:p>
            <w:pPr>
              <w:spacing w:after="0"/>
              <w:rPr>
                <w:sz w:val="20"/>
                <w:szCs w:val="20"/>
                <w:color w:val="auto"/>
              </w:rPr>
            </w:pPr>
            <w:r>
              <w:rPr>
                <w:rFonts w:ascii="Arial" w:cs="Arial" w:eastAsia="Arial" w:hAnsi="Arial"/>
                <w:sz w:val="18"/>
                <w:szCs w:val="18"/>
                <w:color w:val="auto"/>
              </w:rPr>
              <w:t>Weatherford Angola, Limitada</w:t>
            </w:r>
          </w:p>
        </w:tc>
        <w:tc>
          <w:tcPr>
            <w:tcW w:w="4160" w:type="dxa"/>
            <w:vAlign w:val="bottom"/>
            <w:gridSpan w:val="4"/>
          </w:tcPr>
          <w:p>
            <w:pPr>
              <w:ind w:left="200"/>
              <w:spacing w:after="0"/>
              <w:rPr>
                <w:sz w:val="20"/>
                <w:szCs w:val="20"/>
                <w:color w:val="auto"/>
              </w:rPr>
            </w:pPr>
            <w:r>
              <w:rPr>
                <w:rFonts w:ascii="Arial" w:cs="Arial" w:eastAsia="Arial" w:hAnsi="Arial"/>
                <w:sz w:val="18"/>
                <w:szCs w:val="18"/>
                <w:color w:val="auto"/>
              </w:rPr>
              <w:t>Weatherford Angola Wellscreen Applications Ltd.</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45.00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Consolidated JV</w:t>
            </w: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Bin Hamoodah L.L.C.</w:t>
            </w:r>
          </w:p>
        </w:tc>
        <w:tc>
          <w:tcPr>
            <w:tcW w:w="41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Weatherford Abu Dhabi, Limited</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8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1"/>
              </w:rPr>
              <w:t>Consolidated JV</w:t>
            </w: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rPr>
              <w:t>Weatherford Drilling International (Oman) LLC</w:t>
            </w:r>
          </w:p>
        </w:tc>
        <w:tc>
          <w:tcPr>
            <w:tcW w:w="4160" w:type="dxa"/>
            <w:vAlign w:val="bottom"/>
            <w:gridSpan w:val="4"/>
          </w:tcPr>
          <w:p>
            <w:pPr>
              <w:ind w:left="200"/>
              <w:spacing w:after="0" w:line="201" w:lineRule="exact"/>
              <w:rPr>
                <w:sz w:val="20"/>
                <w:szCs w:val="20"/>
                <w:color w:val="auto"/>
              </w:rPr>
            </w:pPr>
            <w:r>
              <w:rPr>
                <w:rFonts w:ascii="Arial" w:cs="Arial" w:eastAsia="Arial" w:hAnsi="Arial"/>
                <w:sz w:val="18"/>
                <w:szCs w:val="18"/>
                <w:color w:val="auto"/>
              </w:rPr>
              <w:t>Weatherford Drilling International Holdings (BVI)</w:t>
            </w: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160" w:type="dxa"/>
            <w:vAlign w:val="bottom"/>
            <w:gridSpan w:val="4"/>
          </w:tcPr>
          <w:p>
            <w:pPr>
              <w:ind w:left="200"/>
              <w:spacing w:after="0"/>
              <w:rPr>
                <w:sz w:val="20"/>
                <w:szCs w:val="20"/>
                <w:color w:val="auto"/>
              </w:rPr>
            </w:pPr>
            <w:r>
              <w:rPr>
                <w:rFonts w:ascii="Arial" w:cs="Arial" w:eastAsia="Arial" w:hAnsi="Arial"/>
                <w:sz w:val="18"/>
                <w:szCs w:val="18"/>
                <w:color w:val="auto"/>
              </w:rPr>
              <w:t>Ltd.</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65.00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Consolidated JV</w:t>
            </w: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Laboratories (Muscat) L.L.C.</w:t>
            </w:r>
          </w:p>
        </w:tc>
        <w:tc>
          <w:tcPr>
            <w:tcW w:w="41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Weatherford Laboratories (Norway) AS</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Consolidated JV</w:t>
            </w:r>
          </w:p>
        </w:tc>
        <w:tc>
          <w:tcPr>
            <w:tcW w:w="3760" w:type="dxa"/>
            <w:vAlign w:val="bottom"/>
            <w:gridSpan w:val="2"/>
          </w:tcPr>
          <w:p>
            <w:pPr>
              <w:spacing w:after="0"/>
              <w:rPr>
                <w:sz w:val="20"/>
                <w:szCs w:val="20"/>
                <w:color w:val="auto"/>
              </w:rPr>
            </w:pPr>
            <w:r>
              <w:rPr>
                <w:rFonts w:ascii="Arial" w:cs="Arial" w:eastAsia="Arial" w:hAnsi="Arial"/>
                <w:sz w:val="18"/>
                <w:szCs w:val="18"/>
                <w:color w:val="auto"/>
              </w:rPr>
              <w:t>Weatherford Saudi Arabia Limited</w:t>
            </w:r>
          </w:p>
        </w:tc>
        <w:tc>
          <w:tcPr>
            <w:tcW w:w="4160" w:type="dxa"/>
            <w:vAlign w:val="bottom"/>
            <w:gridSpan w:val="4"/>
          </w:tcPr>
          <w:p>
            <w:pPr>
              <w:ind w:left="200"/>
              <w:spacing w:after="0"/>
              <w:rPr>
                <w:sz w:val="20"/>
                <w:szCs w:val="20"/>
                <w:color w:val="auto"/>
              </w:rPr>
            </w:pPr>
            <w:r>
              <w:rPr>
                <w:rFonts w:ascii="Arial" w:cs="Arial" w:eastAsia="Arial" w:hAnsi="Arial"/>
                <w:sz w:val="18"/>
                <w:szCs w:val="18"/>
                <w:color w:val="auto"/>
              </w:rPr>
              <w:t>Weatherford Overseas Services, Limited</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50.01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Consolidated JV</w:t>
            </w: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Ghana Limited</w:t>
            </w:r>
          </w:p>
        </w:tc>
        <w:tc>
          <w:tcPr>
            <w:tcW w:w="41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Weatherford Worldwide Holdings GmbH</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Unconsolidated JV</w:t>
            </w:r>
          </w:p>
        </w:tc>
        <w:tc>
          <w:tcPr>
            <w:tcW w:w="3760" w:type="dxa"/>
            <w:vAlign w:val="bottom"/>
            <w:gridSpan w:val="2"/>
          </w:tcPr>
          <w:p>
            <w:pPr>
              <w:spacing w:after="0"/>
              <w:rPr>
                <w:sz w:val="20"/>
                <w:szCs w:val="20"/>
                <w:color w:val="auto"/>
              </w:rPr>
            </w:pPr>
            <w:r>
              <w:rPr>
                <w:rFonts w:ascii="Arial" w:cs="Arial" w:eastAsia="Arial" w:hAnsi="Arial"/>
                <w:sz w:val="18"/>
                <w:szCs w:val="18"/>
                <w:color w:val="auto"/>
              </w:rPr>
              <w:t>International Drilling &amp; Integrated Services Ltd</w:t>
            </w:r>
          </w:p>
        </w:tc>
        <w:tc>
          <w:tcPr>
            <w:tcW w:w="4160" w:type="dxa"/>
            <w:vAlign w:val="bottom"/>
            <w:gridSpan w:val="4"/>
          </w:tcPr>
          <w:p>
            <w:pPr>
              <w:ind w:left="200"/>
              <w:spacing w:after="0"/>
              <w:rPr>
                <w:sz w:val="20"/>
                <w:szCs w:val="20"/>
                <w:color w:val="auto"/>
              </w:rPr>
            </w:pPr>
            <w:r>
              <w:rPr>
                <w:rFonts w:ascii="Arial" w:cs="Arial" w:eastAsia="Arial" w:hAnsi="Arial"/>
                <w:sz w:val="18"/>
                <w:szCs w:val="18"/>
                <w:color w:val="auto"/>
              </w:rPr>
              <w:t>Weatherford Holdings (BVI) Ltd.</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50.95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Unconsolidated JV</w:t>
            </w: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QB Oilfield Technologies Sdn. Bhd.</w:t>
            </w:r>
          </w:p>
        </w:tc>
        <w:tc>
          <w:tcPr>
            <w:tcW w:w="41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Weatherford Holdings (BVI) Ltd.</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18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Percent of 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held by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376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Entity Name</w:t>
            </w:r>
          </w:p>
        </w:tc>
        <w:tc>
          <w:tcPr>
            <w:tcW w:w="200" w:type="dxa"/>
            <w:vAlign w:val="bottom"/>
          </w:tcPr>
          <w:p>
            <w:pPr>
              <w:spacing w:after="0"/>
              <w:rPr>
                <w:sz w:val="12"/>
                <w:szCs w:val="12"/>
                <w:color w:val="auto"/>
              </w:rPr>
            </w:pPr>
          </w:p>
        </w:tc>
        <w:tc>
          <w:tcPr>
            <w:tcW w:w="3960" w:type="dxa"/>
            <w:vAlign w:val="bottom"/>
            <w:gridSpan w:val="2"/>
            <w:vMerge w:val="restart"/>
          </w:tcPr>
          <w:p>
            <w:pPr>
              <w:ind w:left="1320"/>
              <w:spacing w:after="0"/>
              <w:rPr>
                <w:sz w:val="20"/>
                <w:szCs w:val="20"/>
                <w:color w:val="auto"/>
              </w:rPr>
            </w:pPr>
            <w:r>
              <w:rPr>
                <w:rFonts w:ascii="Arial" w:cs="Arial" w:eastAsia="Arial" w:hAnsi="Arial"/>
                <w:sz w:val="14"/>
                <w:szCs w:val="14"/>
                <w:b w:val="1"/>
                <w:bCs w:val="1"/>
                <w:color w:val="auto"/>
              </w:rPr>
              <w:t>Registered Holder</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Weatherford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80" w:type="dxa"/>
            <w:vAlign w:val="bottom"/>
            <w:gridSpan w:val="2"/>
            <w:vMerge w:val="continue"/>
          </w:tcPr>
          <w:p>
            <w:pPr>
              <w:spacing w:after="0"/>
              <w:rPr>
                <w:sz w:val="14"/>
                <w:szCs w:val="14"/>
                <w:color w:val="auto"/>
              </w:rPr>
            </w:pPr>
          </w:p>
        </w:tc>
        <w:tc>
          <w:tcPr>
            <w:tcW w:w="3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960" w:type="dxa"/>
            <w:vAlign w:val="bottom"/>
            <w:gridSpan w:val="2"/>
            <w:vMerge w:val="continue"/>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Subsidiary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6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Unconsolidated JV</w:t>
            </w:r>
          </w:p>
        </w:tc>
        <w:tc>
          <w:tcPr>
            <w:tcW w:w="22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TubeFuse Applications B.V.</w:t>
            </w:r>
          </w:p>
        </w:tc>
        <w:tc>
          <w:tcPr>
            <w:tcW w:w="2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Weatherford Netherlands B.V.</w:t>
            </w:r>
          </w:p>
        </w:tc>
        <w:tc>
          <w:tcPr>
            <w:tcW w:w="2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40"/>
              <w:spacing w:after="0"/>
              <w:rPr>
                <w:sz w:val="20"/>
                <w:szCs w:val="20"/>
                <w:color w:val="auto"/>
              </w:rPr>
            </w:pPr>
            <w:r>
              <w:rPr>
                <w:rFonts w:ascii="Arial" w:cs="Arial" w:eastAsia="Arial" w:hAnsi="Arial"/>
                <w:sz w:val="18"/>
                <w:szCs w:val="18"/>
                <w:color w:val="auto"/>
              </w:rPr>
              <w:t>Unconsolidated JV</w:t>
            </w:r>
          </w:p>
        </w:tc>
        <w:tc>
          <w:tcPr>
            <w:tcW w:w="3760" w:type="dxa"/>
            <w:vAlign w:val="bottom"/>
          </w:tcPr>
          <w:p>
            <w:pPr>
              <w:spacing w:after="0"/>
              <w:rPr>
                <w:sz w:val="20"/>
                <w:szCs w:val="20"/>
                <w:color w:val="auto"/>
              </w:rPr>
            </w:pPr>
            <w:r>
              <w:rPr>
                <w:rFonts w:ascii="Arial" w:cs="Arial" w:eastAsia="Arial" w:hAnsi="Arial"/>
                <w:sz w:val="18"/>
                <w:szCs w:val="18"/>
                <w:color w:val="auto"/>
              </w:rPr>
              <w:t>Weatherford - CER LLP</w:t>
            </w:r>
          </w:p>
        </w:tc>
        <w:tc>
          <w:tcPr>
            <w:tcW w:w="4160" w:type="dxa"/>
            <w:vAlign w:val="bottom"/>
            <w:gridSpan w:val="3"/>
          </w:tcPr>
          <w:p>
            <w:pPr>
              <w:ind w:left="200"/>
              <w:spacing w:after="0"/>
              <w:rPr>
                <w:sz w:val="20"/>
                <w:szCs w:val="20"/>
                <w:color w:val="auto"/>
              </w:rPr>
            </w:pPr>
            <w:r>
              <w:rPr>
                <w:rFonts w:ascii="Arial" w:cs="Arial" w:eastAsia="Arial" w:hAnsi="Arial"/>
                <w:sz w:val="18"/>
                <w:szCs w:val="18"/>
                <w:color w:val="auto"/>
              </w:rPr>
              <w:t>Weatherford Holdings (Singapore) Pte. Ltd.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Unconsolidated JV</w:t>
            </w: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WESP SPA</w:t>
            </w:r>
          </w:p>
        </w:tc>
        <w:tc>
          <w:tcPr>
            <w:tcW w:w="4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Weatherford Holdings (BVI) Ltd.</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40"/>
              <w:spacing w:after="0"/>
              <w:rPr>
                <w:sz w:val="20"/>
                <w:szCs w:val="20"/>
                <w:color w:val="auto"/>
              </w:rPr>
            </w:pPr>
            <w:r>
              <w:rPr>
                <w:rFonts w:ascii="Arial" w:cs="Arial" w:eastAsia="Arial" w:hAnsi="Arial"/>
                <w:sz w:val="18"/>
                <w:szCs w:val="18"/>
                <w:color w:val="auto"/>
              </w:rPr>
              <w:t>Unconsolidated JV</w:t>
            </w:r>
          </w:p>
        </w:tc>
        <w:tc>
          <w:tcPr>
            <w:tcW w:w="3760" w:type="dxa"/>
            <w:vAlign w:val="bottom"/>
          </w:tcPr>
          <w:p>
            <w:pPr>
              <w:spacing w:after="0"/>
              <w:rPr>
                <w:sz w:val="20"/>
                <w:szCs w:val="20"/>
                <w:color w:val="auto"/>
              </w:rPr>
            </w:pPr>
            <w:r>
              <w:rPr>
                <w:rFonts w:ascii="Arial" w:cs="Arial" w:eastAsia="Arial" w:hAnsi="Arial"/>
                <w:sz w:val="18"/>
                <w:szCs w:val="18"/>
                <w:color w:val="auto"/>
              </w:rPr>
              <w:t>Zhong Wei Energy Service Co., Ltd</w:t>
            </w:r>
          </w:p>
        </w:tc>
        <w:tc>
          <w:tcPr>
            <w:tcW w:w="4160" w:type="dxa"/>
            <w:vAlign w:val="bottom"/>
            <w:gridSpan w:val="3"/>
          </w:tcPr>
          <w:p>
            <w:pPr>
              <w:ind w:left="200"/>
              <w:spacing w:after="0"/>
              <w:rPr>
                <w:sz w:val="20"/>
                <w:szCs w:val="20"/>
                <w:color w:val="auto"/>
              </w:rPr>
            </w:pPr>
            <w:r>
              <w:rPr>
                <w:rFonts w:ascii="Arial" w:cs="Arial" w:eastAsia="Arial" w:hAnsi="Arial"/>
                <w:sz w:val="18"/>
                <w:szCs w:val="18"/>
                <w:color w:val="auto"/>
              </w:rPr>
              <w:t>Weatherford Holdings U.K. Ltd.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8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Unconsolidated JV</w:t>
            </w: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Zibo Hongyang Weatherford Oilfield Equipment</w:t>
            </w:r>
          </w:p>
        </w:tc>
        <w:tc>
          <w:tcPr>
            <w:tcW w:w="416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Weatherford Asia Pacific Pte Ltd</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 Ltd.</w:t>
            </w:r>
          </w:p>
        </w:tc>
        <w:tc>
          <w:tcPr>
            <w:tcW w:w="2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18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10080"/>
        <w:spacing w:after="0"/>
        <w:rPr>
          <w:sz w:val="20"/>
          <w:szCs w:val="20"/>
          <w:color w:val="auto"/>
        </w:rPr>
      </w:pPr>
      <w:r>
        <w:rPr>
          <w:rFonts w:ascii="Arial" w:cs="Arial" w:eastAsia="Arial" w:hAnsi="Arial"/>
          <w:sz w:val="17"/>
          <w:szCs w:val="17"/>
          <w:b w:val="1"/>
          <w:bCs w:val="1"/>
          <w:u w:val="single" w:color="auto"/>
          <w:color w:val="auto"/>
        </w:rPr>
        <w:t>SCHEDULE 8.11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EXISTING RESTRICTIVE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Bank</w:t>
            </w:r>
          </w:p>
        </w:tc>
        <w:tc>
          <w:tcPr>
            <w:tcW w:w="2740" w:type="dxa"/>
            <w:vAlign w:val="bottom"/>
          </w:tcPr>
          <w:p>
            <w:pPr>
              <w:ind w:left="1080"/>
              <w:spacing w:after="0"/>
              <w:rPr>
                <w:sz w:val="20"/>
                <w:szCs w:val="20"/>
                <w:color w:val="auto"/>
              </w:rPr>
            </w:pPr>
            <w:r>
              <w:rPr>
                <w:rFonts w:ascii="Arial" w:cs="Arial" w:eastAsia="Arial" w:hAnsi="Arial"/>
                <w:sz w:val="14"/>
                <w:szCs w:val="14"/>
                <w:b w:val="1"/>
                <w:bCs w:val="1"/>
                <w:color w:val="auto"/>
              </w:rPr>
              <w:t>Borrower</w:t>
            </w:r>
          </w:p>
        </w:tc>
        <w:tc>
          <w:tcPr>
            <w:tcW w:w="280" w:type="dxa"/>
            <w:vAlign w:val="bottom"/>
          </w:tcPr>
          <w:p>
            <w:pPr>
              <w:spacing w:after="0"/>
              <w:rPr>
                <w:sz w:val="14"/>
                <w:szCs w:val="14"/>
                <w:color w:val="auto"/>
              </w:rPr>
            </w:pPr>
          </w:p>
        </w:tc>
        <w:tc>
          <w:tcPr>
            <w:tcW w:w="2000" w:type="dxa"/>
            <w:vAlign w:val="bottom"/>
            <w:gridSpan w:val="2"/>
          </w:tcPr>
          <w:p>
            <w:pPr>
              <w:ind w:left="520"/>
              <w:spacing w:after="0"/>
              <w:rPr>
                <w:sz w:val="20"/>
                <w:szCs w:val="20"/>
                <w:color w:val="auto"/>
              </w:rPr>
            </w:pPr>
            <w:r>
              <w:rPr>
                <w:rFonts w:ascii="Arial" w:cs="Arial" w:eastAsia="Arial" w:hAnsi="Arial"/>
                <w:sz w:val="14"/>
                <w:szCs w:val="14"/>
                <w:b w:val="1"/>
                <w:bCs w:val="1"/>
                <w:color w:val="auto"/>
              </w:rPr>
              <w:t>Guarantor</w:t>
            </w:r>
          </w:p>
        </w:tc>
        <w:tc>
          <w:tcPr>
            <w:tcW w:w="3640" w:type="dxa"/>
            <w:vAlign w:val="bottom"/>
          </w:tcPr>
          <w:p>
            <w:pPr>
              <w:ind w:left="860"/>
              <w:spacing w:after="0"/>
              <w:rPr>
                <w:sz w:val="20"/>
                <w:szCs w:val="20"/>
                <w:color w:val="auto"/>
              </w:rPr>
            </w:pPr>
            <w:r>
              <w:rPr>
                <w:rFonts w:ascii="Arial" w:cs="Arial" w:eastAsia="Arial" w:hAnsi="Arial"/>
                <w:sz w:val="14"/>
                <w:szCs w:val="14"/>
                <w:b w:val="1"/>
                <w:bCs w:val="1"/>
                <w:color w:val="auto"/>
              </w:rPr>
              <w:t>Restrictive Provision Summary</w:t>
            </w:r>
          </w:p>
        </w:tc>
      </w:tr>
      <w:tr>
        <w:trPr>
          <w:trHeight w:val="195"/>
        </w:trPr>
        <w:tc>
          <w:tcPr>
            <w:tcW w:w="24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Deutsche Bank AG</w:t>
            </w:r>
          </w:p>
        </w:tc>
        <w:tc>
          <w:tcPr>
            <w:tcW w:w="300" w:type="dxa"/>
            <w:vAlign w:val="bottom"/>
            <w:tcBorders>
              <w:top w:val="single" w:sz="8" w:color="CCEEFF"/>
            </w:tcBorders>
            <w:shd w:val="clear" w:color="auto" w:fill="CCEEFF"/>
          </w:tcPr>
          <w:p>
            <w:pPr>
              <w:spacing w:after="0"/>
              <w:rPr>
                <w:sz w:val="16"/>
                <w:szCs w:val="16"/>
                <w:color w:val="auto"/>
              </w:rPr>
            </w:pPr>
          </w:p>
        </w:tc>
        <w:tc>
          <w:tcPr>
            <w:tcW w:w="27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Weatherford Oil Tool Middle East</w:t>
            </w:r>
          </w:p>
        </w:tc>
        <w:tc>
          <w:tcPr>
            <w:tcW w:w="28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WIL-Ireland</w:t>
            </w:r>
          </w:p>
        </w:tc>
        <w:tc>
          <w:tcPr>
            <w:tcW w:w="300" w:type="dxa"/>
            <w:vAlign w:val="bottom"/>
            <w:tcBorders>
              <w:top w:val="single" w:sz="8" w:color="CCEEFF"/>
            </w:tcBorders>
            <w:shd w:val="clear" w:color="auto" w:fill="CCEEFF"/>
          </w:tcPr>
          <w:p>
            <w:pPr>
              <w:spacing w:after="0"/>
              <w:rPr>
                <w:sz w:val="16"/>
                <w:szCs w:val="16"/>
                <w:color w:val="auto"/>
              </w:rPr>
            </w:pPr>
          </w:p>
        </w:tc>
        <w:tc>
          <w:tcPr>
            <w:tcW w:w="36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Borrower (and not Guarantor) will ensure facility</w:t>
            </w:r>
          </w:p>
        </w:tc>
      </w:tr>
      <w:tr>
        <w:trPr>
          <w:trHeight w:val="216"/>
        </w:trPr>
        <w:tc>
          <w:tcPr>
            <w:tcW w:w="2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Ltd.</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4"/>
              </w:rPr>
              <w:t>is pari passu with other unsecured facilities; and</w:t>
            </w:r>
          </w:p>
        </w:tc>
      </w:tr>
      <w:tr>
        <w:trPr>
          <w:trHeight w:val="216"/>
        </w:trPr>
        <w:tc>
          <w:tcPr>
            <w:tcW w:w="2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6"/>
              </w:rPr>
              <w:t>will not secure loans or encumber assets; to be</w:t>
            </w:r>
          </w:p>
        </w:tc>
      </w:tr>
      <w:tr>
        <w:trPr>
          <w:trHeight w:val="230"/>
        </w:trPr>
        <w:tc>
          <w:tcPr>
            <w:tcW w:w="2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waived for the Transactions</w:t>
            </w:r>
          </w:p>
        </w:tc>
      </w:tr>
      <w:tr>
        <w:trPr>
          <w:trHeight w:val="418"/>
        </w:trPr>
        <w:tc>
          <w:tcPr>
            <w:tcW w:w="2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7"/>
              </w:rPr>
              <w:t>Revolving Credit Facility, dated March 3, 2010,</w:t>
            </w:r>
          </w:p>
        </w:tc>
      </w:tr>
      <w:tr>
        <w:trPr>
          <w:trHeight w:val="216"/>
        </w:trPr>
        <w:tc>
          <w:tcPr>
            <w:tcW w:w="2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5"/>
              </w:rPr>
              <w:t>between Deutsche Bank AG Abu Dhabi Branch</w:t>
            </w:r>
          </w:p>
        </w:tc>
      </w:tr>
      <w:tr>
        <w:trPr>
          <w:trHeight w:val="230"/>
        </w:trPr>
        <w:tc>
          <w:tcPr>
            <w:tcW w:w="2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and Weatherford Oil Tool Middle East Ltd.</w:t>
            </w:r>
          </w:p>
        </w:tc>
      </w:tr>
      <w:tr>
        <w:trPr>
          <w:trHeight w:val="202"/>
        </w:trPr>
        <w:tc>
          <w:tcPr>
            <w:tcW w:w="2760" w:type="dxa"/>
            <w:vAlign w:val="bottom"/>
            <w:gridSpan w:val="2"/>
          </w:tcPr>
          <w:p>
            <w:pPr>
              <w:spacing w:after="0" w:line="201" w:lineRule="exact"/>
              <w:rPr>
                <w:sz w:val="20"/>
                <w:szCs w:val="20"/>
                <w:color w:val="auto"/>
              </w:rPr>
            </w:pPr>
            <w:r>
              <w:rPr>
                <w:rFonts w:ascii="Arial" w:cs="Arial" w:eastAsia="Arial" w:hAnsi="Arial"/>
                <w:sz w:val="18"/>
                <w:szCs w:val="18"/>
                <w:color w:val="auto"/>
              </w:rPr>
              <w:t>Deutsche Bank AG</w:t>
            </w:r>
          </w:p>
        </w:tc>
        <w:tc>
          <w:tcPr>
            <w:tcW w:w="2740" w:type="dxa"/>
            <w:vAlign w:val="bottom"/>
          </w:tcPr>
          <w:p>
            <w:pPr>
              <w:spacing w:after="0" w:line="201" w:lineRule="exact"/>
              <w:rPr>
                <w:sz w:val="20"/>
                <w:szCs w:val="20"/>
                <w:color w:val="auto"/>
              </w:rPr>
            </w:pPr>
            <w:r>
              <w:rPr>
                <w:rFonts w:ascii="Arial" w:cs="Arial" w:eastAsia="Arial" w:hAnsi="Arial"/>
                <w:sz w:val="18"/>
                <w:szCs w:val="18"/>
                <w:color w:val="auto"/>
                <w:w w:val="99"/>
              </w:rPr>
              <w:t>Weatherford Oil Tool GmbH (Non-</w:t>
            </w:r>
          </w:p>
        </w:tc>
        <w:tc>
          <w:tcPr>
            <w:tcW w:w="228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WIL-Ireland</w:t>
            </w:r>
          </w:p>
        </w:tc>
        <w:tc>
          <w:tcPr>
            <w:tcW w:w="3640" w:type="dxa"/>
            <w:vAlign w:val="bottom"/>
          </w:tcPr>
          <w:p>
            <w:pPr>
              <w:spacing w:after="0" w:line="201" w:lineRule="exact"/>
              <w:rPr>
                <w:sz w:val="20"/>
                <w:szCs w:val="20"/>
                <w:color w:val="auto"/>
              </w:rPr>
            </w:pPr>
            <w:r>
              <w:rPr>
                <w:rFonts w:ascii="Arial" w:cs="Arial" w:eastAsia="Arial" w:hAnsi="Arial"/>
                <w:sz w:val="18"/>
                <w:szCs w:val="18"/>
                <w:color w:val="auto"/>
                <w:w w:val="96"/>
              </w:rPr>
              <w:t>No pledges by Borrower (and not Guarantor) of</w:t>
            </w:r>
          </w:p>
        </w:tc>
      </w:tr>
      <w:tr>
        <w:trPr>
          <w:trHeight w:val="216"/>
        </w:trPr>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Obligor)</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3"/>
              </w:rPr>
              <w:t>collateral for “similar credit facilities” unless bank</w:t>
            </w:r>
          </w:p>
        </w:tc>
      </w:tr>
      <w:tr>
        <w:trPr>
          <w:trHeight w:val="230"/>
        </w:trPr>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is pari passu</w:t>
            </w:r>
          </w:p>
        </w:tc>
      </w:tr>
      <w:tr>
        <w:trPr>
          <w:trHeight w:val="418"/>
        </w:trPr>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Credit Facility Agreement dated December 5,</w:t>
            </w:r>
          </w:p>
        </w:tc>
      </w:tr>
      <w:tr>
        <w:trPr>
          <w:trHeight w:val="216"/>
        </w:trPr>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4"/>
              </w:rPr>
              <w:t>2011, between Weatherford Oil Tool GmbH and</w:t>
            </w:r>
          </w:p>
        </w:tc>
      </w:tr>
      <w:tr>
        <w:trPr>
          <w:trHeight w:val="230"/>
        </w:trPr>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Deutsche Bank AG</w:t>
            </w:r>
          </w:p>
        </w:tc>
      </w:tr>
      <w:tr>
        <w:trPr>
          <w:trHeight w:val="230"/>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AG</w:t>
            </w: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9"/>
              </w:rPr>
              <w:t>Weatherford Asia Pacific PTE Ltd.</w:t>
            </w:r>
          </w:p>
        </w:tc>
        <w:tc>
          <w:tcPr>
            <w:tcW w:w="22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WIL-Ireland</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 encumbrances on Borrower (and not</w:t>
            </w:r>
          </w:p>
        </w:tc>
      </w:tr>
      <w:tr>
        <w:trPr>
          <w:trHeight w:val="177"/>
        </w:trPr>
        <w:tc>
          <w:tcPr>
            <w:tcW w:w="2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15"/>
                <w:szCs w:val="15"/>
                <w:color w:val="auto"/>
              </w:rPr>
            </w:pPr>
          </w:p>
        </w:tc>
      </w:tr>
    </w:tbl>
    <w:p>
      <w:pPr>
        <w:sectPr>
          <w:pgSz w:w="11900" w:h="16900" w:orient="portrait"/>
          <w:cols w:equalWidth="0" w:num="1">
            <w:col w:w="11460"/>
          </w:cols>
          <w:pgMar w:left="240" w:top="104" w:right="199" w:bottom="0" w:gutter="0" w:footer="0" w:header="0"/>
        </w:sectPr>
      </w:pPr>
    </w:p>
    <w:bookmarkStart w:id="206" w:name="page207"/>
    <w:bookmarkEnd w:id="2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00" w:type="dxa"/>
            <w:vAlign w:val="bottom"/>
            <w:shd w:val="clear" w:color="auto" w:fill="CCEEFF"/>
          </w:tcPr>
          <w:p>
            <w:pPr>
              <w:spacing w:after="0"/>
              <w:rPr>
                <w:sz w:val="21"/>
                <w:szCs w:val="21"/>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(Non-Obligor)</w:t>
            </w:r>
          </w:p>
        </w:tc>
        <w:tc>
          <w:tcPr>
            <w:tcW w:w="1620" w:type="dxa"/>
            <w:vAlign w:val="bottom"/>
            <w:shd w:val="clear" w:color="auto" w:fill="CCEEFF"/>
          </w:tcPr>
          <w:p>
            <w:pPr>
              <w:spacing w:after="0"/>
              <w:rPr>
                <w:sz w:val="21"/>
                <w:szCs w:val="21"/>
                <w:color w:val="auto"/>
              </w:rPr>
            </w:pPr>
          </w:p>
        </w:tc>
        <w:tc>
          <w:tcPr>
            <w:tcW w:w="4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Guarantor) without consent</w:t>
            </w:r>
          </w:p>
        </w:tc>
        <w:tc>
          <w:tcPr>
            <w:tcW w:w="40" w:type="dxa"/>
            <w:vAlign w:val="bottom"/>
          </w:tcPr>
          <w:p>
            <w:pPr>
              <w:spacing w:after="0"/>
              <w:rPr>
                <w:sz w:val="21"/>
                <w:szCs w:val="21"/>
                <w:color w:val="auto"/>
              </w:rPr>
            </w:pPr>
          </w:p>
        </w:tc>
      </w:tr>
      <w:tr>
        <w:trPr>
          <w:trHeight w:val="383"/>
        </w:trPr>
        <w:tc>
          <w:tcPr>
            <w:tcW w:w="260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41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6"/>
              </w:rPr>
              <w:t>Facility Letter Agreement dated March 2, 2010,</w:t>
            </w:r>
          </w:p>
        </w:tc>
        <w:tc>
          <w:tcPr>
            <w:tcW w:w="40" w:type="dxa"/>
            <w:vAlign w:val="bottom"/>
          </w:tcPr>
          <w:p>
            <w:pPr>
              <w:spacing w:after="0"/>
              <w:rPr>
                <w:sz w:val="24"/>
                <w:szCs w:val="24"/>
                <w:color w:val="auto"/>
              </w:rPr>
            </w:pPr>
          </w:p>
        </w:tc>
      </w:tr>
      <w:tr>
        <w:trPr>
          <w:trHeight w:val="216"/>
        </w:trPr>
        <w:tc>
          <w:tcPr>
            <w:tcW w:w="26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1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5"/>
              </w:rPr>
              <w:t>between Weatherford Asia Pacific PTE Ltd. and</w:t>
            </w:r>
          </w:p>
        </w:tc>
        <w:tc>
          <w:tcPr>
            <w:tcW w:w="40" w:type="dxa"/>
            <w:vAlign w:val="bottom"/>
          </w:tcPr>
          <w:p>
            <w:pPr>
              <w:spacing w:after="0"/>
              <w:rPr>
                <w:sz w:val="18"/>
                <w:szCs w:val="18"/>
                <w:color w:val="auto"/>
              </w:rPr>
            </w:pPr>
          </w:p>
        </w:tc>
      </w:tr>
      <w:tr>
        <w:trPr>
          <w:trHeight w:val="230"/>
        </w:trPr>
        <w:tc>
          <w:tcPr>
            <w:tcW w:w="260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4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Deutsche Bank AG</w:t>
            </w:r>
          </w:p>
        </w:tc>
        <w:tc>
          <w:tcPr>
            <w:tcW w:w="40" w:type="dxa"/>
            <w:vAlign w:val="bottom"/>
          </w:tcPr>
          <w:p>
            <w:pPr>
              <w:spacing w:after="0"/>
              <w:rPr>
                <w:sz w:val="20"/>
                <w:szCs w:val="20"/>
                <w:color w:val="auto"/>
              </w:rPr>
            </w:pP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w w:val="97"/>
              </w:rPr>
              <w:t>Deutsche Bank (China) Co., Ltd.,</w:t>
            </w:r>
          </w:p>
        </w:tc>
        <w:tc>
          <w:tcPr>
            <w:tcW w:w="3020" w:type="dxa"/>
            <w:vAlign w:val="bottom"/>
          </w:tcPr>
          <w:p>
            <w:pPr>
              <w:ind w:left="160"/>
              <w:spacing w:after="0" w:line="201" w:lineRule="exact"/>
              <w:rPr>
                <w:sz w:val="20"/>
                <w:szCs w:val="20"/>
                <w:color w:val="auto"/>
              </w:rPr>
            </w:pPr>
            <w:r>
              <w:rPr>
                <w:rFonts w:ascii="Arial" w:cs="Arial" w:eastAsia="Arial" w:hAnsi="Arial"/>
                <w:sz w:val="18"/>
                <w:szCs w:val="18"/>
                <w:color w:val="auto"/>
                <w:w w:val="94"/>
              </w:rPr>
              <w:t>Weatherford (China) Energy Services</w:t>
            </w:r>
          </w:p>
        </w:tc>
        <w:tc>
          <w:tcPr>
            <w:tcW w:w="1620" w:type="dxa"/>
            <w:vAlign w:val="bottom"/>
          </w:tcPr>
          <w:p>
            <w:pPr>
              <w:ind w:left="160"/>
              <w:spacing w:after="0" w:line="201" w:lineRule="exact"/>
              <w:rPr>
                <w:sz w:val="20"/>
                <w:szCs w:val="20"/>
                <w:color w:val="auto"/>
              </w:rPr>
            </w:pPr>
            <w:r>
              <w:rPr>
                <w:rFonts w:ascii="Arial" w:cs="Arial" w:eastAsia="Arial" w:hAnsi="Arial"/>
                <w:sz w:val="18"/>
                <w:szCs w:val="18"/>
                <w:color w:val="auto"/>
              </w:rPr>
              <w:t>WIL-Ireland</w:t>
            </w:r>
          </w:p>
        </w:tc>
        <w:tc>
          <w:tcPr>
            <w:tcW w:w="4180" w:type="dxa"/>
            <w:vAlign w:val="bottom"/>
          </w:tcPr>
          <w:p>
            <w:pPr>
              <w:ind w:left="540"/>
              <w:spacing w:after="0" w:line="201" w:lineRule="exact"/>
              <w:rPr>
                <w:sz w:val="20"/>
                <w:szCs w:val="20"/>
                <w:color w:val="auto"/>
              </w:rPr>
            </w:pPr>
            <w:r>
              <w:rPr>
                <w:rFonts w:ascii="Arial" w:cs="Arial" w:eastAsia="Arial" w:hAnsi="Arial"/>
                <w:sz w:val="18"/>
                <w:szCs w:val="18"/>
                <w:color w:val="auto"/>
              </w:rPr>
              <w:t>No encumbrances on Borrower (and not</w:t>
            </w:r>
          </w:p>
        </w:tc>
        <w:tc>
          <w:tcPr>
            <w:tcW w:w="40" w:type="dxa"/>
            <w:vAlign w:val="bottom"/>
          </w:tcPr>
          <w:p>
            <w:pPr>
              <w:spacing w:after="0"/>
              <w:rPr>
                <w:sz w:val="17"/>
                <w:szCs w:val="17"/>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Tianjin Branch</w:t>
            </w:r>
          </w:p>
        </w:tc>
        <w:tc>
          <w:tcPr>
            <w:tcW w:w="3020" w:type="dxa"/>
            <w:vAlign w:val="bottom"/>
          </w:tcPr>
          <w:p>
            <w:pPr>
              <w:ind w:left="160"/>
              <w:spacing w:after="0"/>
              <w:rPr>
                <w:sz w:val="20"/>
                <w:szCs w:val="20"/>
                <w:color w:val="auto"/>
              </w:rPr>
            </w:pPr>
            <w:r>
              <w:rPr>
                <w:rFonts w:ascii="Arial" w:cs="Arial" w:eastAsia="Arial" w:hAnsi="Arial"/>
                <w:sz w:val="18"/>
                <w:szCs w:val="18"/>
                <w:color w:val="auto"/>
              </w:rPr>
              <w:t>Co., Ltd.(Non-Obligor)</w:t>
            </w:r>
          </w:p>
        </w:tc>
        <w:tc>
          <w:tcPr>
            <w:tcW w:w="1620" w:type="dxa"/>
            <w:vAlign w:val="bottom"/>
          </w:tcPr>
          <w:p>
            <w:pPr>
              <w:spacing w:after="0"/>
              <w:rPr>
                <w:sz w:val="20"/>
                <w:szCs w:val="20"/>
                <w:color w:val="auto"/>
              </w:rPr>
            </w:pPr>
          </w:p>
        </w:tc>
        <w:tc>
          <w:tcPr>
            <w:tcW w:w="4180" w:type="dxa"/>
            <w:vAlign w:val="bottom"/>
          </w:tcPr>
          <w:p>
            <w:pPr>
              <w:ind w:left="540"/>
              <w:spacing w:after="0"/>
              <w:rPr>
                <w:sz w:val="20"/>
                <w:szCs w:val="20"/>
                <w:color w:val="auto"/>
              </w:rPr>
            </w:pPr>
            <w:r>
              <w:rPr>
                <w:rFonts w:ascii="Arial" w:cs="Arial" w:eastAsia="Arial" w:hAnsi="Arial"/>
                <w:sz w:val="18"/>
                <w:szCs w:val="18"/>
                <w:color w:val="auto"/>
              </w:rPr>
              <w:t>Guarantor) without consent</w:t>
            </w:r>
          </w:p>
        </w:tc>
        <w:tc>
          <w:tcPr>
            <w:tcW w:w="40" w:type="dxa"/>
            <w:vAlign w:val="bottom"/>
          </w:tcPr>
          <w:p>
            <w:pPr>
              <w:spacing w:after="0"/>
              <w:rPr>
                <w:sz w:val="20"/>
                <w:szCs w:val="20"/>
                <w:color w:val="auto"/>
              </w:rPr>
            </w:pPr>
          </w:p>
        </w:tc>
      </w:tr>
      <w:tr>
        <w:trPr>
          <w:trHeight w:val="418"/>
        </w:trPr>
        <w:tc>
          <w:tcPr>
            <w:tcW w:w="26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180" w:type="dxa"/>
            <w:vAlign w:val="bottom"/>
          </w:tcPr>
          <w:p>
            <w:pPr>
              <w:ind w:left="540"/>
              <w:spacing w:after="0"/>
              <w:rPr>
                <w:sz w:val="20"/>
                <w:szCs w:val="20"/>
                <w:color w:val="auto"/>
              </w:rPr>
            </w:pPr>
            <w:r>
              <w:rPr>
                <w:rFonts w:ascii="Arial" w:cs="Arial" w:eastAsia="Arial" w:hAnsi="Arial"/>
                <w:sz w:val="18"/>
                <w:szCs w:val="18"/>
                <w:color w:val="auto"/>
              </w:rPr>
              <w:t>Facility Letter Agreement dated December 7,</w:t>
            </w:r>
          </w:p>
        </w:tc>
        <w:tc>
          <w:tcPr>
            <w:tcW w:w="40" w:type="dxa"/>
            <w:vAlign w:val="bottom"/>
          </w:tcPr>
          <w:p>
            <w:pPr>
              <w:spacing w:after="0"/>
              <w:rPr>
                <w:sz w:val="24"/>
                <w:szCs w:val="24"/>
                <w:color w:val="auto"/>
              </w:rPr>
            </w:pPr>
          </w:p>
        </w:tc>
      </w:tr>
      <w:tr>
        <w:trPr>
          <w:trHeight w:val="216"/>
        </w:trPr>
        <w:tc>
          <w:tcPr>
            <w:tcW w:w="26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180" w:type="dxa"/>
            <w:vAlign w:val="bottom"/>
          </w:tcPr>
          <w:p>
            <w:pPr>
              <w:ind w:left="540"/>
              <w:spacing w:after="0"/>
              <w:rPr>
                <w:sz w:val="20"/>
                <w:szCs w:val="20"/>
                <w:color w:val="auto"/>
              </w:rPr>
            </w:pPr>
            <w:r>
              <w:rPr>
                <w:rFonts w:ascii="Arial" w:cs="Arial" w:eastAsia="Arial" w:hAnsi="Arial"/>
                <w:sz w:val="18"/>
                <w:szCs w:val="18"/>
                <w:color w:val="auto"/>
              </w:rPr>
              <w:t>2015, between Weatherford (China) Energy</w:t>
            </w:r>
          </w:p>
        </w:tc>
        <w:tc>
          <w:tcPr>
            <w:tcW w:w="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180" w:type="dxa"/>
            <w:vAlign w:val="bottom"/>
          </w:tcPr>
          <w:p>
            <w:pPr>
              <w:ind w:left="540"/>
              <w:spacing w:after="0"/>
              <w:rPr>
                <w:sz w:val="20"/>
                <w:szCs w:val="20"/>
                <w:color w:val="auto"/>
              </w:rPr>
            </w:pPr>
            <w:r>
              <w:rPr>
                <w:rFonts w:ascii="Arial" w:cs="Arial" w:eastAsia="Arial" w:hAnsi="Arial"/>
                <w:sz w:val="18"/>
                <w:szCs w:val="18"/>
                <w:color w:val="auto"/>
                <w:w w:val="98"/>
              </w:rPr>
              <w:t>Services Co., Ltd. and Deutsche Bank (China)</w:t>
            </w:r>
          </w:p>
        </w:tc>
        <w:tc>
          <w:tcPr>
            <w:tcW w:w="4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180" w:type="dxa"/>
            <w:vAlign w:val="bottom"/>
          </w:tcPr>
          <w:p>
            <w:pPr>
              <w:ind w:left="540"/>
              <w:spacing w:after="0"/>
              <w:rPr>
                <w:sz w:val="20"/>
                <w:szCs w:val="20"/>
                <w:color w:val="auto"/>
              </w:rPr>
            </w:pPr>
            <w:r>
              <w:rPr>
                <w:rFonts w:ascii="Arial" w:cs="Arial" w:eastAsia="Arial" w:hAnsi="Arial"/>
                <w:sz w:val="18"/>
                <w:szCs w:val="18"/>
                <w:color w:val="auto"/>
              </w:rPr>
              <w:t>Co., Ltd., Tianjin Branch</w:t>
            </w:r>
          </w:p>
        </w:tc>
        <w:tc>
          <w:tcPr>
            <w:tcW w:w="40" w:type="dxa"/>
            <w:vAlign w:val="bottom"/>
          </w:tcPr>
          <w:p>
            <w:pPr>
              <w:spacing w:after="0"/>
              <w:rPr>
                <w:sz w:val="20"/>
                <w:szCs w:val="20"/>
                <w:color w:val="auto"/>
              </w:rPr>
            </w:pP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Standard Chartered Bank Dubai</w:t>
            </w:r>
          </w:p>
        </w:tc>
        <w:tc>
          <w:tcPr>
            <w:tcW w:w="3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Weatherford Oil Tool Middle East</w:t>
            </w:r>
          </w:p>
        </w:tc>
        <w:tc>
          <w:tcPr>
            <w:tcW w:w="16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WIL-Ireland</w:t>
            </w:r>
          </w:p>
        </w:tc>
        <w:tc>
          <w:tcPr>
            <w:tcW w:w="418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4"/>
              </w:rPr>
              <w:t>Borrower (and not Guarantor) will not encumber</w:t>
            </w:r>
          </w:p>
        </w:tc>
        <w:tc>
          <w:tcPr>
            <w:tcW w:w="40" w:type="dxa"/>
            <w:vAlign w:val="bottom"/>
          </w:tcPr>
          <w:p>
            <w:pPr>
              <w:spacing w:after="0"/>
              <w:rPr>
                <w:sz w:val="17"/>
                <w:szCs w:val="17"/>
                <w:color w:val="auto"/>
              </w:rPr>
            </w:pPr>
          </w:p>
        </w:tc>
      </w:tr>
      <w:tr>
        <w:trPr>
          <w:trHeight w:val="216"/>
        </w:trPr>
        <w:tc>
          <w:tcPr>
            <w:tcW w:w="2600" w:type="dxa"/>
            <w:vAlign w:val="bottom"/>
            <w:shd w:val="clear" w:color="auto" w:fill="CCEEFF"/>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Ltd.</w:t>
            </w:r>
          </w:p>
        </w:tc>
        <w:tc>
          <w:tcPr>
            <w:tcW w:w="1620" w:type="dxa"/>
            <w:vAlign w:val="bottom"/>
            <w:shd w:val="clear" w:color="auto" w:fill="CCEEFF"/>
          </w:tcPr>
          <w:p>
            <w:pPr>
              <w:spacing w:after="0"/>
              <w:rPr>
                <w:sz w:val="18"/>
                <w:szCs w:val="18"/>
                <w:color w:val="auto"/>
              </w:rPr>
            </w:pPr>
          </w:p>
        </w:tc>
        <w:tc>
          <w:tcPr>
            <w:tcW w:w="4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assets without consent; to be waived for the</w:t>
            </w:r>
          </w:p>
        </w:tc>
        <w:tc>
          <w:tcPr>
            <w:tcW w:w="40" w:type="dxa"/>
            <w:vAlign w:val="bottom"/>
          </w:tcPr>
          <w:p>
            <w:pPr>
              <w:spacing w:after="0"/>
              <w:rPr>
                <w:sz w:val="18"/>
                <w:szCs w:val="18"/>
                <w:color w:val="auto"/>
              </w:rPr>
            </w:pPr>
          </w:p>
        </w:tc>
      </w:tr>
      <w:tr>
        <w:trPr>
          <w:trHeight w:val="230"/>
        </w:trPr>
        <w:tc>
          <w:tcPr>
            <w:tcW w:w="260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4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Transactions</w:t>
            </w:r>
          </w:p>
        </w:tc>
        <w:tc>
          <w:tcPr>
            <w:tcW w:w="40" w:type="dxa"/>
            <w:vAlign w:val="bottom"/>
          </w:tcPr>
          <w:p>
            <w:pPr>
              <w:spacing w:after="0"/>
              <w:rPr>
                <w:sz w:val="20"/>
                <w:szCs w:val="20"/>
                <w:color w:val="auto"/>
              </w:rPr>
            </w:pPr>
          </w:p>
        </w:tc>
      </w:tr>
      <w:tr>
        <w:trPr>
          <w:trHeight w:val="418"/>
        </w:trPr>
        <w:tc>
          <w:tcPr>
            <w:tcW w:w="260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41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Banking Facilities Letter, dated as of February 9,</w:t>
            </w:r>
          </w:p>
        </w:tc>
        <w:tc>
          <w:tcPr>
            <w:tcW w:w="40" w:type="dxa"/>
            <w:vAlign w:val="bottom"/>
          </w:tcPr>
          <w:p>
            <w:pPr>
              <w:spacing w:after="0"/>
              <w:rPr>
                <w:sz w:val="24"/>
                <w:szCs w:val="24"/>
                <w:color w:val="auto"/>
              </w:rPr>
            </w:pPr>
          </w:p>
        </w:tc>
      </w:tr>
      <w:tr>
        <w:trPr>
          <w:trHeight w:val="216"/>
        </w:trPr>
        <w:tc>
          <w:tcPr>
            <w:tcW w:w="26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1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5"/>
              </w:rPr>
              <w:t>2012, between Standard Chartered Bank Dubai</w:t>
            </w:r>
          </w:p>
        </w:tc>
        <w:tc>
          <w:tcPr>
            <w:tcW w:w="40" w:type="dxa"/>
            <w:vAlign w:val="bottom"/>
          </w:tcPr>
          <w:p>
            <w:pPr>
              <w:spacing w:after="0"/>
              <w:rPr>
                <w:sz w:val="18"/>
                <w:szCs w:val="18"/>
                <w:color w:val="auto"/>
              </w:rPr>
            </w:pPr>
          </w:p>
        </w:tc>
      </w:tr>
      <w:tr>
        <w:trPr>
          <w:trHeight w:val="230"/>
        </w:trPr>
        <w:tc>
          <w:tcPr>
            <w:tcW w:w="260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4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Weatherford Oil Tool Middle East Ltd.</w:t>
            </w:r>
          </w:p>
        </w:tc>
        <w:tc>
          <w:tcPr>
            <w:tcW w:w="40" w:type="dxa"/>
            <w:vAlign w:val="bottom"/>
          </w:tcPr>
          <w:p>
            <w:pPr>
              <w:spacing w:after="0"/>
              <w:rPr>
                <w:sz w:val="20"/>
                <w:szCs w:val="20"/>
                <w:color w:val="auto"/>
              </w:rPr>
            </w:pPr>
          </w:p>
        </w:tc>
      </w:tr>
      <w:tr>
        <w:trPr>
          <w:trHeight w:val="348"/>
        </w:trPr>
        <w:tc>
          <w:tcPr>
            <w:tcW w:w="2600" w:type="dxa"/>
            <w:vAlign w:val="bottom"/>
            <w:tcBorders>
              <w:bottom w:val="single" w:sz="8" w:color="808080"/>
            </w:tcBorders>
          </w:tcPr>
          <w:p>
            <w:pPr>
              <w:spacing w:after="0"/>
              <w:rPr>
                <w:sz w:val="24"/>
                <w:szCs w:val="24"/>
                <w:color w:val="auto"/>
              </w:rPr>
            </w:pPr>
          </w:p>
        </w:tc>
        <w:tc>
          <w:tcPr>
            <w:tcW w:w="302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41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Standard Chartered Bank</w:t>
            </w:r>
          </w:p>
        </w:tc>
        <w:tc>
          <w:tcPr>
            <w:tcW w:w="3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Weatherford Asia Pacific PTE Ltd.</w:t>
            </w:r>
          </w:p>
        </w:tc>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WIL-Ireland</w:t>
            </w:r>
          </w:p>
        </w:tc>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0"/>
              </w:rPr>
              <w:t>Bank must be ranked pari passu w/ other creditors</w:t>
            </w:r>
          </w:p>
        </w:tc>
        <w:tc>
          <w:tcPr>
            <w:tcW w:w="40" w:type="dxa"/>
            <w:vAlign w:val="bottom"/>
          </w:tcPr>
          <w:p>
            <w:pPr>
              <w:spacing w:after="0"/>
              <w:rPr>
                <w:sz w:val="17"/>
                <w:szCs w:val="17"/>
                <w:color w:val="auto"/>
              </w:rPr>
            </w:pPr>
          </w:p>
        </w:tc>
      </w:tr>
      <w:tr>
        <w:trPr>
          <w:trHeight w:val="216"/>
        </w:trPr>
        <w:tc>
          <w:tcPr>
            <w:tcW w:w="2520" w:type="dxa"/>
            <w:vAlign w:val="bottom"/>
            <w:shd w:val="clear" w:color="auto" w:fill="CCEEFF"/>
          </w:tcPr>
          <w:p>
            <w:pPr>
              <w:spacing w:after="0"/>
              <w:rPr>
                <w:sz w:val="18"/>
                <w:szCs w:val="18"/>
                <w:color w:val="auto"/>
              </w:rPr>
            </w:pPr>
          </w:p>
        </w:tc>
        <w:tc>
          <w:tcPr>
            <w:tcW w:w="3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(Non-Obligor)</w:t>
            </w:r>
          </w:p>
        </w:tc>
        <w:tc>
          <w:tcPr>
            <w:tcW w:w="1680" w:type="dxa"/>
            <w:vAlign w:val="bottom"/>
            <w:shd w:val="clear" w:color="auto" w:fill="CCEEFF"/>
          </w:tcPr>
          <w:p>
            <w:pPr>
              <w:spacing w:after="0"/>
              <w:rPr>
                <w:sz w:val="18"/>
                <w:szCs w:val="18"/>
                <w:color w:val="auto"/>
              </w:rPr>
            </w:pPr>
          </w:p>
        </w:tc>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4"/>
              </w:rPr>
              <w:t>in respect of security provided by Borrower (and</w:t>
            </w:r>
          </w:p>
        </w:tc>
        <w:tc>
          <w:tcPr>
            <w:tcW w:w="4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6"/>
              </w:rPr>
              <w:t>not Guarantor). No encumbrances by Borrower</w:t>
            </w:r>
          </w:p>
        </w:tc>
        <w:tc>
          <w:tcPr>
            <w:tcW w:w="40" w:type="dxa"/>
            <w:vAlign w:val="bottom"/>
          </w:tcPr>
          <w:p>
            <w:pPr>
              <w:spacing w:after="0"/>
              <w:rPr>
                <w:sz w:val="18"/>
                <w:szCs w:val="18"/>
                <w:color w:val="auto"/>
              </w:rPr>
            </w:pPr>
          </w:p>
        </w:tc>
      </w:tr>
      <w:tr>
        <w:trPr>
          <w:trHeight w:val="230"/>
        </w:trPr>
        <w:tc>
          <w:tcPr>
            <w:tcW w:w="25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(and not Guarantor), except permitted liens</w:t>
            </w:r>
          </w:p>
        </w:tc>
        <w:tc>
          <w:tcPr>
            <w:tcW w:w="40" w:type="dxa"/>
            <w:vAlign w:val="bottom"/>
          </w:tcPr>
          <w:p>
            <w:pPr>
              <w:spacing w:after="0"/>
              <w:rPr>
                <w:sz w:val="20"/>
                <w:szCs w:val="20"/>
                <w:color w:val="auto"/>
              </w:rPr>
            </w:pPr>
          </w:p>
        </w:tc>
      </w:tr>
      <w:tr>
        <w:trPr>
          <w:trHeight w:val="418"/>
        </w:trPr>
        <w:tc>
          <w:tcPr>
            <w:tcW w:w="252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Letter Agreement dated January 27, 2012,</w:t>
            </w:r>
          </w:p>
        </w:tc>
        <w:tc>
          <w:tcPr>
            <w:tcW w:w="40" w:type="dxa"/>
            <w:vAlign w:val="bottom"/>
          </w:tcPr>
          <w:p>
            <w:pPr>
              <w:spacing w:after="0"/>
              <w:rPr>
                <w:sz w:val="24"/>
                <w:szCs w:val="24"/>
                <w:color w:val="auto"/>
              </w:rPr>
            </w:pPr>
          </w:p>
        </w:tc>
      </w:tr>
      <w:tr>
        <w:trPr>
          <w:trHeight w:val="216"/>
        </w:trPr>
        <w:tc>
          <w:tcPr>
            <w:tcW w:w="25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5"/>
              </w:rPr>
              <w:t>between Weatherford Asia Pacific PTE Ltd. and</w:t>
            </w:r>
          </w:p>
        </w:tc>
        <w:tc>
          <w:tcPr>
            <w:tcW w:w="40" w:type="dxa"/>
            <w:vAlign w:val="bottom"/>
          </w:tcPr>
          <w:p>
            <w:pPr>
              <w:spacing w:after="0"/>
              <w:rPr>
                <w:sz w:val="18"/>
                <w:szCs w:val="18"/>
                <w:color w:val="auto"/>
              </w:rPr>
            </w:pPr>
          </w:p>
        </w:tc>
      </w:tr>
      <w:tr>
        <w:trPr>
          <w:trHeight w:val="230"/>
        </w:trPr>
        <w:tc>
          <w:tcPr>
            <w:tcW w:w="25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Standard Chartered Bank</w:t>
            </w:r>
          </w:p>
        </w:tc>
        <w:tc>
          <w:tcPr>
            <w:tcW w:w="40" w:type="dxa"/>
            <w:vAlign w:val="bottom"/>
          </w:tcPr>
          <w:p>
            <w:pPr>
              <w:spacing w:after="0"/>
              <w:rPr>
                <w:sz w:val="20"/>
                <w:szCs w:val="20"/>
                <w:color w:val="auto"/>
              </w:rPr>
            </w:pPr>
          </w:p>
        </w:tc>
      </w:tr>
      <w:tr>
        <w:trPr>
          <w:trHeight w:val="202"/>
        </w:trPr>
        <w:tc>
          <w:tcPr>
            <w:tcW w:w="2520" w:type="dxa"/>
            <w:vAlign w:val="bottom"/>
          </w:tcPr>
          <w:p>
            <w:pPr>
              <w:spacing w:after="0" w:line="201" w:lineRule="exact"/>
              <w:rPr>
                <w:sz w:val="20"/>
                <w:szCs w:val="20"/>
                <w:color w:val="auto"/>
              </w:rPr>
            </w:pPr>
            <w:r>
              <w:rPr>
                <w:rFonts w:ascii="Arial" w:cs="Arial" w:eastAsia="Arial" w:hAnsi="Arial"/>
                <w:sz w:val="18"/>
                <w:szCs w:val="18"/>
                <w:color w:val="auto"/>
              </w:rPr>
              <w:t>Unicredit Tiriac Bank S.A.</w:t>
            </w:r>
          </w:p>
        </w:tc>
        <w:tc>
          <w:tcPr>
            <w:tcW w:w="3120" w:type="dxa"/>
            <w:vAlign w:val="bottom"/>
          </w:tcPr>
          <w:p>
            <w:pPr>
              <w:ind w:left="240"/>
              <w:spacing w:after="0" w:line="201" w:lineRule="exact"/>
              <w:rPr>
                <w:sz w:val="20"/>
                <w:szCs w:val="20"/>
                <w:color w:val="auto"/>
              </w:rPr>
            </w:pPr>
            <w:r>
              <w:rPr>
                <w:rFonts w:ascii="Arial" w:cs="Arial" w:eastAsia="Arial" w:hAnsi="Arial"/>
                <w:sz w:val="18"/>
                <w:szCs w:val="18"/>
                <w:color w:val="auto"/>
                <w:w w:val="95"/>
              </w:rPr>
              <w:t>SC Weatherford International Eastern</w:t>
            </w:r>
          </w:p>
        </w:tc>
        <w:tc>
          <w:tcPr>
            <w:tcW w:w="1680" w:type="dxa"/>
            <w:vAlign w:val="bottom"/>
          </w:tcPr>
          <w:p>
            <w:pPr>
              <w:ind w:left="140"/>
              <w:spacing w:after="0" w:line="201" w:lineRule="exact"/>
              <w:rPr>
                <w:sz w:val="20"/>
                <w:szCs w:val="20"/>
                <w:color w:val="auto"/>
              </w:rPr>
            </w:pPr>
            <w:r>
              <w:rPr>
                <w:rFonts w:ascii="Arial" w:cs="Arial" w:eastAsia="Arial" w:hAnsi="Arial"/>
                <w:sz w:val="18"/>
                <w:szCs w:val="18"/>
                <w:color w:val="auto"/>
              </w:rPr>
              <w:t>WIL-Bermuda</w:t>
            </w:r>
          </w:p>
        </w:tc>
        <w:tc>
          <w:tcPr>
            <w:tcW w:w="4100" w:type="dxa"/>
            <w:vAlign w:val="bottom"/>
          </w:tcPr>
          <w:p>
            <w:pPr>
              <w:ind w:left="460"/>
              <w:spacing w:after="0" w:line="201" w:lineRule="exact"/>
              <w:rPr>
                <w:sz w:val="20"/>
                <w:szCs w:val="20"/>
                <w:color w:val="auto"/>
              </w:rPr>
            </w:pPr>
            <w:r>
              <w:rPr>
                <w:rFonts w:ascii="Arial" w:cs="Arial" w:eastAsia="Arial" w:hAnsi="Arial"/>
                <w:sz w:val="18"/>
                <w:szCs w:val="18"/>
                <w:color w:val="auto"/>
                <w:w w:val="90"/>
              </w:rPr>
              <w:t>Limits on guarantees (liens) of assets by Borrower</w:t>
            </w:r>
          </w:p>
        </w:tc>
        <w:tc>
          <w:tcPr>
            <w:tcW w:w="40" w:type="dxa"/>
            <w:vAlign w:val="bottom"/>
          </w:tcPr>
          <w:p>
            <w:pPr>
              <w:spacing w:after="0"/>
              <w:rPr>
                <w:sz w:val="17"/>
                <w:szCs w:val="17"/>
                <w:color w:val="auto"/>
              </w:rPr>
            </w:pPr>
          </w:p>
        </w:tc>
      </w:tr>
      <w:tr>
        <w:trPr>
          <w:trHeight w:val="230"/>
        </w:trPr>
        <w:tc>
          <w:tcPr>
            <w:tcW w:w="2520" w:type="dxa"/>
            <w:vAlign w:val="bottom"/>
          </w:tcPr>
          <w:p>
            <w:pPr>
              <w:spacing w:after="0"/>
              <w:rPr>
                <w:sz w:val="20"/>
                <w:szCs w:val="20"/>
                <w:color w:val="auto"/>
              </w:rPr>
            </w:pPr>
          </w:p>
        </w:tc>
        <w:tc>
          <w:tcPr>
            <w:tcW w:w="3120" w:type="dxa"/>
            <w:vAlign w:val="bottom"/>
          </w:tcPr>
          <w:p>
            <w:pPr>
              <w:ind w:left="240"/>
              <w:spacing w:after="0"/>
              <w:rPr>
                <w:sz w:val="20"/>
                <w:szCs w:val="20"/>
                <w:color w:val="auto"/>
              </w:rPr>
            </w:pPr>
            <w:r>
              <w:rPr>
                <w:rFonts w:ascii="Arial" w:cs="Arial" w:eastAsia="Arial" w:hAnsi="Arial"/>
                <w:sz w:val="18"/>
                <w:szCs w:val="18"/>
                <w:color w:val="auto"/>
              </w:rPr>
              <w:t>Europe SRL (Non-Obligor)</w:t>
            </w:r>
          </w:p>
        </w:tc>
        <w:tc>
          <w:tcPr>
            <w:tcW w:w="1680" w:type="dxa"/>
            <w:vAlign w:val="bottom"/>
          </w:tcPr>
          <w:p>
            <w:pPr>
              <w:spacing w:after="0"/>
              <w:rPr>
                <w:sz w:val="20"/>
                <w:szCs w:val="20"/>
                <w:color w:val="auto"/>
              </w:rPr>
            </w:pPr>
          </w:p>
        </w:tc>
        <w:tc>
          <w:tcPr>
            <w:tcW w:w="4100" w:type="dxa"/>
            <w:vAlign w:val="bottom"/>
          </w:tcPr>
          <w:p>
            <w:pPr>
              <w:ind w:left="460"/>
              <w:spacing w:after="0"/>
              <w:rPr>
                <w:sz w:val="20"/>
                <w:szCs w:val="20"/>
                <w:color w:val="auto"/>
              </w:rPr>
            </w:pPr>
            <w:r>
              <w:rPr>
                <w:rFonts w:ascii="Arial" w:cs="Arial" w:eastAsia="Arial" w:hAnsi="Arial"/>
                <w:sz w:val="18"/>
                <w:szCs w:val="18"/>
                <w:color w:val="auto"/>
              </w:rPr>
              <w:t>(and not Guarantor).</w:t>
            </w:r>
          </w:p>
        </w:tc>
        <w:tc>
          <w:tcPr>
            <w:tcW w:w="40" w:type="dxa"/>
            <w:vAlign w:val="bottom"/>
          </w:tcPr>
          <w:p>
            <w:pPr>
              <w:spacing w:after="0"/>
              <w:rPr>
                <w:sz w:val="20"/>
                <w:szCs w:val="20"/>
                <w:color w:val="auto"/>
              </w:rPr>
            </w:pPr>
          </w:p>
        </w:tc>
      </w:tr>
      <w:tr>
        <w:trPr>
          <w:trHeight w:val="418"/>
        </w:trPr>
        <w:tc>
          <w:tcPr>
            <w:tcW w:w="25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100" w:type="dxa"/>
            <w:vAlign w:val="bottom"/>
          </w:tcPr>
          <w:p>
            <w:pPr>
              <w:ind w:left="460"/>
              <w:spacing w:after="0"/>
              <w:rPr>
                <w:sz w:val="20"/>
                <w:szCs w:val="20"/>
                <w:color w:val="auto"/>
              </w:rPr>
            </w:pPr>
            <w:r>
              <w:rPr>
                <w:rFonts w:ascii="Arial" w:cs="Arial" w:eastAsia="Arial" w:hAnsi="Arial"/>
                <w:sz w:val="18"/>
                <w:szCs w:val="18"/>
                <w:color w:val="auto"/>
              </w:rPr>
              <w:t>Letter Agreement dated November 17, 2011,</w:t>
            </w:r>
          </w:p>
        </w:tc>
        <w:tc>
          <w:tcPr>
            <w:tcW w:w="40" w:type="dxa"/>
            <w:vAlign w:val="bottom"/>
          </w:tcPr>
          <w:p>
            <w:pPr>
              <w:spacing w:after="0"/>
              <w:rPr>
                <w:sz w:val="24"/>
                <w:szCs w:val="24"/>
                <w:color w:val="auto"/>
              </w:rPr>
            </w:pPr>
          </w:p>
        </w:tc>
      </w:tr>
      <w:tr>
        <w:trPr>
          <w:trHeight w:val="216"/>
        </w:trPr>
        <w:tc>
          <w:tcPr>
            <w:tcW w:w="2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100" w:type="dxa"/>
            <w:vAlign w:val="bottom"/>
          </w:tcPr>
          <w:p>
            <w:pPr>
              <w:ind w:left="460"/>
              <w:spacing w:after="0"/>
              <w:rPr>
                <w:sz w:val="20"/>
                <w:szCs w:val="20"/>
                <w:color w:val="auto"/>
              </w:rPr>
            </w:pPr>
            <w:r>
              <w:rPr>
                <w:rFonts w:ascii="Arial" w:cs="Arial" w:eastAsia="Arial" w:hAnsi="Arial"/>
                <w:sz w:val="18"/>
                <w:szCs w:val="18"/>
                <w:color w:val="auto"/>
                <w:w w:val="96"/>
              </w:rPr>
              <w:t>between SC Weatherford International Eastern</w:t>
            </w:r>
          </w:p>
        </w:tc>
        <w:tc>
          <w:tcPr>
            <w:tcW w:w="4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100" w:type="dxa"/>
            <w:vAlign w:val="bottom"/>
          </w:tcPr>
          <w:p>
            <w:pPr>
              <w:ind w:left="460"/>
              <w:spacing w:after="0"/>
              <w:rPr>
                <w:sz w:val="20"/>
                <w:szCs w:val="20"/>
                <w:color w:val="auto"/>
              </w:rPr>
            </w:pPr>
            <w:r>
              <w:rPr>
                <w:rFonts w:ascii="Arial" w:cs="Arial" w:eastAsia="Arial" w:hAnsi="Arial"/>
                <w:sz w:val="18"/>
                <w:szCs w:val="18"/>
                <w:color w:val="auto"/>
              </w:rPr>
              <w:t>Europe SRL and Unicredit Tiriac Bank S.A.</w:t>
            </w:r>
          </w:p>
        </w:tc>
        <w:tc>
          <w:tcPr>
            <w:tcW w:w="40" w:type="dxa"/>
            <w:vAlign w:val="bottom"/>
          </w:tcPr>
          <w:p>
            <w:pPr>
              <w:spacing w:after="0"/>
              <w:rPr>
                <w:sz w:val="20"/>
                <w:szCs w:val="20"/>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Deutsche Bank Trust Company</w:t>
            </w:r>
          </w:p>
        </w:tc>
        <w:tc>
          <w:tcPr>
            <w:tcW w:w="31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WIL-Bermuda</w:t>
            </w:r>
          </w:p>
        </w:tc>
        <w:tc>
          <w:tcPr>
            <w:tcW w:w="16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WIL-Delaware</w:t>
            </w:r>
          </w:p>
        </w:tc>
        <w:tc>
          <w:tcPr>
            <w:tcW w:w="410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w w:val="96"/>
              </w:rPr>
              <w:t>Indenture, dated October 1, 2003, among WIL-</w:t>
            </w:r>
          </w:p>
        </w:tc>
        <w:tc>
          <w:tcPr>
            <w:tcW w:w="40" w:type="dxa"/>
            <w:vAlign w:val="bottom"/>
          </w:tcPr>
          <w:p>
            <w:pPr>
              <w:spacing w:after="0"/>
              <w:rPr>
                <w:sz w:val="17"/>
                <w:szCs w:val="17"/>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3120" w:type="dxa"/>
            <w:vAlign w:val="bottom"/>
            <w:shd w:val="clear" w:color="auto" w:fill="CCEEFF"/>
          </w:tcPr>
          <w:p>
            <w:pPr>
              <w:spacing w:after="0"/>
              <w:rPr>
                <w:sz w:val="18"/>
                <w:szCs w:val="18"/>
                <w:color w:val="auto"/>
              </w:rPr>
            </w:pPr>
          </w:p>
        </w:tc>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WIL-Ireland</w:t>
            </w:r>
          </w:p>
        </w:tc>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Bermuda, WIL-Delaware, WIL-Ireland and</w:t>
            </w:r>
          </w:p>
        </w:tc>
        <w:tc>
          <w:tcPr>
            <w:tcW w:w="4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Deutsche Bank Trust Company Americas, as</w:t>
            </w:r>
          </w:p>
        </w:tc>
        <w:tc>
          <w:tcPr>
            <w:tcW w:w="40" w:type="dxa"/>
            <w:vAlign w:val="bottom"/>
          </w:tcPr>
          <w:p>
            <w:pPr>
              <w:spacing w:after="0"/>
              <w:rPr>
                <w:sz w:val="18"/>
                <w:szCs w:val="18"/>
                <w:color w:val="auto"/>
              </w:rPr>
            </w:pPr>
          </w:p>
        </w:tc>
      </w:tr>
      <w:tr>
        <w:trPr>
          <w:trHeight w:val="230"/>
        </w:trPr>
        <w:tc>
          <w:tcPr>
            <w:tcW w:w="25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supplemented</w:t>
            </w:r>
          </w:p>
        </w:tc>
        <w:tc>
          <w:tcPr>
            <w:tcW w:w="40" w:type="dxa"/>
            <w:vAlign w:val="bottom"/>
          </w:tcPr>
          <w:p>
            <w:pPr>
              <w:spacing w:after="0"/>
              <w:rPr>
                <w:sz w:val="20"/>
                <w:szCs w:val="20"/>
                <w:color w:val="auto"/>
              </w:rPr>
            </w:pPr>
          </w:p>
        </w:tc>
      </w:tr>
      <w:tr>
        <w:trPr>
          <w:trHeight w:val="202"/>
        </w:trPr>
        <w:tc>
          <w:tcPr>
            <w:tcW w:w="2520" w:type="dxa"/>
            <w:vAlign w:val="bottom"/>
          </w:tcPr>
          <w:p>
            <w:pPr>
              <w:spacing w:after="0" w:line="201" w:lineRule="exact"/>
              <w:rPr>
                <w:sz w:val="20"/>
                <w:szCs w:val="20"/>
                <w:color w:val="auto"/>
              </w:rPr>
            </w:pPr>
            <w:r>
              <w:rPr>
                <w:rFonts w:ascii="Arial" w:cs="Arial" w:eastAsia="Arial" w:hAnsi="Arial"/>
                <w:sz w:val="18"/>
                <w:szCs w:val="18"/>
                <w:color w:val="auto"/>
                <w:w w:val="99"/>
              </w:rPr>
              <w:t>Deutsche Bank Trust Company</w:t>
            </w:r>
          </w:p>
        </w:tc>
        <w:tc>
          <w:tcPr>
            <w:tcW w:w="3120" w:type="dxa"/>
            <w:vAlign w:val="bottom"/>
          </w:tcPr>
          <w:p>
            <w:pPr>
              <w:ind w:left="240"/>
              <w:spacing w:after="0" w:line="201" w:lineRule="exact"/>
              <w:rPr>
                <w:sz w:val="20"/>
                <w:szCs w:val="20"/>
                <w:color w:val="auto"/>
              </w:rPr>
            </w:pPr>
            <w:r>
              <w:rPr>
                <w:rFonts w:ascii="Arial" w:cs="Arial" w:eastAsia="Arial" w:hAnsi="Arial"/>
                <w:sz w:val="18"/>
                <w:szCs w:val="18"/>
                <w:color w:val="auto"/>
              </w:rPr>
              <w:t>WIL-Bermuda</w:t>
            </w:r>
          </w:p>
        </w:tc>
        <w:tc>
          <w:tcPr>
            <w:tcW w:w="1680" w:type="dxa"/>
            <w:vAlign w:val="bottom"/>
          </w:tcPr>
          <w:p>
            <w:pPr>
              <w:ind w:left="140"/>
              <w:spacing w:after="0" w:line="201" w:lineRule="exact"/>
              <w:rPr>
                <w:sz w:val="20"/>
                <w:szCs w:val="20"/>
                <w:color w:val="auto"/>
              </w:rPr>
            </w:pPr>
            <w:r>
              <w:rPr>
                <w:rFonts w:ascii="Arial" w:cs="Arial" w:eastAsia="Arial" w:hAnsi="Arial"/>
                <w:sz w:val="18"/>
                <w:szCs w:val="18"/>
                <w:color w:val="auto"/>
              </w:rPr>
              <w:t>WIL-Ireland</w:t>
            </w:r>
          </w:p>
        </w:tc>
        <w:tc>
          <w:tcPr>
            <w:tcW w:w="4100" w:type="dxa"/>
            <w:vAlign w:val="bottom"/>
          </w:tcPr>
          <w:p>
            <w:pPr>
              <w:ind w:left="460"/>
              <w:spacing w:after="0" w:line="201" w:lineRule="exact"/>
              <w:rPr>
                <w:sz w:val="20"/>
                <w:szCs w:val="20"/>
                <w:color w:val="auto"/>
              </w:rPr>
            </w:pPr>
            <w:r>
              <w:rPr>
                <w:rFonts w:ascii="Arial" w:cs="Arial" w:eastAsia="Arial" w:hAnsi="Arial"/>
                <w:sz w:val="18"/>
                <w:szCs w:val="18"/>
                <w:color w:val="auto"/>
              </w:rPr>
              <w:t>Indenture, dated June 18, 2007, among WIL-</w:t>
            </w:r>
          </w:p>
        </w:tc>
        <w:tc>
          <w:tcPr>
            <w:tcW w:w="40" w:type="dxa"/>
            <w:vAlign w:val="bottom"/>
          </w:tcPr>
          <w:p>
            <w:pPr>
              <w:spacing w:after="0"/>
              <w:rPr>
                <w:sz w:val="17"/>
                <w:szCs w:val="17"/>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Americas</w:t>
            </w:r>
          </w:p>
        </w:tc>
        <w:tc>
          <w:tcPr>
            <w:tcW w:w="3120" w:type="dxa"/>
            <w:vAlign w:val="bottom"/>
          </w:tcPr>
          <w:p>
            <w:pPr>
              <w:ind w:left="240"/>
              <w:spacing w:after="0"/>
              <w:rPr>
                <w:sz w:val="20"/>
                <w:szCs w:val="20"/>
                <w:color w:val="auto"/>
              </w:rPr>
            </w:pPr>
            <w:r>
              <w:rPr>
                <w:rFonts w:ascii="Arial" w:cs="Arial" w:eastAsia="Arial" w:hAnsi="Arial"/>
                <w:sz w:val="18"/>
                <w:szCs w:val="18"/>
                <w:color w:val="auto"/>
              </w:rPr>
              <w:t>WIL-Delaware</w:t>
            </w:r>
          </w:p>
        </w:tc>
        <w:tc>
          <w:tcPr>
            <w:tcW w:w="1680" w:type="dxa"/>
            <w:vAlign w:val="bottom"/>
          </w:tcPr>
          <w:p>
            <w:pPr>
              <w:spacing w:after="0"/>
              <w:rPr>
                <w:sz w:val="18"/>
                <w:szCs w:val="18"/>
                <w:color w:val="auto"/>
              </w:rPr>
            </w:pPr>
          </w:p>
        </w:tc>
        <w:tc>
          <w:tcPr>
            <w:tcW w:w="4100" w:type="dxa"/>
            <w:vAlign w:val="bottom"/>
          </w:tcPr>
          <w:p>
            <w:pPr>
              <w:ind w:left="460"/>
              <w:spacing w:after="0"/>
              <w:rPr>
                <w:sz w:val="20"/>
                <w:szCs w:val="20"/>
                <w:color w:val="auto"/>
              </w:rPr>
            </w:pPr>
            <w:r>
              <w:rPr>
                <w:rFonts w:ascii="Arial" w:cs="Arial" w:eastAsia="Arial" w:hAnsi="Arial"/>
                <w:sz w:val="18"/>
                <w:szCs w:val="18"/>
                <w:color w:val="auto"/>
              </w:rPr>
              <w:t>Bermuda, WIL-Delaware, WIL-Ireland and</w:t>
            </w:r>
          </w:p>
        </w:tc>
        <w:tc>
          <w:tcPr>
            <w:tcW w:w="4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100" w:type="dxa"/>
            <w:vAlign w:val="bottom"/>
          </w:tcPr>
          <w:p>
            <w:pPr>
              <w:ind w:left="460"/>
              <w:spacing w:after="0"/>
              <w:rPr>
                <w:sz w:val="20"/>
                <w:szCs w:val="20"/>
                <w:color w:val="auto"/>
              </w:rPr>
            </w:pPr>
            <w:r>
              <w:rPr>
                <w:rFonts w:ascii="Arial" w:cs="Arial" w:eastAsia="Arial" w:hAnsi="Arial"/>
                <w:sz w:val="18"/>
                <w:szCs w:val="18"/>
                <w:color w:val="auto"/>
              </w:rPr>
              <w:t>Deutsche Bank Trust Company Americas, as</w:t>
            </w:r>
          </w:p>
        </w:tc>
        <w:tc>
          <w:tcPr>
            <w:tcW w:w="4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100" w:type="dxa"/>
            <w:vAlign w:val="bottom"/>
          </w:tcPr>
          <w:p>
            <w:pPr>
              <w:ind w:left="460"/>
              <w:spacing w:after="0"/>
              <w:rPr>
                <w:sz w:val="20"/>
                <w:szCs w:val="20"/>
                <w:color w:val="auto"/>
              </w:rPr>
            </w:pPr>
            <w:r>
              <w:rPr>
                <w:rFonts w:ascii="Arial" w:cs="Arial" w:eastAsia="Arial" w:hAnsi="Arial"/>
                <w:sz w:val="18"/>
                <w:szCs w:val="18"/>
                <w:color w:val="auto"/>
              </w:rPr>
              <w:t>supplemented</w:t>
            </w:r>
          </w:p>
        </w:tc>
        <w:tc>
          <w:tcPr>
            <w:tcW w:w="40" w:type="dxa"/>
            <w:vAlign w:val="bottom"/>
          </w:tcPr>
          <w:p>
            <w:pPr>
              <w:spacing w:after="0"/>
              <w:rPr>
                <w:sz w:val="20"/>
                <w:szCs w:val="20"/>
                <w:color w:val="auto"/>
              </w:rPr>
            </w:pPr>
          </w:p>
        </w:tc>
      </w:tr>
      <w:tr>
        <w:trPr>
          <w:trHeight w:val="348"/>
        </w:trPr>
        <w:tc>
          <w:tcPr>
            <w:tcW w:w="252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207" w:name="page208"/>
    <w:bookmarkEnd w:id="207"/>
    <w:p>
      <w:pPr>
        <w:spacing w:after="0" w:line="7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364-DAY FACILITY U.S. PLEDGE AND SECURITY AGREEMENT</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THIS 364-DAY FACILITY U.S. PLEDGE AND SECURITY AGREEMENT (as amended, amended and restated, supplemented or otherwise modified from time to time, this </w:t>
      </w:r>
      <w:r>
        <w:rPr>
          <w:rFonts w:ascii="Arial" w:cs="Arial" w:eastAsia="Arial" w:hAnsi="Arial"/>
          <w:sz w:val="16"/>
          <w:szCs w:val="16"/>
          <w:color w:val="auto"/>
        </w:rPr>
        <w:t>“</w:t>
      </w:r>
      <w:r>
        <w:rPr>
          <w:rFonts w:ascii="Arial" w:cs="Arial" w:eastAsia="Arial" w:hAnsi="Arial"/>
          <w:sz w:val="17"/>
          <w:szCs w:val="17"/>
          <w:u w:val="single" w:color="auto"/>
          <w:color w:val="auto"/>
        </w:rPr>
        <w:t>Security Agreement</w:t>
      </w:r>
      <w:r>
        <w:rPr>
          <w:rFonts w:ascii="Arial" w:cs="Arial" w:eastAsia="Arial" w:hAnsi="Arial"/>
          <w:sz w:val="17"/>
          <w:szCs w:val="17"/>
          <w:color w:val="auto"/>
        </w:rPr>
        <w:t>”) is entered into as of August 16, 2018, by and among the entities listed on the signature pages hereto (such listed entities, collectively, the “</w:t>
      </w:r>
      <w:r>
        <w:rPr>
          <w:rFonts w:ascii="Arial" w:cs="Arial" w:eastAsia="Arial" w:hAnsi="Arial"/>
          <w:sz w:val="17"/>
          <w:szCs w:val="17"/>
          <w:u w:val="single" w:color="auto"/>
          <w:color w:val="auto"/>
        </w:rPr>
        <w:t>Initial Grantors</w:t>
      </w:r>
      <w:r>
        <w:rPr>
          <w:rFonts w:ascii="Arial" w:cs="Arial" w:eastAsia="Arial" w:hAnsi="Arial"/>
          <w:sz w:val="17"/>
          <w:szCs w:val="17"/>
          <w:color w:val="auto"/>
        </w:rPr>
        <w:t>” and, together with any other Subsidiaries of Weatherford International plc, an Irish public limited company (“</w:t>
      </w:r>
      <w:r>
        <w:rPr>
          <w:rFonts w:ascii="Arial" w:cs="Arial" w:eastAsia="Arial" w:hAnsi="Arial"/>
          <w:sz w:val="17"/>
          <w:szCs w:val="17"/>
          <w:u w:val="single" w:color="auto"/>
          <w:color w:val="auto"/>
        </w:rPr>
        <w:t>WIL-Ireland</w:t>
      </w:r>
      <w:r>
        <w:rPr>
          <w:rFonts w:ascii="Arial" w:cs="Arial" w:eastAsia="Arial" w:hAnsi="Arial"/>
          <w:sz w:val="17"/>
          <w:szCs w:val="17"/>
          <w:color w:val="auto"/>
        </w:rPr>
        <w:t xml:space="preserve">”), whether now existing or hereafter formed or acquired, that become parties to this Security Agreement from time to time in accordance with the terms of the Credit Agreement described below by executing a Security Agreement Supplement hereto in substantially the form of </w:t>
      </w:r>
      <w:r>
        <w:rPr>
          <w:rFonts w:ascii="Arial" w:cs="Arial" w:eastAsia="Arial" w:hAnsi="Arial"/>
          <w:sz w:val="17"/>
          <w:szCs w:val="17"/>
          <w:u w:val="single" w:color="auto"/>
          <w:color w:val="auto"/>
        </w:rPr>
        <w:t>Annex</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each, a “</w:t>
      </w:r>
      <w:r>
        <w:rPr>
          <w:rFonts w:ascii="Arial" w:cs="Arial" w:eastAsia="Arial" w:hAnsi="Arial"/>
          <w:sz w:val="17"/>
          <w:szCs w:val="17"/>
          <w:u w:val="single" w:color="auto"/>
          <w:color w:val="auto"/>
        </w:rPr>
        <w:t>Grantor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Grantors</w:t>
      </w:r>
      <w:r>
        <w:rPr>
          <w:rFonts w:ascii="Arial" w:cs="Arial" w:eastAsia="Arial" w:hAnsi="Arial"/>
          <w:sz w:val="17"/>
          <w:szCs w:val="17"/>
          <w:color w:val="auto"/>
        </w:rPr>
        <w:t>”), and MORGAN STANLEY SENIOR FUNDING, INC., in its capacity as collateral agent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for itself and on behalf and for the benefit of the other Secured Parties (as defined in the Credit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STATEMENTS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WIL-Ireland, Weatherford International Ltd., a Bermuda exempted company (together with any other Persons from time to time becoming borrowers under the Credit Agreement in accordance with its terms, the </w:t>
      </w:r>
      <w:r>
        <w:rPr>
          <w:rFonts w:ascii="Arial" w:cs="Arial" w:eastAsia="Arial" w:hAnsi="Arial"/>
          <w:sz w:val="17"/>
          <w:szCs w:val="17"/>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JPMorgan Chase Bank, N.A., a national banking association, in its capacity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the Collateral Agent, and the Lenders are entering into that certain 364-Day Revolving Credit Agreement dated as of the date hereof (as the same may be amended, amended and restated, supplemented or otherwise modified from time to time,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Grantors are entering into this Security Agreement in order to induce the Lenders to enter into and extend credit to the Borrowers under the Credit Agreement on the terms set forth therein.</w:t>
      </w:r>
    </w:p>
    <w:p>
      <w:pPr>
        <w:spacing w:after="0" w:line="170"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Grantors, the Term Loan Agent (as defined in the Credit Agreement) and the Collateral Agent are also entering into that certain Intercreditor Agreement dated as of the date hereof (as the same may be amended, amended and restated, supplemented or otherwise modified from time to time, the “</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to establish the relative rights and priorities of the Secured Parties and the Term Loan Secured Parties (as defined in the Credit Agreement) with respect to the Collateral (as defined below).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ACCORDINGLY, the Grantors and the Collateral Agent, for itself and on behalf and for the benefit of the other Secured Parties, hereby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Terms Defined in the Credit Agreement</w:t>
      </w:r>
      <w:r>
        <w:rPr>
          <w:rFonts w:ascii="Arial" w:cs="Arial" w:eastAsia="Arial" w:hAnsi="Arial"/>
          <w:sz w:val="18"/>
          <w:szCs w:val="18"/>
          <w:color w:val="auto"/>
        </w:rPr>
        <w:t>. All capitalized terms used herein and not otherwise defined shall have the respective meanings assigned to such terms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Terms Defined in UCC</w:t>
      </w:r>
      <w:r>
        <w:rPr>
          <w:rFonts w:ascii="Arial" w:cs="Arial" w:eastAsia="Arial" w:hAnsi="Arial"/>
          <w:sz w:val="18"/>
          <w:szCs w:val="18"/>
          <w:color w:val="auto"/>
        </w:rPr>
        <w:t>. Terms defined in the UCC that are not otherwise defined in this Security Agreement are used herein as defined in the UCC.</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Definitions of Certain Terms Used Herein</w:t>
      </w:r>
    </w:p>
    <w:p>
      <w:pPr>
        <w:spacing w:after="0" w:line="225" w:lineRule="exact"/>
        <w:rPr>
          <w:sz w:val="20"/>
          <w:szCs w:val="20"/>
          <w:color w:val="auto"/>
        </w:rPr>
      </w:pPr>
    </w:p>
    <w:p>
      <w:pPr>
        <w:ind w:left="660" w:right="200" w:hanging="652"/>
        <w:spacing w:after="0" w:line="501" w:lineRule="auto"/>
        <w:tabs>
          <w:tab w:leader="none" w:pos="147"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As used in this Security Agreement, in addition to the terms defined in the Preliminary Statement, the following terms shall have the following meanings: “</w:t>
      </w:r>
      <w:r>
        <w:rPr>
          <w:rFonts w:ascii="Arial" w:cs="Arial" w:eastAsia="Arial" w:hAnsi="Arial"/>
          <w:sz w:val="18"/>
          <w:szCs w:val="18"/>
          <w:u w:val="single" w:color="auto"/>
          <w:color w:val="auto"/>
        </w:rPr>
        <w:t>Accounts</w:t>
      </w:r>
      <w:r>
        <w:rPr>
          <w:rFonts w:ascii="Arial" w:cs="Arial" w:eastAsia="Arial" w:hAnsi="Arial"/>
          <w:sz w:val="18"/>
          <w:szCs w:val="18"/>
          <w:color w:val="auto"/>
        </w:rPr>
        <w:t>” shall have the meaning set forth in Article 9 of the UCC.</w:t>
      </w: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w:t>
      </w:r>
      <w:r>
        <w:rPr>
          <w:rFonts w:ascii="Arial" w:cs="Arial" w:eastAsia="Arial" w:hAnsi="Arial"/>
          <w:sz w:val="18"/>
          <w:szCs w:val="18"/>
          <w:color w:val="auto"/>
        </w:rPr>
        <w:t>” means a numbered article of this Security Agreement, unless another document is specifically referenced.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Chattel Paper</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Tort Claims</w:t>
      </w:r>
      <w:r>
        <w:rPr>
          <w:rFonts w:ascii="Arial" w:cs="Arial" w:eastAsia="Arial" w:hAnsi="Arial"/>
          <w:sz w:val="18"/>
          <w:szCs w:val="18"/>
          <w:color w:val="auto"/>
        </w:rPr>
        <w:t xml:space="preserve">” means commercial tort claims, as defined in the UCC of any Grantor, including each commercial tort claim specifically described in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70"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shall have the meaning set forth in Article 8 or, if applicable, in Section 9-104, 9-105, 9-106 or 9-107 of Article 9 of the UCC or Section 16 of the UETA, as applicable.</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means, with respect to any Person, all of such Person’s right, title, and interest in and to the following: (a) all copyrights, rights and interests in copyrights, works protectable by copyright, copyright registrations, and copyright applications; (b) all renewals of any of the foregoing; (c) all income, royalties, damages, and payments now or hereafter due and/or payable under any of the foregoing, including, without limitation, damages or payments for past or future infringements for any of the foregoing; (d) the right to sue for past, present, and future infringements of any of the foregoing; and (e) all rights corresponding to any of the foregoing throughout the world.</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 Control Agreement</w:t>
      </w:r>
      <w:r>
        <w:rPr>
          <w:rFonts w:ascii="Arial" w:cs="Arial" w:eastAsia="Arial" w:hAnsi="Arial"/>
          <w:sz w:val="18"/>
          <w:szCs w:val="18"/>
          <w:color w:val="auto"/>
        </w:rPr>
        <w:t>” means an agreement, in form and substance reasonably satisfactory to the Collateral Agent, among any Grantor, a banking institution holding such Grantor’s funds, and the Collateral Agent with respect to collection and Control of all deposits and balances held in a Specified Deposit Account maintained by such Grantor with such banking institution.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Determination Date</w:t>
      </w:r>
      <w:r>
        <w:rPr>
          <w:rFonts w:ascii="Arial" w:cs="Arial" w:eastAsia="Arial" w:hAnsi="Arial"/>
          <w:sz w:val="16"/>
          <w:szCs w:val="16"/>
          <w:color w:val="auto"/>
        </w:rPr>
        <w:t>” means the most recent to occur of (a) in the case of an Initial Grantor, the Effective Date or, in the case of any Subsequent Grantor, the date such Subsequent Grantor becomes a party hereto and (b) the most recent date on which WIL-Ireland delivers to the Collateral Agent a</w:t>
      </w:r>
    </w:p>
    <w:p>
      <w:pPr>
        <w:sectPr>
          <w:pgSz w:w="11900" w:h="16908" w:orient="portrait"/>
          <w:cols w:equalWidth="0" w:num="1">
            <w:col w:w="11420"/>
          </w:cols>
          <w:pgMar w:left="240" w:top="122" w:right="239" w:bottom="0" w:gutter="0" w:footer="0" w:header="0"/>
        </w:sectPr>
      </w:pPr>
    </w:p>
    <w:bookmarkStart w:id="208" w:name="page209"/>
    <w:bookmarkEnd w:id="208"/>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Compliance Certificate accompanied by updated Exhibits to this Security Agreement pursuant to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hereof.</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Exhibit</w:t>
      </w:r>
      <w:r>
        <w:rPr>
          <w:rFonts w:ascii="Arial" w:cs="Arial" w:eastAsia="Arial" w:hAnsi="Arial"/>
          <w:sz w:val="18"/>
          <w:szCs w:val="18"/>
          <w:color w:val="auto"/>
        </w:rPr>
        <w:t>” refers to a specific exhibit to this Security Agreement, unless another document is specifically referenced.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Farm Products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Fixtures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Intangibles</w:t>
      </w:r>
      <w:r>
        <w:rPr>
          <w:rFonts w:ascii="Arial" w:cs="Arial" w:eastAsia="Arial" w:hAnsi="Arial"/>
          <w:sz w:val="17"/>
          <w:szCs w:val="17"/>
          <w:color w:val="auto"/>
        </w:rPr>
        <w:t>” shall have the meaning set forth in Article 9 of the UCC and, in any event, includes payment intangibles, contract rights, rights to payment, rights arising under common law, statutes, or regulations, choses in action, goodwill (including the goodwill associated with any Trademark), Patents, Trademarks, Copyrights, URLs and domain names, Industrial Designs, other industrial or Intellectual Property or rights therein or applications therefor, whether under license or otherwise, programs, programming materials, blueprints, drawings, purchase orders, customer lists, monies due or recoverable from pension funds, route lists, rights to payment and other rights under any royalty or licensing agreements, including Licenses, infringement claims, computer programs, information contained on computer disks or tapes, software, literature, reports, catalogs, pension plan refunds, pension plan refund claims, insurance premium rebates, tax refunds, and tax refund claims, interests in a partnership or limited liability company which do not constitute a security under Article 8 of the UCC, and any other personal property other than Commercial Tort Claims, money, Accounts, Chattel Paper, Deposit Accounts, Goods, Investment Property, negotiable Collateral, and oil, gas, or other minerals before extraction.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Industrial Designs</w:t>
      </w:r>
      <w:r>
        <w:rPr>
          <w:rFonts w:ascii="Arial" w:cs="Arial" w:eastAsia="Arial" w:hAnsi="Arial"/>
          <w:sz w:val="18"/>
          <w:szCs w:val="18"/>
          <w:color w:val="auto"/>
        </w:rPr>
        <w:t>” means (a) registered industrial designs and industrial design applications, (b) all renewals, divisions and any industrial design registrations issuing thereon and any and all foreign applications corresponding thereto, (c) all income, royalties, damages and payments now and hereafter due or payable under and with respect thereto, including payments under all licenses entered into in connection therewith and damages and payments for past or future infringements thereof, (d) the right to sue for past, present and future infringements thereof, and (e) all of each Grantor’s rights corresponding thereto throughout the world.</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Instrument</w:t>
      </w:r>
      <w:r>
        <w:rPr>
          <w:rFonts w:ascii="Arial" w:cs="Arial" w:eastAsia="Arial" w:hAnsi="Arial"/>
          <w:sz w:val="18"/>
          <w:szCs w:val="18"/>
          <w:color w:val="auto"/>
        </w:rPr>
        <w:t>” means an Instrument between a Grantor, as the payee thereunder, and WIL-Ireland or any of its Restricted Subsidiaries, as the payor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Instruments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Patents, Trademarks, Copyrights and any other intellectual property.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Property</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Rights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Licenses</w:t>
      </w:r>
      <w:r>
        <w:rPr>
          <w:rFonts w:ascii="Arial" w:cs="Arial" w:eastAsia="Arial" w:hAnsi="Arial"/>
          <w:sz w:val="18"/>
          <w:szCs w:val="18"/>
          <w:color w:val="auto"/>
        </w:rPr>
        <w:t>” means, with respect to any Person, all of such Person’s right, title, and interest in and to (a) any and all licensing agreements or similar arrangements in and to its Patents,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Copyrights, or Trademarks, (b) all income, royalties, damages, claims, and payments now or hereafter due or payable under and with respect thereto, including, without limitation, damages and payments for past and future breaches thereof, and (c) all rights to sue for past, present, and future breaches thereof.</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Non-Current Assets</w:t>
      </w:r>
      <w:r>
        <w:rPr>
          <w:rFonts w:ascii="Arial" w:cs="Arial" w:eastAsia="Arial" w:hAnsi="Arial"/>
          <w:sz w:val="18"/>
          <w:szCs w:val="18"/>
          <w:color w:val="auto"/>
        </w:rPr>
        <w:t>” means, as of any date of determination, all assets of a Grantor that would not be classified as current assets in accordance with GAAP as of such date. For purposes of this definition, “GAAP”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Patents</w:t>
      </w:r>
      <w:r>
        <w:rPr>
          <w:rFonts w:ascii="Arial" w:cs="Arial" w:eastAsia="Arial" w:hAnsi="Arial"/>
          <w:sz w:val="16"/>
          <w:szCs w:val="16"/>
          <w:color w:val="auto"/>
        </w:rPr>
        <w:t>” means, with respect to any Person, all of such Person’s right, title, and interest in and to: (a) any and all patents and patent applications;</w:t>
      </w:r>
    </w:p>
    <w:p>
      <w:pPr>
        <w:spacing w:after="0" w:line="46" w:lineRule="exact"/>
        <w:rPr>
          <w:sz w:val="20"/>
          <w:szCs w:val="20"/>
          <w:color w:val="auto"/>
        </w:rPr>
      </w:pPr>
    </w:p>
    <w:p>
      <w:pPr>
        <w:ind w:right="40" w:firstLine="8"/>
        <w:spacing w:after="0" w:line="273" w:lineRule="auto"/>
        <w:tabs>
          <w:tab w:leader="none" w:pos="255" w:val="left"/>
        </w:tabs>
        <w:numPr>
          <w:ilvl w:val="0"/>
          <w:numId w:val="519"/>
        </w:numPr>
        <w:rPr>
          <w:rFonts w:ascii="Arial" w:cs="Arial" w:eastAsia="Arial" w:hAnsi="Arial"/>
          <w:sz w:val="17"/>
          <w:szCs w:val="17"/>
          <w:color w:val="auto"/>
        </w:rPr>
      </w:pPr>
      <w:r>
        <w:rPr>
          <w:rFonts w:ascii="Arial" w:cs="Arial" w:eastAsia="Arial" w:hAnsi="Arial"/>
          <w:sz w:val="17"/>
          <w:szCs w:val="17"/>
          <w:color w:val="auto"/>
        </w:rPr>
        <w:t>all inventions and improvements described and claimed therein; (c) all reissues, divisions, continuations, renewals, extensions, and continuations-in-part thereof; (d) all licenses of the foregoing whether as licensee or licensor; (e) all income, royalties, damages, claims, and payments now or hereafter due or payable under and with respect thereto, including, without limitation, damages and payments for past and future infringements thereof; (f) all rights to sue for past, present, and future infringements thereof; and (g) all rights corresponding to any of the foregoing throughout the world.</w:t>
      </w:r>
    </w:p>
    <w:p>
      <w:pPr>
        <w:spacing w:after="0" w:line="177"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Collateral</w:t>
      </w:r>
      <w:r>
        <w:rPr>
          <w:rFonts w:ascii="Arial" w:cs="Arial" w:eastAsia="Arial" w:hAnsi="Arial"/>
          <w:sz w:val="18"/>
          <w:szCs w:val="18"/>
          <w:color w:val="auto"/>
        </w:rPr>
        <w:t xml:space="preserve">” means all Instruments, Securities and other Investment Property of the Grantors, in each case, to the extent constituting Collateral hereunder, whether or not physically delivered to the Collateral Agent pursuant to this Security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Pledged Collateral shall in no event include any (or otherwise consist of) Excluded Property.</w:t>
      </w:r>
    </w:p>
    <w:p>
      <w:pPr>
        <w:spacing w:after="0" w:line="181" w:lineRule="exact"/>
        <w:rPr>
          <w:sz w:val="20"/>
          <w:szCs w:val="20"/>
          <w:color w:val="auto"/>
        </w:rPr>
      </w:pPr>
    </w:p>
    <w:p>
      <w:pPr>
        <w:ind w:right="140" w:firstLine="689"/>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Pledged Deposits</w:t>
      </w:r>
      <w:r>
        <w:rPr>
          <w:rFonts w:ascii="Arial" w:cs="Arial" w:eastAsia="Arial" w:hAnsi="Arial"/>
          <w:sz w:val="16"/>
          <w:szCs w:val="16"/>
          <w:color w:val="auto"/>
        </w:rPr>
        <w:t>” means all time deposits of money (other than Deposit Accounts and Instruments), whether or not evidenced by certificates, which a Grantor may from time to time designate as pledged to the Collateral Agent or to any Secured Party as security for any Secured Obligations, and all</w:t>
      </w:r>
    </w:p>
    <w:p>
      <w:pPr>
        <w:sectPr>
          <w:pgSz w:w="11900" w:h="16975" w:orient="portrait"/>
          <w:cols w:equalWidth="0" w:num="1">
            <w:col w:w="11400"/>
          </w:cols>
          <w:pgMar w:left="240" w:top="125" w:right="259" w:bottom="0" w:gutter="0" w:footer="0" w:header="0"/>
        </w:sectPr>
      </w:pPr>
    </w:p>
    <w:bookmarkStart w:id="209" w:name="page210"/>
    <w:bookmarkEnd w:id="209"/>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rights to receive interest on said deposits.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xml:space="preserve">” means (a) the Accounts, Chattel Paper, Documents, Investment Property, Instruments or Pledged Deposits, in each case, to the extent constituting Collateral hereunder, and (b) any other rights or claims to receive money (including, without limitation, insurance proceeds) which are (i) General Intangibles and constitute Collateral hereunder or (ii) otherwise constitute Collateral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Receivables shall not include any (or otherwise consist of) Excluded Property.</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w:t>
      </w:r>
      <w:r>
        <w:rPr>
          <w:rFonts w:ascii="Arial" w:cs="Arial" w:eastAsia="Arial" w:hAnsi="Arial"/>
          <w:sz w:val="18"/>
          <w:szCs w:val="18"/>
          <w:color w:val="auto"/>
        </w:rPr>
        <w:t>” means a numbered section of this Security Agreement, unless another document is specifically referenced.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shall have the meaning set forth in Article 8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w:t>
      </w:r>
      <w:r>
        <w:rPr>
          <w:rFonts w:ascii="Arial" w:cs="Arial" w:eastAsia="Arial" w:hAnsi="Arial"/>
          <w:sz w:val="18"/>
          <w:szCs w:val="18"/>
          <w:color w:val="auto"/>
        </w:rPr>
        <w:t>” has the meaning set forth in Article 8 of the UCC.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Deposit Account</w:t>
      </w:r>
      <w:r>
        <w:rPr>
          <w:rFonts w:ascii="Arial" w:cs="Arial" w:eastAsia="Arial" w:hAnsi="Arial"/>
          <w:sz w:val="18"/>
          <w:szCs w:val="18"/>
          <w:color w:val="auto"/>
        </w:rPr>
        <w:t>” means any Deposit Account of a Grantor other than (a) Excluded Accounts and (b) other Deposit Accounts to the extent that the aggregate cash or Cash Equivalent balance of all such other Deposit Accounts described in this clause (b) does not at any time exceed $5,000,000.</w:t>
      </w:r>
    </w:p>
    <w:p>
      <w:pPr>
        <w:spacing w:after="0" w:line="181"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Intellectual Property</w:t>
      </w:r>
      <w:r>
        <w:rPr>
          <w:rFonts w:ascii="Arial" w:cs="Arial" w:eastAsia="Arial" w:hAnsi="Arial"/>
          <w:sz w:val="16"/>
          <w:szCs w:val="16"/>
          <w:color w:val="auto"/>
        </w:rPr>
        <w:t>” means any Intellectual Property which constitutes Collateral of one or more Grantors (a) the aggregate book value of which exceeds $5,000,000 individually or in the aggregate, (b) which generates annual revenue, royalties or license fees of greater than $5,000,000 or</w:t>
      </w:r>
    </w:p>
    <w:p>
      <w:pPr>
        <w:ind w:right="100" w:firstLine="8"/>
        <w:spacing w:after="0" w:line="261" w:lineRule="auto"/>
        <w:tabs>
          <w:tab w:leader="none" w:pos="245" w:val="left"/>
        </w:tabs>
        <w:numPr>
          <w:ilvl w:val="0"/>
          <w:numId w:val="520"/>
        </w:numPr>
        <w:rPr>
          <w:rFonts w:ascii="Arial" w:cs="Arial" w:eastAsia="Arial" w:hAnsi="Arial"/>
          <w:sz w:val="18"/>
          <w:szCs w:val="18"/>
          <w:color w:val="auto"/>
        </w:rPr>
      </w:pPr>
      <w:r>
        <w:rPr>
          <w:rFonts w:ascii="Arial" w:cs="Arial" w:eastAsia="Arial" w:hAnsi="Arial"/>
          <w:sz w:val="18"/>
          <w:szCs w:val="18"/>
          <w:color w:val="auto"/>
        </w:rPr>
        <w:t>which, in the commercially reasonable judgment of the Grantors, is material to the conduct of all or a material portion of the business of WIL-Ireland and its Restricted Subsidiaries.</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Rights</w:t>
      </w:r>
      <w:r>
        <w:rPr>
          <w:rFonts w:ascii="Arial" w:cs="Arial" w:eastAsia="Arial" w:hAnsi="Arial"/>
          <w:sz w:val="18"/>
          <w:szCs w:val="18"/>
          <w:color w:val="auto"/>
        </w:rPr>
        <w:t>” means any securities, dividends, instruments or other distributions and any other right or property which any Grantor shall receive or shall become entitled to receive for any reason whatsoever with respect to, in substitution for or in exchange for any Capital Stock constituting Collateral, any right to receive Capital Stock and any right to receive earnings, in which any Grantor now has or hereafter acquires any right, issued by an issuer of such securities.</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Grantor</w:t>
      </w:r>
      <w:r>
        <w:rPr>
          <w:rFonts w:ascii="Arial" w:cs="Arial" w:eastAsia="Arial" w:hAnsi="Arial"/>
          <w:sz w:val="18"/>
          <w:szCs w:val="18"/>
          <w:color w:val="auto"/>
        </w:rPr>
        <w:t xml:space="preserve">” means any Subsidiary of WIL-Ireland that becomes a party to this Security Agreement after the Effective Date by executing a Security Agreement Supplement hereto in substantially the form of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Supporting Obligation</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Trademarks</w:t>
      </w:r>
      <w:r>
        <w:rPr>
          <w:rFonts w:ascii="Arial" w:cs="Arial" w:eastAsia="Arial" w:hAnsi="Arial"/>
          <w:sz w:val="17"/>
          <w:szCs w:val="17"/>
          <w:color w:val="auto"/>
        </w:rPr>
        <w:t>” means, with respect to any Person, all of such Person’s right, title, and interest in and to the following: (a) all trademarks (including service marks), trade names, trade dress, and trade styles and the registrations and applications for registration thereof and the goodwill of the business symbolized by the foregoing; (b) all licenses of the foregoing, whether as licensee or licensor; (c) all renewals of the foregoing; (d) all income, royalties, damages, and payments now or hereafter due or payable with respect thereto, including, without limitation, damages, claims, and payments for past and future infringements thereof; (e) all rights to sue for past, present, and future infringements of the foregoing, including the right to settle suits involving claims and demands for royalties owing; and (f) all rights corresponding to any of the foregoing throughout the world.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UETA</w:t>
      </w:r>
      <w:r>
        <w:rPr>
          <w:rFonts w:ascii="Arial" w:cs="Arial" w:eastAsia="Arial" w:hAnsi="Arial"/>
          <w:sz w:val="18"/>
          <w:szCs w:val="18"/>
          <w:color w:val="auto"/>
        </w:rPr>
        <w:t>” means the Uniform Electronic Transactions Act as in effect from time to time in any applicable jurisdiction.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definitions shall be equally applicable to both the singular and plural forms of the defined terms.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GRANT OF SECURITY INTEREST</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Each of the Grantors hereby pledges, assigns and grants to the Collateral Agent, on behalf of and for the benefit of the Secured Parties, a security interest in all of such Grantor</w:t>
      </w:r>
      <w:r>
        <w:rPr>
          <w:rFonts w:ascii="Arial" w:cs="Arial" w:eastAsia="Arial" w:hAnsi="Arial"/>
          <w:sz w:val="17"/>
          <w:szCs w:val="17"/>
          <w:color w:val="auto"/>
        </w:rPr>
        <w:t>’</w:t>
      </w:r>
      <w:r>
        <w:rPr>
          <w:rFonts w:ascii="Arial" w:cs="Arial" w:eastAsia="Arial" w:hAnsi="Arial"/>
          <w:sz w:val="18"/>
          <w:szCs w:val="18"/>
          <w:color w:val="auto"/>
        </w:rPr>
        <w:t>s right, title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and interest, whether now owned or existing or hereafter acquired, in and to the following property to secure the prompt and complete payment and performance of the Secured Obligations (collectively, the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170" w:lineRule="exact"/>
        <w:rPr>
          <w:sz w:val="20"/>
          <w:szCs w:val="20"/>
          <w:color w:val="auto"/>
        </w:rPr>
      </w:pPr>
    </w:p>
    <w:p>
      <w:pPr>
        <w:ind w:left="1360" w:hanging="704"/>
        <w:spacing w:after="0"/>
        <w:tabs>
          <w:tab w:leader="none" w:pos="136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all cash and cash equivalents;</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all trade accounts, notes and acceptances receivable;</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all receivables from officers, employees, affiliates, and others, if collectible in the ordinary course of business within a year;</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521"/>
        </w:numPr>
        <w:rPr>
          <w:rFonts w:ascii="Arial" w:cs="Arial" w:eastAsia="Arial" w:hAnsi="Arial"/>
          <w:sz w:val="16"/>
          <w:szCs w:val="16"/>
          <w:color w:val="auto"/>
        </w:rPr>
      </w:pPr>
      <w:r>
        <w:rPr>
          <w:rFonts w:ascii="Arial" w:cs="Arial" w:eastAsia="Arial" w:hAnsi="Arial"/>
          <w:sz w:val="16"/>
          <w:szCs w:val="16"/>
          <w:color w:val="auto"/>
        </w:rPr>
        <w:t>all installment or deferred accounts and notes receivable if they conform generally to normal trade practices and terms within the business;</w:t>
      </w:r>
    </w:p>
    <w:p>
      <w:pPr>
        <w:spacing w:after="0" w:line="248" w:lineRule="exact"/>
        <w:rPr>
          <w:rFonts w:ascii="Arial" w:cs="Arial" w:eastAsia="Arial" w:hAnsi="Arial"/>
          <w:sz w:val="16"/>
          <w:szCs w:val="16"/>
          <w:color w:val="auto"/>
        </w:rPr>
      </w:pPr>
    </w:p>
    <w:p>
      <w:pPr>
        <w:ind w:left="1360" w:hanging="704"/>
        <w:spacing w:after="0"/>
        <w:tabs>
          <w:tab w:leader="none" w:pos="136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all marketable Securities representing the investment of cash available for current operations;</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521"/>
        </w:numPr>
        <w:rPr>
          <w:rFonts w:ascii="Arial" w:cs="Arial" w:eastAsia="Arial" w:hAnsi="Arial"/>
          <w:sz w:val="17"/>
          <w:szCs w:val="17"/>
          <w:color w:val="auto"/>
        </w:rPr>
      </w:pPr>
      <w:r>
        <w:rPr>
          <w:rFonts w:ascii="Arial" w:cs="Arial" w:eastAsia="Arial" w:hAnsi="Arial"/>
          <w:sz w:val="17"/>
          <w:szCs w:val="17"/>
          <w:color w:val="auto"/>
        </w:rPr>
        <w:t>all prepaid expenses such as insurance, interest, rents taxes, unused royalties, current paid advertising service and office supplies;</w:t>
      </w:r>
    </w:p>
    <w:p>
      <w:pPr>
        <w:sectPr>
          <w:pgSz w:w="11900" w:h="16863" w:orient="portrait"/>
          <w:cols w:equalWidth="0" w:num="1">
            <w:col w:w="11420"/>
          </w:cols>
          <w:pgMar w:left="240" w:top="125" w:right="239" w:bottom="0" w:gutter="0" w:footer="0" w:header="0"/>
        </w:sectPr>
      </w:pPr>
    </w:p>
    <w:bookmarkStart w:id="210" w:name="page211"/>
    <w:bookmarkEnd w:id="210"/>
    <w:p>
      <w:pPr>
        <w:ind w:right="520" w:firstLine="656"/>
        <w:spacing w:after="0" w:line="259" w:lineRule="auto"/>
        <w:tabs>
          <w:tab w:leader="none" w:pos="1358"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to the extent constituting Current Assets, all Chattel Paper, Commercial Tort Claims, Copyrights, Deposit Accounts, Documents, Equipment, Farm Products, Fixtures, General Intangibles, Goods, Instruments, Investment Property, letters of credit, Letter of Credit Rights, Licenses, Patents, Pledged Deposits, Supporting Obligations, Trademarks, as well as all letters of credit, Stock Rights or any deposits (general or special, time or demand, provisional or final) with any bank or other financial institution; and</w:t>
      </w:r>
    </w:p>
    <w:p>
      <w:pPr>
        <w:spacing w:after="0" w:line="186" w:lineRule="exact"/>
        <w:rPr>
          <w:rFonts w:ascii="Arial" w:cs="Arial" w:eastAsia="Arial" w:hAnsi="Arial"/>
          <w:sz w:val="18"/>
          <w:szCs w:val="18"/>
          <w:color w:val="auto"/>
        </w:rPr>
      </w:pPr>
    </w:p>
    <w:p>
      <w:pPr>
        <w:ind w:right="180" w:firstLine="656"/>
        <w:spacing w:after="0" w:line="342" w:lineRule="auto"/>
        <w:tabs>
          <w:tab w:leader="none" w:pos="1358" w:val="left"/>
        </w:tabs>
        <w:numPr>
          <w:ilvl w:val="0"/>
          <w:numId w:val="522"/>
        </w:numPr>
        <w:rPr>
          <w:rFonts w:ascii="Arial" w:cs="Arial" w:eastAsia="Arial" w:hAnsi="Arial"/>
          <w:sz w:val="16"/>
          <w:szCs w:val="16"/>
          <w:color w:val="auto"/>
        </w:rPr>
      </w:pPr>
      <w:r>
        <w:rPr>
          <w:rFonts w:ascii="Arial" w:cs="Arial" w:eastAsia="Arial" w:hAnsi="Arial"/>
          <w:sz w:val="16"/>
          <w:szCs w:val="16"/>
          <w:color w:val="auto"/>
        </w:rPr>
        <w:t>to the extent constituting Current Assets, all proceeds (including insurance proceeds) and products of any of the foregoing, together with all books and records, customer lists, credit files, computer files, programs, printouts and other computer materials and records related thereto;</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it being intended that the Collateral include, and consist solely of, all Current Assets of each Grantor (including, without limitation, any Non-Current Asset of a Grantor that by its terms or characteristics is reclassified as, or otherwise becomes, a Current Asset);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anything to the contrary in any Loan Document, in no event shall the Collateral include or consist of, or the security interest or Lien granted under this Article II attach to (nor shall any of the following in any event constitute, or be deemed to constitute, Collateral): (i) any property that is or becomes an Excluded Asset or</w:t>
      </w:r>
    </w:p>
    <w:p>
      <w:pPr>
        <w:spacing w:after="0" w:line="2" w:lineRule="exact"/>
        <w:rPr>
          <w:sz w:val="20"/>
          <w:szCs w:val="20"/>
          <w:color w:val="auto"/>
        </w:rPr>
      </w:pPr>
    </w:p>
    <w:p>
      <w:pPr>
        <w:ind w:left="280" w:hanging="272"/>
        <w:spacing w:after="0"/>
        <w:tabs>
          <w:tab w:leader="none" w:pos="280" w:val="left"/>
        </w:tabs>
        <w:numPr>
          <w:ilvl w:val="0"/>
          <w:numId w:val="523"/>
        </w:numPr>
        <w:rPr>
          <w:rFonts w:ascii="Arial" w:cs="Arial" w:eastAsia="Arial" w:hAnsi="Arial"/>
          <w:sz w:val="16"/>
          <w:szCs w:val="16"/>
          <w:color w:val="auto"/>
        </w:rPr>
      </w:pPr>
      <w:r>
        <w:rPr>
          <w:rFonts w:ascii="Arial" w:cs="Arial" w:eastAsia="Arial" w:hAnsi="Arial"/>
          <w:sz w:val="16"/>
          <w:szCs w:val="16"/>
          <w:color w:val="auto"/>
        </w:rPr>
        <w:t>any property described in clauses (a) through (h) of this Article II which by its terms or characteristics does not, or ceases to constitute, Current Assets</w:t>
      </w:r>
    </w:p>
    <w:p>
      <w:pPr>
        <w:spacing w:after="0" w:line="32"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(the foregoing clauses (i) and (ii), collectively, “</w:t>
      </w:r>
      <w:r>
        <w:rPr>
          <w:rFonts w:ascii="Arial" w:cs="Arial" w:eastAsia="Arial" w:hAnsi="Arial"/>
          <w:sz w:val="18"/>
          <w:szCs w:val="18"/>
          <w:u w:val="single" w:color="auto"/>
          <w:color w:val="auto"/>
        </w:rPr>
        <w:t>Excluded Property</w:t>
      </w:r>
      <w:r>
        <w:rPr>
          <w:rFonts w:ascii="Arial" w:cs="Arial" w:eastAsia="Arial" w:hAnsi="Arial"/>
          <w:sz w:val="18"/>
          <w:szCs w:val="18"/>
          <w:color w:val="auto"/>
        </w:rPr>
        <w:t>”). For the avoidance of doubt, the grant of the security interest herein shall not be deemed to be an assignment of intellectual property rights owned by the Grantors. None of the Grantors shall be required to take any action intended to cause any Excluded Property to constitute Collateral, and none of the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covenants or representations and warranties herein shall be deemed to apply to any property or assets constituting Excluded Property.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Each of the Initial Grantors represents and warrants to the Collateral Agent and the Secured Parties, and each Subsequent Grantor that becomes a party to this Security Agreement pursuant to the execution of a Security Agreement Supplement in substantially the form of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represents and warrants after giving effect to supplements to each of the Exhibits hereto with respect to such Subsequent Grantor as attached to such Security Agreement Supplement, that:</w:t>
      </w:r>
    </w:p>
    <w:p>
      <w:pPr>
        <w:spacing w:after="0" w:line="187"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Title, Authorization, Validity and Enforceability</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3.12.10</w:t>
      </w:r>
      <w:r>
        <w:rPr>
          <w:rFonts w:ascii="Arial" w:cs="Arial" w:eastAsia="Arial" w:hAnsi="Arial"/>
          <w:sz w:val="16"/>
          <w:szCs w:val="16"/>
          <w:color w:val="auto"/>
        </w:rPr>
        <w:t>, such Grantor has good and valid rights in or the power to transfer its respective Collateral, free and clear of all Liens except for Liens permitted under Section 8.04 of the Credit Agreement, and has the corporate, limited liability company or partnership, as applicable, power and authority to grant to the Collateral Agent the security interest in such Collateral pursuant hereto. The execution and delivery by such Grantor of this Security Agreement have been duly authorized by corporate, limited liability company, limited partnership or partnership, as applicable, proceedings, and this Security Agreement constitutes a legal, valid and binding obligation of such Grantor and creates a security interest which is enforceable against such Grantor in all Collateral it now owns or hereafter acquires, except (i) as enforceability may be limited by bankruptcy, insolvency, examinership,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(ii) as to the enforceability of provisions for indemnification and the limitations thereon arising as a matter of law or public policy. When financing statements have been filed in the appropriate offices against such Grantor in the locations listed in</w:t>
      </w:r>
    </w:p>
    <w:p>
      <w:pPr>
        <w:spacing w:after="0" w:line="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u w:val="single" w:color="auto"/>
          <w:color w:val="auto"/>
        </w:rPr>
        <w:t>Exhibit “E”</w:t>
      </w:r>
      <w:r>
        <w:rPr>
          <w:rFonts w:ascii="Arial" w:cs="Arial" w:eastAsia="Arial" w:hAnsi="Arial"/>
          <w:sz w:val="18"/>
          <w:szCs w:val="18"/>
          <w:color w:val="auto"/>
        </w:rPr>
        <w:t>, the Collateral Agent will have a fully perfected security interest in the Collateral owned by such Grantor in which a security interest may be perfected by filing of a financing statement under the UCC, prior to any other Lien on any of the Collateral, other than Liens permitted under Section 8.04 of the Credit Agreement.</w:t>
      </w:r>
    </w:p>
    <w:p>
      <w:pPr>
        <w:spacing w:after="0" w:line="19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Conflicting Laws and Contracts</w:t>
      </w:r>
      <w:r>
        <w:rPr>
          <w:rFonts w:ascii="Arial" w:cs="Arial" w:eastAsia="Arial" w:hAnsi="Arial"/>
          <w:sz w:val="17"/>
          <w:szCs w:val="17"/>
          <w:color w:val="auto"/>
        </w:rPr>
        <w:t>. Neither the execution and delivery by such Grantor of this Security Agreement, the creation and perfection of the security interest in the Collateral granted hereunder, nor compliance with the terms and provisions hereof (a) will breach or violate any applicable Requirement of Law binding on such Grantor, (b) will result in any breach or violation of, or constitute a default under, or result in the creation or imposition of (or the obligation to create or impose) any Lien prohibited under the Credit Agreement upon any of its property or assets pursuant to the terms of (i) the Existing Senior Notes or any Existing Senior Notes Indenture or (ii) any other indenture, agreement or other instrument to which such Grantor is a party or by which any property or asset of it is bound or to which it is subject, except for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breaches, violations and defaults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7"/>
          <w:szCs w:val="17"/>
          <w:u w:val="single" w:color="auto"/>
          <w:color w:val="auto"/>
        </w:rPr>
        <w:t>(</w:t>
      </w:r>
      <w:r>
        <w:rPr>
          <w:rFonts w:ascii="Arial" w:cs="Arial" w:eastAsia="Arial" w:hAnsi="Arial"/>
          <w:sz w:val="18"/>
          <w:szCs w:val="18"/>
          <w:u w:val="single" w:color="auto"/>
          <w:color w:val="auto"/>
        </w:rPr>
        <w:t>b)(ii)</w:t>
      </w:r>
      <w:r>
        <w:rPr>
          <w:rFonts w:ascii="Arial" w:cs="Arial" w:eastAsia="Arial" w:hAnsi="Arial"/>
          <w:sz w:val="18"/>
          <w:szCs w:val="18"/>
          <w:color w:val="auto"/>
        </w:rPr>
        <w:t xml:space="preserve"> that collectively for the Grantors would not have a Material Adverse Effect, or (c) will violate any provision of such Grantor’s charter, articles or certificate of incorporation or formation, partnership agreement, bylaws or operating agreement (or similar constitutive document).</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Principal Location</w:t>
      </w:r>
      <w:r>
        <w:rPr>
          <w:rFonts w:ascii="Arial" w:cs="Arial" w:eastAsia="Arial" w:hAnsi="Arial"/>
          <w:sz w:val="18"/>
          <w:szCs w:val="18"/>
          <w:color w:val="auto"/>
        </w:rPr>
        <w:t xml:space="preserve">. Such Grantor’s mailing address and the location of its place of business (if it has only one) or its chief executive office (if it has more than one place of business), are disclosed, as of the applicable Determination Date,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Property Locations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lists, as of the applicable Determination Date, all of such Grantor’s locations where Inventory constituting Collateral are located (other than any such location where the book value of all Inventory located thereon does not exceed $10,000,000). Such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indicate whether such locations are locations (i) owned by a Grantor, (ii) leased by such Grantor as lessee or (iii) at which Inventory is held in a public warehouse or is otherwise held by a bailee or on consignment by such Grantor.</w:t>
      </w:r>
    </w:p>
    <w:p>
      <w:pPr>
        <w:spacing w:after="0" w:line="18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No Other Names; Etc.</w:t>
      </w:r>
      <w:r>
        <w:rPr>
          <w:rFonts w:ascii="Arial" w:cs="Arial" w:eastAsia="Arial" w:hAnsi="Arial"/>
          <w:sz w:val="16"/>
          <w:szCs w:val="16"/>
          <w:color w:val="auto"/>
        </w:rPr>
        <w:t xml:space="preserve"> Within the five-year period ending as of the date such Person becomes a Grantor hereunder, such Grantor has not conducted business under any name, changed its jurisdiction of formation, merged with or into or consolidated with any other Person, except as disclosed in </w:t>
      </w:r>
      <w:r>
        <w:rPr>
          <w:rFonts w:ascii="Arial" w:cs="Arial" w:eastAsia="Arial" w:hAnsi="Arial"/>
          <w:sz w:val="16"/>
          <w:szCs w:val="16"/>
          <w:u w:val="single" w:color="auto"/>
          <w:color w:val="auto"/>
        </w:rPr>
        <w:t>Exhibit “A”</w:t>
      </w:r>
      <w:r>
        <w:rPr>
          <w:rFonts w:ascii="Arial" w:cs="Arial" w:eastAsia="Arial" w:hAnsi="Arial"/>
          <w:sz w:val="16"/>
          <w:szCs w:val="16"/>
          <w:color w:val="auto"/>
        </w:rPr>
        <w:t>. The name in which such Grantor has executed this Security Agreement (or a Security Agreement Supplement) is, as of the date such agreement is executed and delivered, the exact name as it appears in such Grantor’s charter or certificate of incorporation or formation (or similar formation document), as amended, as filed with such Grantor’s jurisdiction of organization as of the date such Person becomes a Grantor hereunder.</w:t>
      </w:r>
    </w:p>
    <w:p>
      <w:pPr>
        <w:sectPr>
          <w:pgSz w:w="11900" w:h="16838" w:orient="portrait"/>
          <w:cols w:equalWidth="0" w:num="1">
            <w:col w:w="11380"/>
          </w:cols>
          <w:pgMar w:left="240" w:top="341" w:right="279" w:bottom="0" w:gutter="0" w:footer="0" w:header="0"/>
        </w:sectPr>
      </w:pPr>
    </w:p>
    <w:bookmarkStart w:id="211" w:name="page212"/>
    <w:bookmarkEnd w:id="211"/>
    <w:p>
      <w:pPr>
        <w:spacing w:after="0" w:line="9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color w:val="auto"/>
        </w:rPr>
        <w:t>Reserved</w:t>
      </w: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Accounts and Chattel Paper</w:t>
      </w:r>
      <w:r>
        <w:rPr>
          <w:rFonts w:ascii="Arial" w:cs="Arial" w:eastAsia="Arial" w:hAnsi="Arial"/>
          <w:sz w:val="18"/>
          <w:szCs w:val="18"/>
          <w:color w:val="auto"/>
        </w:rPr>
        <w:t>. The names of the obligors, amounts owing, due dates and other information with respect to the Accounts and Chattel Paper owned by such Grantor and constituting Collateral are and will be correctly stated in all material respects in all records of such Grantor relating thereto and in all invoices and reports with respect thereto furnished to the Collateral Agent by such Grantor from time to time. As of the time when each Account or each item of Chattel Paper constituting Collateral arises, such Grantor shall be deemed to have represented and warranted that such Account or Chattel Paper, as the case may be, and all records relating thereto, are genuine and in all respects what they purport to be, except, in each case, as could not be reasonably expected to result in a Material Adverse Effect.</w:t>
      </w:r>
    </w:p>
    <w:p>
      <w:pPr>
        <w:spacing w:after="0" w:line="18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color w:val="auto"/>
        </w:rPr>
        <w:t>Reserved</w:t>
      </w: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No Financing Statements, Security Agreements</w:t>
      </w:r>
      <w:r>
        <w:rPr>
          <w:rFonts w:ascii="Arial" w:cs="Arial" w:eastAsia="Arial" w:hAnsi="Arial"/>
          <w:sz w:val="16"/>
          <w:szCs w:val="16"/>
          <w:color w:val="auto"/>
        </w:rPr>
        <w:t xml:space="preserve">. No financing statement or security agreement describing all or any portion of the Collateral which has not lapsed or been terminated naming such Grantor as debtor has been filed or is of record in any jurisdiction except financing statements (i) naming the Collateral Agent on behalf of the Secured Parties as the secured party and (ii) in respect of Liens permitted by Section 8.04 of the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except as provided in the Intercreditor Agreement, nothing herein shall be deemed to constitute an agreement to subordinate any of the Liens of the Collateral Agent under the Loan Documents to any Liens otherwise permitted under Section 8.04 of the Credit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Federal Employer Identification Number; State Organization Number; Jurisdiction of Organization</w:t>
      </w:r>
      <w:r>
        <w:rPr>
          <w:rFonts w:ascii="Arial" w:cs="Arial" w:eastAsia="Arial" w:hAnsi="Arial"/>
          <w:sz w:val="18"/>
          <w:szCs w:val="18"/>
          <w:color w:val="auto"/>
        </w:rPr>
        <w:t xml:space="preserve">. Such Grantor’s federal employer identification number is, and if such Grantor is a registered organization, such Grantor’s state of organization, type of organization and state of organization identification number are, as of the applicable Determination Date, listed in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Pledged Securities and Other Investment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sets forth, as of the applicable Determination Date, a complete and accurate list of the Instruments (other than Intercompany Instruments), Securities and other Investment Property, in each case constituting Collateral and delivered to the Collateral Agent (or, subject to the terms of the Intercreditor Agreement, the Term Loan Agent), but for the avoidance of doubt, excluding Capital Stock of Subsidiaries. Each Grantor is the direct and beneficial owner of each Instrument, Security and other type of Investment Property, in each case constituting Collateral and listed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as being owned by it, free and clear of any Liens, except for the security interest granted to the Collateral Agent for the benefit of the Secured Parties hereunder or as permitted by Section 8.04 of the Credit Agreement. Subject to Sections 7.08 and 7.11 of the Credit Agreement, each Grantor further represents and warrants that all Pledged Collateral held by a securities intermediary (including in a Securities Account) is covered by a control agreement among such Grantor, the securities intermediary, the Collateral Agent and the Term Loan Agent pursuant to which, subject to the terms of the Intercreditor Agreement, the Collateral Agent has Control to the extent required by </w:t>
      </w:r>
      <w:r>
        <w:rPr>
          <w:rFonts w:ascii="Arial" w:cs="Arial" w:eastAsia="Arial" w:hAnsi="Arial"/>
          <w:sz w:val="16"/>
          <w:szCs w:val="16"/>
          <w:u w:val="single" w:color="auto"/>
          <w:color w:val="auto"/>
        </w:rPr>
        <w:t>Section 4.5</w:t>
      </w:r>
      <w:r>
        <w:rPr>
          <w:rFonts w:ascii="Arial" w:cs="Arial" w:eastAsia="Arial" w:hAnsi="Arial"/>
          <w:sz w:val="16"/>
          <w:szCs w:val="16"/>
          <w:color w:val="auto"/>
        </w:rPr>
        <w:t>.</w:t>
      </w:r>
    </w:p>
    <w:p>
      <w:pPr>
        <w:spacing w:after="0" w:line="16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3.12.1.</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Reserved</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29" w:lineRule="exact"/>
        <w:rPr>
          <w:sz w:val="20"/>
          <w:szCs w:val="20"/>
          <w:color w:val="auto"/>
        </w:rPr>
      </w:pPr>
    </w:p>
    <w:p>
      <w:pPr>
        <w:ind w:left="780" w:right="160" w:firstLine="519"/>
        <w:spacing w:after="0" w:line="342" w:lineRule="auto"/>
        <w:rPr>
          <w:sz w:val="20"/>
          <w:szCs w:val="20"/>
          <w:color w:val="auto"/>
        </w:rPr>
      </w:pPr>
      <w:r>
        <w:rPr>
          <w:rFonts w:ascii="Arial" w:cs="Arial" w:eastAsia="Arial" w:hAnsi="Arial"/>
          <w:sz w:val="16"/>
          <w:szCs w:val="16"/>
          <w:color w:val="auto"/>
        </w:rPr>
        <w:t>3.12.2. All Specified Intellectual Property is valid, subsisting, unexpired (where registered) and enforceable and has not been abandoned or adjudged invalid or unenforceable, in whole or in part, except as could not be reasonably expected to result in a Material Adverse Effect.</w:t>
      </w:r>
    </w:p>
    <w:p>
      <w:pPr>
        <w:spacing w:after="0" w:line="124" w:lineRule="exact"/>
        <w:rPr>
          <w:sz w:val="20"/>
          <w:szCs w:val="20"/>
          <w:color w:val="auto"/>
        </w:rPr>
      </w:pPr>
    </w:p>
    <w:p>
      <w:pPr>
        <w:ind w:left="780" w:right="40" w:firstLine="519"/>
        <w:spacing w:after="0" w:line="255" w:lineRule="auto"/>
        <w:rPr>
          <w:sz w:val="20"/>
          <w:szCs w:val="20"/>
          <w:color w:val="auto"/>
        </w:rPr>
      </w:pPr>
      <w:r>
        <w:rPr>
          <w:rFonts w:ascii="Arial" w:cs="Arial" w:eastAsia="Arial" w:hAnsi="Arial"/>
          <w:sz w:val="18"/>
          <w:szCs w:val="18"/>
          <w:color w:val="auto"/>
        </w:rPr>
        <w:t>3.12.3. Subject to Section 3.12.10, (i) no Person other than the respective Grantor (or any other Grantor) has any right or interest of any kind or nature in or to the Specified Intellectual Property, including any right to sell, license, lease, transfer, distribute, use or otherwise exploit the Specified Intellectual Property or any portion thereof outside of the ordinary course of the respective Grantor’s business, except as could not be reasonably expected to result in a Material Adverse Effect and (ii) each Grantor has good, marketable and exclusive title to, and the valid and enforceable power and right to sell, license, transfer, distribute, use and otherwise exploit, its Specified Intellectual Property, except as could not be reasonably expected to result in a Material Adverse Effect.</w:t>
      </w:r>
    </w:p>
    <w:p>
      <w:pPr>
        <w:spacing w:after="0" w:line="193" w:lineRule="exact"/>
        <w:rPr>
          <w:sz w:val="20"/>
          <w:szCs w:val="20"/>
          <w:color w:val="auto"/>
        </w:rPr>
      </w:pPr>
    </w:p>
    <w:p>
      <w:pPr>
        <w:ind w:left="780" w:right="40" w:firstLine="519"/>
        <w:spacing w:after="0" w:line="259" w:lineRule="auto"/>
        <w:rPr>
          <w:sz w:val="20"/>
          <w:szCs w:val="20"/>
          <w:color w:val="auto"/>
        </w:rPr>
      </w:pPr>
      <w:r>
        <w:rPr>
          <w:rFonts w:ascii="Arial" w:cs="Arial" w:eastAsia="Arial" w:hAnsi="Arial"/>
          <w:sz w:val="18"/>
          <w:szCs w:val="18"/>
          <w:color w:val="auto"/>
        </w:rPr>
        <w:t>3.12.4. Each Grantor has taken or caused to be taken steps so that none of its Specified Intellectual Property, the value of which to the Grantors are contingent upon maintenance of the confidentiality thereof, have been disclosed by such Grantor to any Person other than any Affiliate owners thereof and employees, contractors, customers, representatives and agents of the Grantors or such Affiliate owners who are parties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customary confidentiality and nondisclosure agreements with the Grantors or such Affiliate owners, as applicable.</w:t>
      </w:r>
    </w:p>
    <w:p>
      <w:pPr>
        <w:spacing w:after="0" w:line="225" w:lineRule="exact"/>
        <w:rPr>
          <w:sz w:val="20"/>
          <w:szCs w:val="20"/>
          <w:color w:val="auto"/>
        </w:rPr>
      </w:pPr>
    </w:p>
    <w:p>
      <w:pPr>
        <w:ind w:left="780" w:right="20" w:firstLine="519"/>
        <w:spacing w:after="0" w:line="259" w:lineRule="auto"/>
        <w:rPr>
          <w:sz w:val="20"/>
          <w:szCs w:val="20"/>
          <w:color w:val="auto"/>
        </w:rPr>
      </w:pPr>
      <w:r>
        <w:rPr>
          <w:rFonts w:ascii="Arial" w:cs="Arial" w:eastAsia="Arial" w:hAnsi="Arial"/>
          <w:sz w:val="18"/>
          <w:szCs w:val="18"/>
          <w:color w:val="auto"/>
        </w:rPr>
        <w:t>3.12.5. To each Grantor’s knowledge, no Person has violated, infringed upon or breached, or is currently violating, infringing upon or breaching, any of the rights of the Grantors to the Specified Intellectual Property or has breached or is breaching any duty or obligation owed to the Grantors in respect of the Specified Intellectual Property except where those breaches, individually or in the aggregate, could not be reasonably expected to result in a Material Adverse Effect.</w:t>
      </w:r>
    </w:p>
    <w:p>
      <w:pPr>
        <w:spacing w:after="0" w:line="187" w:lineRule="exact"/>
        <w:rPr>
          <w:sz w:val="20"/>
          <w:szCs w:val="20"/>
          <w:color w:val="auto"/>
        </w:rPr>
      </w:pPr>
    </w:p>
    <w:p>
      <w:pPr>
        <w:ind w:left="780" w:right="160" w:firstLine="519"/>
        <w:spacing w:after="0" w:line="264" w:lineRule="auto"/>
        <w:rPr>
          <w:sz w:val="20"/>
          <w:szCs w:val="20"/>
          <w:color w:val="auto"/>
        </w:rPr>
      </w:pPr>
      <w:r>
        <w:rPr>
          <w:rFonts w:ascii="Arial" w:cs="Arial" w:eastAsia="Arial" w:hAnsi="Arial"/>
          <w:sz w:val="18"/>
          <w:szCs w:val="18"/>
          <w:color w:val="auto"/>
        </w:rPr>
        <w:t>3.12.6. No settlement or consents, covenants not to sue, nonassertion assurances, or releases have been entered into by any Grantor or to which any Grantor is bound that adversely affects its rights to own or use any Specified Intellectual Property except as could not be reasonably expected to result in a Material Adverse Effect, in each case individually or in the aggregate.</w:t>
      </w:r>
    </w:p>
    <w:p>
      <w:pPr>
        <w:spacing w:after="0" w:line="181" w:lineRule="exact"/>
        <w:rPr>
          <w:sz w:val="20"/>
          <w:szCs w:val="20"/>
          <w:color w:val="auto"/>
        </w:rPr>
      </w:pPr>
    </w:p>
    <w:p>
      <w:pPr>
        <w:jc w:val="both"/>
        <w:ind w:left="780" w:right="60" w:firstLine="519"/>
        <w:spacing w:after="0" w:line="259" w:lineRule="auto"/>
        <w:rPr>
          <w:sz w:val="20"/>
          <w:szCs w:val="20"/>
          <w:color w:val="auto"/>
        </w:rPr>
      </w:pPr>
      <w:r>
        <w:rPr>
          <w:rFonts w:ascii="Arial" w:cs="Arial" w:eastAsia="Arial" w:hAnsi="Arial"/>
          <w:sz w:val="18"/>
          <w:szCs w:val="18"/>
          <w:color w:val="auto"/>
        </w:rPr>
        <w:t>3.12.7. No Grantor has received any written notice that remains outstanding challenging the validity, enforceability, or ownership of any Specified Intellectual Property except where those challenges could not reasonably be expected to result in a Material Adverse Effect, and to such Grantor’s knowledge as of the Effective Date (or, in the case of a Subsequent Grantor, the date of its Security Agreement Supplement) there are no facts upon which such a challenge could be made.</w:t>
      </w:r>
    </w:p>
    <w:p>
      <w:pPr>
        <w:spacing w:after="0" w:line="187" w:lineRule="exact"/>
        <w:rPr>
          <w:sz w:val="20"/>
          <w:szCs w:val="20"/>
          <w:color w:val="auto"/>
        </w:rPr>
      </w:pPr>
    </w:p>
    <w:p>
      <w:pPr>
        <w:ind w:left="780" w:right="500" w:firstLine="519"/>
        <w:spacing w:after="0" w:line="277" w:lineRule="auto"/>
        <w:rPr>
          <w:sz w:val="20"/>
          <w:szCs w:val="20"/>
          <w:color w:val="auto"/>
        </w:rPr>
      </w:pPr>
      <w:r>
        <w:rPr>
          <w:rFonts w:ascii="Arial" w:cs="Arial" w:eastAsia="Arial" w:hAnsi="Arial"/>
          <w:sz w:val="18"/>
          <w:szCs w:val="18"/>
          <w:color w:val="auto"/>
        </w:rPr>
        <w:t>3.12.8. Each Grantor owns directly or is entitled to use, by license or otherwise, all Specified Intellectual Property necessary for the conduct of such Grantor’s business.</w:t>
      </w:r>
    </w:p>
    <w:p>
      <w:pPr>
        <w:sectPr>
          <w:pgSz w:w="11900" w:h="16929" w:orient="portrait"/>
          <w:cols w:equalWidth="0" w:num="1">
            <w:col w:w="11420"/>
          </w:cols>
          <w:pgMar w:left="240" w:top="121" w:right="239" w:bottom="0" w:gutter="0" w:footer="0" w:header="0"/>
        </w:sectPr>
      </w:pPr>
    </w:p>
    <w:bookmarkStart w:id="212" w:name="page213"/>
    <w:bookmarkEnd w:id="212"/>
    <w:p>
      <w:pPr>
        <w:ind w:left="780" w:right="700" w:firstLine="519"/>
        <w:spacing w:after="0" w:line="277" w:lineRule="auto"/>
        <w:rPr>
          <w:sz w:val="20"/>
          <w:szCs w:val="20"/>
          <w:color w:val="auto"/>
        </w:rPr>
      </w:pPr>
      <w:r>
        <w:rPr>
          <w:rFonts w:ascii="Arial" w:cs="Arial" w:eastAsia="Arial" w:hAnsi="Arial"/>
          <w:sz w:val="18"/>
          <w:szCs w:val="18"/>
          <w:color w:val="auto"/>
        </w:rPr>
        <w:t>3.12.9. The consummation of the transactions contemplated by the Loan Documents will not result in the termination or material impairment of any of the Specified Intellectual Property.</w:t>
      </w:r>
    </w:p>
    <w:p>
      <w:pPr>
        <w:spacing w:after="0" w:line="170" w:lineRule="exact"/>
        <w:rPr>
          <w:sz w:val="20"/>
          <w:szCs w:val="20"/>
          <w:color w:val="auto"/>
        </w:rPr>
      </w:pPr>
    </w:p>
    <w:p>
      <w:pPr>
        <w:ind w:left="780" w:right="660" w:firstLine="519"/>
        <w:spacing w:after="0" w:line="277" w:lineRule="auto"/>
        <w:rPr>
          <w:sz w:val="20"/>
          <w:szCs w:val="20"/>
          <w:color w:val="auto"/>
        </w:rPr>
      </w:pPr>
      <w:r>
        <w:rPr>
          <w:rFonts w:ascii="Arial" w:cs="Arial" w:eastAsia="Arial" w:hAnsi="Arial"/>
          <w:sz w:val="18"/>
          <w:szCs w:val="18"/>
          <w:color w:val="auto"/>
        </w:rPr>
        <w:t>3.12.10. Each party hereto acknowledges that certain Specified Intellectual Property is owned in part by the Grantors and in part by Affiliates of the Grantors.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Specified Deposit Accounts and Securities Accounts</w:t>
      </w:r>
      <w:r>
        <w:rPr>
          <w:rFonts w:ascii="Arial" w:cs="Arial" w:eastAsia="Arial" w:hAnsi="Arial"/>
          <w:sz w:val="18"/>
          <w:szCs w:val="18"/>
          <w:color w:val="auto"/>
        </w:rPr>
        <w:t xml:space="preserve">. All of such Grantor’s Specified Deposit Accounts and such Grantor’s Securities Accounts to which any Current Assets are credited as of the applicable Determination Date are listed on </w:t>
      </w:r>
      <w:r>
        <w:rPr>
          <w:rFonts w:ascii="Arial" w:cs="Arial" w:eastAsia="Arial" w:hAnsi="Arial"/>
          <w:sz w:val="18"/>
          <w:szCs w:val="18"/>
          <w:u w:val="single" w:color="auto"/>
          <w:color w:val="auto"/>
        </w:rPr>
        <w:t>Exhibit “H”</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From the date of this Security Agreement and thereafter until this Security Agreement is terminated, each of the Initial Grantors agrees, and from and after the effective date of any Security Agreement Supplement applicable to any Subsequent Grantor (and after giving effect to supplements to each of the Exhibits hereto with respect to such Subsequent Grantor as attached to such Security Agreement Supplement) and thereafter until this Security Agreement is terminated each such Subsequent Grantor agrees: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General</w:t>
      </w:r>
      <w:r>
        <w:rPr>
          <w:rFonts w:ascii="Arial" w:cs="Arial" w:eastAsia="Arial" w:hAnsi="Arial"/>
          <w:sz w:val="15"/>
          <w:szCs w:val="15"/>
          <w:color w:val="auto"/>
        </w:rPr>
        <w:t>.</w:t>
      </w:r>
    </w:p>
    <w:p>
      <w:pPr>
        <w:spacing w:after="0" w:line="22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Reserved</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Reserved</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29" w:lineRule="exact"/>
        <w:rPr>
          <w:sz w:val="20"/>
          <w:szCs w:val="20"/>
          <w:color w:val="auto"/>
        </w:rPr>
      </w:pPr>
    </w:p>
    <w:p>
      <w:pPr>
        <w:ind w:left="660" w:right="380" w:firstLine="648"/>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Records</w:t>
      </w:r>
      <w:r>
        <w:rPr>
          <w:rFonts w:ascii="Arial" w:cs="Arial" w:eastAsia="Arial" w:hAnsi="Arial"/>
          <w:sz w:val="18"/>
          <w:szCs w:val="18"/>
          <w:color w:val="auto"/>
        </w:rPr>
        <w:t>. Each Grantor shall keep and maintain, in a manner consistent with prudent business practices, reasonably complete, accurate and proper books and records with respect to the Collateral owned by such Grantor.</w:t>
      </w:r>
    </w:p>
    <w:p>
      <w:pPr>
        <w:spacing w:after="0" w:line="170" w:lineRule="exact"/>
        <w:rPr>
          <w:sz w:val="20"/>
          <w:szCs w:val="20"/>
          <w:color w:val="auto"/>
        </w:rPr>
      </w:pPr>
    </w:p>
    <w:p>
      <w:pPr>
        <w:ind w:left="660" w:right="180" w:firstLine="648"/>
        <w:spacing w:after="0" w:line="269" w:lineRule="auto"/>
        <w:rPr>
          <w:sz w:val="20"/>
          <w:szCs w:val="20"/>
          <w:color w:val="auto"/>
        </w:rPr>
      </w:pPr>
      <w:r>
        <w:rPr>
          <w:rFonts w:ascii="Arial" w:cs="Arial" w:eastAsia="Arial" w:hAnsi="Arial"/>
          <w:sz w:val="17"/>
          <w:szCs w:val="17"/>
          <w:color w:val="auto"/>
        </w:rPr>
        <w:t xml:space="preserve">4.1.4. </w:t>
      </w:r>
      <w:r>
        <w:rPr>
          <w:rFonts w:ascii="Arial" w:cs="Arial" w:eastAsia="Arial" w:hAnsi="Arial"/>
          <w:sz w:val="17"/>
          <w:szCs w:val="17"/>
          <w:u w:val="single" w:color="auto"/>
          <w:color w:val="auto"/>
        </w:rPr>
        <w:t>Financing Statements and Other Actions; Defense of Title</w:t>
      </w:r>
      <w:r>
        <w:rPr>
          <w:rFonts w:ascii="Arial" w:cs="Arial" w:eastAsia="Arial" w:hAnsi="Arial"/>
          <w:sz w:val="17"/>
          <w:szCs w:val="17"/>
          <w:color w:val="auto"/>
        </w:rPr>
        <w:t xml:space="preserve">. Each Grantor hereby authorizes the Collateral Agent to file, and if requested will execute and deliver to the Collateral Agent, all financing statements describing the Collateral owned by such Grantor and other documents and take such other actions as may from time to time reasonably be requested by the Collateral Agent in order to maintain a perfected security interest in and, if applicable, Control of, the Collateral owned by such Grantor, prior to any other Lien on any of the Collateral, other than Liens permitted under Section 8.04 of the Credit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provided in the Intercreditor Agreement, nothing herein shall be deemed to constitute an agreement to subordinate any of the Liens of the Collateral Agent under the Loan Documents to any Liens otherwise permitted under Section 8.04 of the Credit Agreement. Such financing statements may describe the Collateral in the same manner as described herein or may contain an indication or description of Collateral that describes such Collateral in any other manner as the Collateral Agent may reasonably determine is necessary, advisable or prudent to ensure the perfection of the security interest in the Collateral granted to the Collateral Agent herein. Each Grantor will take any and all actions reasonably necessary to defend title to the Collateral owned by such Grantor against all persons and to defend the security interest of the Collateral Agent in such Collateral and the priority thereof against any Lien, in each case, not expressly permitted hereunder or under the Credit Agreement.</w:t>
      </w:r>
    </w:p>
    <w:p>
      <w:pPr>
        <w:spacing w:after="0" w:line="17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u w:val="single" w:color="auto"/>
          <w:color w:val="auto"/>
        </w:rPr>
        <w:t>Reserved</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u w:val="single" w:color="auto"/>
          <w:color w:val="auto"/>
        </w:rPr>
        <w:t>Reserved</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2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u w:val="single" w:color="auto"/>
          <w:color w:val="auto"/>
        </w:rPr>
        <w:t>Change in Corporate Existence, Type or Jurisdiction of Organization, Location, Name</w:t>
      </w:r>
      <w:r>
        <w:rPr>
          <w:rFonts w:ascii="Arial" w:cs="Arial" w:eastAsia="Arial" w:hAnsi="Arial"/>
          <w:sz w:val="16"/>
          <w:szCs w:val="16"/>
          <w:color w:val="auto"/>
        </w:rPr>
        <w:t>. Each Grantor will:</w:t>
      </w:r>
    </w:p>
    <w:p>
      <w:pPr>
        <w:spacing w:after="0" w:line="225" w:lineRule="exact"/>
        <w:rPr>
          <w:sz w:val="20"/>
          <w:szCs w:val="20"/>
          <w:color w:val="auto"/>
        </w:rPr>
      </w:pPr>
    </w:p>
    <w:p>
      <w:pPr>
        <w:ind w:left="1300" w:right="240" w:firstLine="653"/>
        <w:spacing w:after="0" w:line="308" w:lineRule="auto"/>
        <w:tabs>
          <w:tab w:leader="none" w:pos="2658" w:val="left"/>
        </w:tabs>
        <w:numPr>
          <w:ilvl w:val="0"/>
          <w:numId w:val="524"/>
        </w:numPr>
        <w:rPr>
          <w:rFonts w:ascii="Arial" w:cs="Arial" w:eastAsia="Arial" w:hAnsi="Arial"/>
          <w:sz w:val="17"/>
          <w:szCs w:val="17"/>
          <w:color w:val="auto"/>
        </w:rPr>
      </w:pPr>
      <w:r>
        <w:rPr>
          <w:rFonts w:ascii="Arial" w:cs="Arial" w:eastAsia="Arial" w:hAnsi="Arial"/>
          <w:sz w:val="17"/>
          <w:szCs w:val="17"/>
          <w:color w:val="auto"/>
        </w:rPr>
        <w:t>preserve its existence and corporate structure as in effect on the Effective Date or, in the case of a Subsequent Grantor, the date of its Security Agreement Supplement (in each case, except as permitted by the Credit Agreement);</w:t>
      </w:r>
    </w:p>
    <w:p>
      <w:pPr>
        <w:spacing w:after="0" w:line="146" w:lineRule="exact"/>
        <w:rPr>
          <w:rFonts w:ascii="Arial" w:cs="Arial" w:eastAsia="Arial" w:hAnsi="Arial"/>
          <w:sz w:val="17"/>
          <w:szCs w:val="17"/>
          <w:color w:val="auto"/>
        </w:rPr>
      </w:pPr>
    </w:p>
    <w:p>
      <w:pPr>
        <w:ind w:left="2660" w:hanging="707"/>
        <w:spacing w:after="0"/>
        <w:tabs>
          <w:tab w:leader="none" w:pos="26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not change its name or jurisdiction of organization;</w:t>
      </w:r>
    </w:p>
    <w:p>
      <w:pPr>
        <w:spacing w:after="0" w:line="225" w:lineRule="exact"/>
        <w:rPr>
          <w:rFonts w:ascii="Arial" w:cs="Arial" w:eastAsia="Arial" w:hAnsi="Arial"/>
          <w:sz w:val="18"/>
          <w:szCs w:val="18"/>
          <w:color w:val="auto"/>
        </w:rPr>
      </w:pPr>
    </w:p>
    <w:p>
      <w:pPr>
        <w:ind w:left="1300" w:right="620" w:firstLine="653"/>
        <w:spacing w:after="0" w:line="277" w:lineRule="auto"/>
        <w:tabs>
          <w:tab w:leader="none" w:pos="2668" w:val="left"/>
        </w:tabs>
        <w:numPr>
          <w:ilvl w:val="0"/>
          <w:numId w:val="524"/>
        </w:numPr>
        <w:rPr>
          <w:rFonts w:ascii="Arial" w:cs="Arial" w:eastAsia="Arial" w:hAnsi="Arial"/>
          <w:sz w:val="18"/>
          <w:szCs w:val="18"/>
          <w:color w:val="auto"/>
        </w:rPr>
      </w:pPr>
      <w:r>
        <w:rPr>
          <w:rFonts w:ascii="Arial" w:cs="Arial" w:eastAsia="Arial" w:hAnsi="Arial"/>
          <w:sz w:val="18"/>
          <w:szCs w:val="18"/>
          <w:color w:val="auto"/>
        </w:rPr>
        <w:t xml:space="preserve">not maintain its place of business (if it has only one) or its chief executive office (if it has more than one place of business) at a location other than a location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40" w:firstLine="653"/>
        <w:spacing w:after="0" w:line="286" w:lineRule="auto"/>
        <w:tabs>
          <w:tab w:leader="none" w:pos="2658" w:val="left"/>
        </w:tabs>
        <w:numPr>
          <w:ilvl w:val="0"/>
          <w:numId w:val="525"/>
        </w:numPr>
        <w:rPr>
          <w:rFonts w:ascii="Arial" w:cs="Arial" w:eastAsia="Arial" w:hAnsi="Arial"/>
          <w:sz w:val="17"/>
          <w:szCs w:val="17"/>
          <w:color w:val="auto"/>
        </w:rPr>
      </w:pPr>
      <w:r>
        <w:rPr>
          <w:rFonts w:ascii="Arial" w:cs="Arial" w:eastAsia="Arial" w:hAnsi="Arial"/>
          <w:sz w:val="17"/>
          <w:szCs w:val="17"/>
          <w:color w:val="auto"/>
        </w:rPr>
        <w:t>not change its taxpayer identification number or its mailing address, unless, in each such case, such Grantor shall have given the Collateral Agent (with a copy to the Administrative Agent) not less than ten (10) days</w:t>
      </w:r>
      <w:r>
        <w:rPr>
          <w:rFonts w:ascii="Arial" w:cs="Arial" w:eastAsia="Arial" w:hAnsi="Arial"/>
          <w:sz w:val="16"/>
          <w:szCs w:val="16"/>
          <w:color w:val="auto"/>
        </w:rPr>
        <w:t>’</w:t>
      </w:r>
      <w:r>
        <w:rPr>
          <w:rFonts w:ascii="Arial" w:cs="Arial" w:eastAsia="Arial" w:hAnsi="Arial"/>
          <w:sz w:val="17"/>
          <w:szCs w:val="17"/>
          <w:color w:val="auto"/>
        </w:rPr>
        <w:t xml:space="preserve"> (or such shorter prior period as the Collateral Agent or the Administrative Agent may agree) prior written notice of such event or occurrence.</w:t>
      </w:r>
    </w:p>
    <w:p>
      <w:pPr>
        <w:spacing w:after="0" w:line="166" w:lineRule="exact"/>
        <w:rPr>
          <w:sz w:val="20"/>
          <w:szCs w:val="20"/>
          <w:color w:val="auto"/>
        </w:rPr>
      </w:pPr>
    </w:p>
    <w:p>
      <w:pPr>
        <w:ind w:left="660" w:right="120" w:firstLine="648"/>
        <w:spacing w:after="0" w:line="273" w:lineRule="auto"/>
        <w:rPr>
          <w:sz w:val="20"/>
          <w:szCs w:val="20"/>
          <w:color w:val="auto"/>
        </w:rPr>
      </w:pPr>
      <w:r>
        <w:rPr>
          <w:rFonts w:ascii="Arial" w:cs="Arial" w:eastAsia="Arial" w:hAnsi="Arial"/>
          <w:sz w:val="17"/>
          <w:szCs w:val="17"/>
          <w:color w:val="auto"/>
        </w:rPr>
        <w:t xml:space="preserve">4.1.8. </w:t>
      </w:r>
      <w:r>
        <w:rPr>
          <w:rFonts w:ascii="Arial" w:cs="Arial" w:eastAsia="Arial" w:hAnsi="Arial"/>
          <w:sz w:val="17"/>
          <w:szCs w:val="17"/>
          <w:u w:val="single" w:color="auto"/>
          <w:color w:val="auto"/>
        </w:rPr>
        <w:t>Other Financing Statements</w:t>
      </w:r>
      <w:r>
        <w:rPr>
          <w:rFonts w:ascii="Arial" w:cs="Arial" w:eastAsia="Arial" w:hAnsi="Arial"/>
          <w:sz w:val="17"/>
          <w:szCs w:val="17"/>
          <w:color w:val="auto"/>
        </w:rPr>
        <w:t xml:space="preserve">. No Grantor will suffer to exist or authorize the filing of any financing statement naming it as debtor covering all or any portion of the Collateral owned by such Grantor, except any financing statement authorized under </w:t>
      </w:r>
      <w:r>
        <w:rPr>
          <w:rFonts w:ascii="Arial" w:cs="Arial" w:eastAsia="Arial" w:hAnsi="Arial"/>
          <w:sz w:val="17"/>
          <w:szCs w:val="17"/>
          <w:u w:val="single" w:color="auto"/>
          <w:color w:val="auto"/>
        </w:rPr>
        <w:t>Section 4.1.4</w:t>
      </w:r>
      <w:r>
        <w:rPr>
          <w:rFonts w:ascii="Arial" w:cs="Arial" w:eastAsia="Arial" w:hAnsi="Arial"/>
          <w:sz w:val="17"/>
          <w:szCs w:val="17"/>
          <w:color w:val="auto"/>
        </w:rPr>
        <w:t xml:space="preserve"> hereof or in respect of a Lien permitted under the Credit Agreement. Each Grantor acknowledges that it is not authorized to file any financing statement or amendment or termination statement with respect to any financing statement filed in connection herewith prior to termination of this Security Agreement in accordance with the first sentence of </w:t>
      </w:r>
      <w:r>
        <w:rPr>
          <w:rFonts w:ascii="Arial" w:cs="Arial" w:eastAsia="Arial" w:hAnsi="Arial"/>
          <w:sz w:val="17"/>
          <w:szCs w:val="17"/>
          <w:u w:val="single" w:color="auto"/>
          <w:color w:val="auto"/>
        </w:rPr>
        <w:t>Section 8.14</w:t>
      </w:r>
      <w:r>
        <w:rPr>
          <w:rFonts w:ascii="Arial" w:cs="Arial" w:eastAsia="Arial" w:hAnsi="Arial"/>
          <w:sz w:val="17"/>
          <w:szCs w:val="17"/>
          <w:color w:val="auto"/>
        </w:rPr>
        <w:t xml:space="preserve"> without the prior written consent of the Collateral Agent (as directed by the Administrative Agent), subject to such Grantor’s rights under Section 9-509(d)(2) of the UCC.</w:t>
      </w:r>
    </w:p>
    <w:p>
      <w:pPr>
        <w:spacing w:after="0" w:line="17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Receivables</w:t>
      </w:r>
      <w:r>
        <w:rPr>
          <w:rFonts w:ascii="Arial" w:cs="Arial" w:eastAsia="Arial" w:hAnsi="Arial"/>
          <w:sz w:val="15"/>
          <w:szCs w:val="15"/>
          <w:color w:val="auto"/>
        </w:rPr>
        <w:t>.</w:t>
      </w:r>
    </w:p>
    <w:p>
      <w:pPr>
        <w:sectPr>
          <w:pgSz w:w="11900" w:h="16838" w:orient="portrait"/>
          <w:cols w:equalWidth="0" w:num="1">
            <w:col w:w="11420"/>
          </w:cols>
          <w:pgMar w:left="240" w:top="342" w:right="239" w:bottom="0" w:gutter="0" w:footer="0" w:header="0"/>
        </w:sectPr>
      </w:pPr>
    </w:p>
    <w:bookmarkStart w:id="213" w:name="page214"/>
    <w:bookmarkEnd w:id="213"/>
    <w:p>
      <w:pPr>
        <w:spacing w:after="0" w:line="94" w:lineRule="exact"/>
        <w:rPr>
          <w:sz w:val="20"/>
          <w:szCs w:val="20"/>
          <w:color w:val="auto"/>
        </w:rPr>
      </w:pPr>
    </w:p>
    <w:p>
      <w:pPr>
        <w:ind w:left="660" w:right="40" w:firstLine="648"/>
        <w:spacing w:after="0" w:line="297"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u w:val="single" w:color="auto"/>
          <w:color w:val="auto"/>
        </w:rPr>
        <w:t>Certain Agreements on Receivables</w:t>
      </w:r>
      <w:r>
        <w:rPr>
          <w:rFonts w:ascii="Arial" w:cs="Arial" w:eastAsia="Arial" w:hAnsi="Arial"/>
          <w:sz w:val="16"/>
          <w:szCs w:val="16"/>
          <w:color w:val="auto"/>
        </w:rPr>
        <w:t>. During the occurrence and continuation of an Event of Default, no Grantor will make or agree to make any discount, credit, rebate or other reduction in the original amount owing on a Receivable or accept in satisfaction of a Receivable less than the original amount thereof, except as permitted by the Credit Agreement. Prior to the occurrence and continuation of an Event of Default, such Grantor may, in its sole discretion, adjust the amount of Accounts arising from the sale of Inventory or the rendering of services in substantially accordance with its present policies and in the ordinary course of business and as otherwise permitted under the Credit Agreement.</w:t>
      </w:r>
    </w:p>
    <w:p>
      <w:pPr>
        <w:spacing w:after="0" w:line="158" w:lineRule="exact"/>
        <w:rPr>
          <w:sz w:val="20"/>
          <w:szCs w:val="20"/>
          <w:color w:val="auto"/>
        </w:rPr>
      </w:pPr>
    </w:p>
    <w:p>
      <w:pPr>
        <w:ind w:left="660" w:right="260" w:firstLine="648"/>
        <w:spacing w:after="0" w:line="264"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Collection of Receivables</w:t>
      </w:r>
      <w:r>
        <w:rPr>
          <w:rFonts w:ascii="Arial" w:cs="Arial" w:eastAsia="Arial" w:hAnsi="Arial"/>
          <w:sz w:val="18"/>
          <w:szCs w:val="18"/>
          <w:color w:val="auto"/>
        </w:rPr>
        <w:t>. Except as otherwise provided in this Security Agreement or as otherwise permitted under the Credit Agreement, each Grantor will use commercially reasonable efforts to collect and enforce, at such Grantor’s sole expense, all amounts due or hereafter due to such Grantor under the Receivables owned by such Grantor.</w:t>
      </w:r>
    </w:p>
    <w:p>
      <w:pPr>
        <w:spacing w:after="0" w:line="181" w:lineRule="exact"/>
        <w:rPr>
          <w:sz w:val="20"/>
          <w:szCs w:val="20"/>
          <w:color w:val="auto"/>
        </w:rPr>
      </w:pPr>
    </w:p>
    <w:p>
      <w:pPr>
        <w:ind w:left="660" w:right="120" w:firstLine="648"/>
        <w:spacing w:after="0" w:line="286" w:lineRule="auto"/>
        <w:rPr>
          <w:sz w:val="20"/>
          <w:szCs w:val="20"/>
          <w:color w:val="auto"/>
        </w:rPr>
      </w:pPr>
      <w:r>
        <w:rPr>
          <w:rFonts w:ascii="Arial" w:cs="Arial" w:eastAsia="Arial" w:hAnsi="Arial"/>
          <w:sz w:val="17"/>
          <w:szCs w:val="17"/>
          <w:color w:val="auto"/>
        </w:rPr>
        <w:t xml:space="preserve">4.2.3. </w:t>
      </w:r>
      <w:r>
        <w:rPr>
          <w:rFonts w:ascii="Arial" w:cs="Arial" w:eastAsia="Arial" w:hAnsi="Arial"/>
          <w:sz w:val="17"/>
          <w:szCs w:val="17"/>
          <w:u w:val="single" w:color="auto"/>
          <w:color w:val="auto"/>
        </w:rPr>
        <w:t>Delivery of Invoices</w:t>
      </w:r>
      <w:r>
        <w:rPr>
          <w:rFonts w:ascii="Arial" w:cs="Arial" w:eastAsia="Arial" w:hAnsi="Arial"/>
          <w:sz w:val="17"/>
          <w:szCs w:val="17"/>
          <w:color w:val="auto"/>
        </w:rPr>
        <w:t>. Each Grantor will deliver to the Collateral Agent promptly upon its request after the occurrence and during the continuance of an Event of Default duplicate invoices with respect to each Account constituting Collateral owned by such Grantor and, if requested by the Collateral Agent, bearing such language of assignment as the Collateral Agent shall reasonably specify.</w:t>
      </w:r>
    </w:p>
    <w:p>
      <w:pPr>
        <w:spacing w:after="0" w:line="166" w:lineRule="exact"/>
        <w:rPr>
          <w:sz w:val="20"/>
          <w:szCs w:val="20"/>
          <w:color w:val="auto"/>
        </w:rPr>
      </w:pPr>
    </w:p>
    <w:p>
      <w:pPr>
        <w:ind w:left="660" w:right="40" w:firstLine="648"/>
        <w:spacing w:after="0" w:line="259" w:lineRule="auto"/>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Disclosure of Counterclaim on Receivables</w:t>
      </w:r>
      <w:r>
        <w:rPr>
          <w:rFonts w:ascii="Arial" w:cs="Arial" w:eastAsia="Arial" w:hAnsi="Arial"/>
          <w:sz w:val="18"/>
          <w:szCs w:val="18"/>
          <w:color w:val="auto"/>
        </w:rPr>
        <w:t>. After the occurrence and during the continuation of an Event of Default, if (i) any discount, credit or agreement to make a rebate or to otherwise reduce the amount owing on a Receivable owned by such Grantor exists or (ii) to the knowledge of such Grantor, any dispute, setoff, claim, counterclaim or defense exists or has been asserted or threatened with respect to a Receivable, such Grantor will disclose such fact to the Collateral Agent in writing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connection with the inspection by the Collateral Agent of any record of such Grantor relating to such Receivable and in connection with any invoice or report furnished by such Grantor to the Collateral Agent relating to such Receivable.</w:t>
      </w:r>
    </w:p>
    <w:p>
      <w:pPr>
        <w:spacing w:after="0" w:line="170" w:lineRule="exact"/>
        <w:rPr>
          <w:sz w:val="20"/>
          <w:szCs w:val="20"/>
          <w:color w:val="auto"/>
        </w:rPr>
      </w:pPr>
    </w:p>
    <w:p>
      <w:pPr>
        <w:ind w:left="660" w:right="40" w:firstLine="648"/>
        <w:spacing w:after="0" w:line="289" w:lineRule="auto"/>
        <w:rPr>
          <w:sz w:val="20"/>
          <w:szCs w:val="20"/>
          <w:color w:val="auto"/>
        </w:rPr>
      </w:pPr>
      <w:r>
        <w:rPr>
          <w:rFonts w:ascii="Arial" w:cs="Arial" w:eastAsia="Arial" w:hAnsi="Arial"/>
          <w:sz w:val="16"/>
          <w:szCs w:val="16"/>
          <w:color w:val="auto"/>
        </w:rPr>
        <w:t xml:space="preserve">4.2.5. </w:t>
      </w:r>
      <w:r>
        <w:rPr>
          <w:rFonts w:ascii="Arial" w:cs="Arial" w:eastAsia="Arial" w:hAnsi="Arial"/>
          <w:sz w:val="16"/>
          <w:szCs w:val="16"/>
          <w:u w:val="single" w:color="auto"/>
          <w:color w:val="auto"/>
        </w:rPr>
        <w:t>Electronic Chattel Paper</w:t>
      </w:r>
      <w:r>
        <w:rPr>
          <w:rFonts w:ascii="Arial" w:cs="Arial" w:eastAsia="Arial" w:hAnsi="Arial"/>
          <w:sz w:val="16"/>
          <w:szCs w:val="16"/>
          <w:color w:val="auto"/>
        </w:rPr>
        <w:t>. Each Grantor shall promptly notify the Collateral Agent if any amount in excess of $5,000,000, individually, or $10,000,000 in the aggregate becomes payable under or in connection with any electronic chattel paper or a “transferable record” (as defined in the UETA), in each case constituting Collateral, and shall take such action as the Collateral Agent may reasonably request to establish, subject to the terms of the Intercreditor Agreement, the Collateral Agent’s Control of such electronic chattel paper or transferable record. The Collateral Agent agrees with such Grantor that the Collateral Agent will arrange, pursuant to procedures reasonably satisfactory to the Collateral Agent and so long as such procedures will not result in the Collateral Agent’s loss of Control (subject to the terms of the Intercreditor Agreement), for the Grantor to make alterations to the electronic chattel paper or transferable record permitted under Section 9-105 of the UCC or Section 16 of the UETA for a party in Control to allow without loss of Control, unless an Event of Default has occurred and is continuing or would occur after taking into account any action by such Grantor with respect to such electronic chattel paper or transferable record.</w:t>
      </w:r>
    </w:p>
    <w:p>
      <w:pPr>
        <w:spacing w:after="0" w:line="16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Maintenance of Goods</w:t>
      </w:r>
      <w:r>
        <w:rPr>
          <w:rFonts w:ascii="Arial" w:cs="Arial" w:eastAsia="Arial" w:hAnsi="Arial"/>
          <w:sz w:val="18"/>
          <w:szCs w:val="18"/>
          <w:color w:val="auto"/>
        </w:rPr>
        <w:t>. Each Grantor will do all things reasonably necessary to maintain, preserve, protect and keep the Inventory and the Equipment owned by such Grantor and constituting Collateral in good repair, working order and saleable condition (ordinary wear and tear excepted) and make all necessary and proper repairs, renewals and replacements so that its business carried on in connection therewith may be conducted in the ordinary course, consistent with past practices, except in each case where the failure to do so, individually or in the aggregate, could not reasonably be expected to have a Material Adverse Effect.</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Instruments, Securities, Chattel Paper, Documents and Pledged Deposits</w:t>
      </w:r>
      <w:r>
        <w:rPr>
          <w:rFonts w:ascii="Arial" w:cs="Arial" w:eastAsia="Arial" w:hAnsi="Arial"/>
          <w:sz w:val="16"/>
          <w:szCs w:val="16"/>
          <w:color w:val="auto"/>
        </w:rPr>
        <w:t xml:space="preserve">. Each Grantor will (i) deliver to the Collateral Agent immediately upon execution of this Security Agreement the originals of all Chattel Paper and Instruments (other than Intercompany Instruments;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Intercompany Instruments shall not be delivered to any Person which is not a Grantor, the Term Loan Agent or the Collateral Agent), in each case, to the extent evidencing amounts in excess of $5,000,000 individually, or $10,000,000 in the aggregate, and constituting Collateral (if any then exist), and Securities constituting Collateral (to the extent certificated),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each Grantor shall be deemed to have complied with this requirement to the extent that the Term Loan Agent has received such Chattel Paper, Instruments (other than Intercompany Instruments) or Securities as a bailee of the Collateral Agent in a manner consistent with the Intercreditor Agreement, (ii) hold in trust for the Collateral Agent upon receipt and promptly thereafter deliver to the Collateral Agent any Chattel Paper and Instruments (other than Intercompany Instruments;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Intercompany Instruments shall not be delivered to any Person which is not a Grantor, the Term Loan Agent or the Collateral Agent), in each case, to the extent evidencing amounts in excess of $5,000,000 individually or $10,000,000 in the aggregate, and constituting Collateral (if any then exist), and Securities constituting Collateral (to the extent certificated),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each Grantor shall be deemed to have complied with this requirement to the extent that the Term Loan Agent has received such Chattel Paper, Instruments (other than Intercompany Instruments) or Securities as a bailee of the Collateral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Agent in a manner consistent with the Intercreditor Agreement, (iii) upon the designation by a Grantor of any Pledged Deposits (as set forth in the definition thereof) as Collateral, deliver to the Collateral Agent such Pledged Deposits which are evidenced by certificates included in the Collateral endorsed in blank, marked with such legends and assigned as the Collateral Agent shall reasonably specify,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each Grantor shall be deemed to have complied with this requirement to the extent that the Term Loan Agent has received such certificates as a bailee of the Collateral Agent in a manner consistent with the Intercreditor Agreement and (iv) upon the Collateral Agent</w:t>
      </w:r>
      <w:r>
        <w:rPr>
          <w:rFonts w:ascii="Arial" w:cs="Arial" w:eastAsia="Arial" w:hAnsi="Arial"/>
          <w:sz w:val="16"/>
          <w:szCs w:val="16"/>
          <w:color w:val="auto"/>
        </w:rPr>
        <w:t>’</w:t>
      </w:r>
      <w:r>
        <w:rPr>
          <w:rFonts w:ascii="Arial" w:cs="Arial" w:eastAsia="Arial" w:hAnsi="Arial"/>
          <w:sz w:val="17"/>
          <w:szCs w:val="17"/>
          <w:color w:val="auto"/>
        </w:rPr>
        <w:t>s request, after the occurrence and during the continuance of an Event of Default, subject to the Intercreditor Agreement, deliver to the Collateral Agent (and thereafter hold in trust for the Collateral Agent upon receipt and promptly deliver to the Collateral Agent) any Document evidencing or constituting Collateral.</w:t>
      </w:r>
    </w:p>
    <w:p>
      <w:pPr>
        <w:spacing w:after="0" w:line="17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Uncertificated Securities and Certain Other Investment Property.</w:t>
      </w:r>
      <w:r>
        <w:rPr>
          <w:rFonts w:ascii="Arial" w:cs="Arial" w:eastAsia="Arial" w:hAnsi="Arial"/>
          <w:sz w:val="16"/>
          <w:szCs w:val="16"/>
          <w:color w:val="auto"/>
        </w:rPr>
        <w:t xml:space="preserve"> Subject to the Intercreditor Agreement, each Grantor will, following the reasonable request of the Collateral Agent (and after the occurrence and during the continuance of an Event of Default, will permit the Collateral Agent) from time to time to cause the appropriate issuers (and, if held with a securities intermediary, such securities intermediary) of uncertificated securities or other types of Investment Property owned by such Grantor and in each case constituting Collateral that are not represented by certificates which are Collateral to mark their books and records with the numbers and face amounts of all such uncertificated securities or other types of Investment Property not represented by certificates and all rollovers and replacements therefor to reflect the Lien of the Collateral Agent granted pursuant to this Security Agreement. With respect to Investment Property having a value in excess of $5,000,000 individually or $10,000,000 in the aggregate and constituting Collateral owned by such Grantor held with a financial intermediary (including in a Securities Account), such Grantor shall, on the date specified in Schedule 7.11 of the Credit Agreement, on such later date on which it becomes a Grantor hereunder or on any other date required by Section 7.08 of the Credit Agreement (in each case, or such later</w:t>
      </w:r>
    </w:p>
    <w:p>
      <w:pPr>
        <w:sectPr>
          <w:pgSz w:w="11900" w:h="16932" w:orient="portrait"/>
          <w:cols w:equalWidth="0" w:num="1">
            <w:col w:w="11420"/>
          </w:cols>
          <w:pgMar w:left="240" w:top="125" w:right="239" w:bottom="0" w:gutter="0" w:footer="0" w:header="0"/>
        </w:sectPr>
      </w:pPr>
    </w:p>
    <w:bookmarkStart w:id="214" w:name="page215"/>
    <w:bookmarkEnd w:id="214"/>
    <w:p>
      <w:pPr>
        <w:ind w:right="360"/>
        <w:spacing w:after="0" w:line="264" w:lineRule="auto"/>
        <w:rPr>
          <w:sz w:val="20"/>
          <w:szCs w:val="20"/>
          <w:color w:val="auto"/>
        </w:rPr>
      </w:pPr>
      <w:r>
        <w:rPr>
          <w:rFonts w:ascii="Arial" w:cs="Arial" w:eastAsia="Arial" w:hAnsi="Arial"/>
          <w:sz w:val="18"/>
          <w:szCs w:val="18"/>
          <w:color w:val="auto"/>
        </w:rPr>
        <w:t>date as may be agreed to by the Collateral Agent in its reasonable discretion), cause such financial intermediary to enter into a control agreement with the Collateral Agent and the Term Loan Agent, in form and substance reasonably satisfactory to the Collateral Agent, in order to give the Collateral Agent Control (subject to the terms of the Intercreditor Agreement) of such Investment Property.</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Stock and Other Ownership Interests</w:t>
      </w:r>
      <w:r>
        <w:rPr>
          <w:rFonts w:ascii="Arial" w:cs="Arial" w:eastAsia="Arial" w:hAnsi="Arial"/>
          <w:sz w:val="16"/>
          <w:szCs w:val="16"/>
          <w:color w:val="auto"/>
        </w:rPr>
        <w:t>.</w:t>
      </w:r>
    </w:p>
    <w:p>
      <w:pPr>
        <w:spacing w:after="0" w:line="225" w:lineRule="exact"/>
        <w:rPr>
          <w:sz w:val="20"/>
          <w:szCs w:val="20"/>
          <w:color w:val="auto"/>
        </w:rPr>
      </w:pPr>
    </w:p>
    <w:p>
      <w:pPr>
        <w:ind w:left="660" w:right="100" w:firstLine="648"/>
        <w:spacing w:after="0" w:line="259" w:lineRule="auto"/>
        <w:rPr>
          <w:sz w:val="20"/>
          <w:szCs w:val="20"/>
          <w:color w:val="auto"/>
        </w:rPr>
      </w:pPr>
      <w:r>
        <w:rPr>
          <w:rFonts w:ascii="Arial" w:cs="Arial" w:eastAsia="Arial" w:hAnsi="Arial"/>
          <w:sz w:val="18"/>
          <w:szCs w:val="18"/>
          <w:color w:val="auto"/>
        </w:rPr>
        <w:t xml:space="preserve">4.6.1. </w:t>
      </w:r>
      <w:r>
        <w:rPr>
          <w:rFonts w:ascii="Arial" w:cs="Arial" w:eastAsia="Arial" w:hAnsi="Arial"/>
          <w:sz w:val="18"/>
          <w:szCs w:val="18"/>
          <w:u w:val="single" w:color="auto"/>
          <w:color w:val="auto"/>
        </w:rPr>
        <w:t>Registration of Pledged Securities and other Investment Property</w:t>
      </w:r>
      <w:r>
        <w:rPr>
          <w:rFonts w:ascii="Arial" w:cs="Arial" w:eastAsia="Arial" w:hAnsi="Arial"/>
          <w:sz w:val="18"/>
          <w:szCs w:val="18"/>
          <w:color w:val="auto"/>
        </w:rPr>
        <w:t>. Subject to the Intercreditor Agreement, each Grantor will permit any registrable Collateral owned by such Grantor to be registered in the name of the Collateral Agent or its nominee at any time at the option of the Required Lenders following the occurrence and during the continuance of an Event of Default and without any further consent of such Grantor.</w:t>
      </w:r>
    </w:p>
    <w:p>
      <w:pPr>
        <w:spacing w:after="0" w:line="187" w:lineRule="exact"/>
        <w:rPr>
          <w:sz w:val="20"/>
          <w:szCs w:val="20"/>
          <w:color w:val="auto"/>
        </w:rPr>
      </w:pPr>
    </w:p>
    <w:p>
      <w:pPr>
        <w:ind w:left="660" w:right="60" w:firstLine="648"/>
        <w:spacing w:after="0" w:line="259" w:lineRule="auto"/>
        <w:rPr>
          <w:sz w:val="20"/>
          <w:szCs w:val="20"/>
          <w:color w:val="auto"/>
        </w:rPr>
      </w:pPr>
      <w:r>
        <w:rPr>
          <w:rFonts w:ascii="Arial" w:cs="Arial" w:eastAsia="Arial" w:hAnsi="Arial"/>
          <w:sz w:val="18"/>
          <w:szCs w:val="18"/>
          <w:color w:val="auto"/>
        </w:rPr>
        <w:t xml:space="preserve">4.6.2. </w:t>
      </w:r>
      <w:r>
        <w:rPr>
          <w:rFonts w:ascii="Arial" w:cs="Arial" w:eastAsia="Arial" w:hAnsi="Arial"/>
          <w:sz w:val="18"/>
          <w:szCs w:val="18"/>
          <w:u w:val="single" w:color="auto"/>
          <w:color w:val="auto"/>
        </w:rPr>
        <w:t>Exercise of Rights in Pledged Securities</w:t>
      </w:r>
      <w:r>
        <w:rPr>
          <w:rFonts w:ascii="Arial" w:cs="Arial" w:eastAsia="Arial" w:hAnsi="Arial"/>
          <w:sz w:val="18"/>
          <w:szCs w:val="18"/>
          <w:color w:val="auto"/>
        </w:rPr>
        <w:t>. Subject to the Intercreditor Agreement, each Grantor will permit the Collateral Agent or its nominee at any time after the occurrence and during the continuance of an Event of Default, without notice, to exercise or refrain from exercising any and all voting and other consensual rights pertaining to Pledged Collateral owned by such Grantor or any part thereof, and to receive all dividends and interest in respect of such Pledged Collateral.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Specified Deposit Accounts</w:t>
      </w:r>
      <w:r>
        <w:rPr>
          <w:rFonts w:ascii="Arial" w:cs="Arial" w:eastAsia="Arial" w:hAnsi="Arial"/>
          <w:sz w:val="18"/>
          <w:szCs w:val="18"/>
          <w:color w:val="auto"/>
        </w:rPr>
        <w:t>. Each Grantor will cause each bank or other financial institution at which it maintains a Specified Deposit Account to enter into a Deposit Account Control Agreement with the Collateral Agent and the Term Loan Agent, in form and substance reasonably satisfactory to the Collateral Agent, in order to give the Collateral Agent Control (subject to the terms of the Intercreditor Agreement) of such Specified Deposit Account on the date specified in Schedule 7.11 of the Credit Agreement, on such later date on which it becomes a Grantor hereunder or on any other date required by Section 7.08 of the Credit Agreement (in each case, or such later date as may be agreed to by the Collateral Agent in its reasonable discretion). In the case of deposits maintained with Lenders, the terms of such Deposit Account Control Agreement shall be subject to the provisions of the Credit Agreement regarding setoffs.</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Letter of Credit Rights</w:t>
      </w:r>
      <w:r>
        <w:rPr>
          <w:rFonts w:ascii="Arial" w:cs="Arial" w:eastAsia="Arial" w:hAnsi="Arial"/>
          <w:sz w:val="18"/>
          <w:szCs w:val="18"/>
          <w:color w:val="auto"/>
        </w:rPr>
        <w:t>. Each Grantor will, upon the Collateral Agent’s request, cause each issuer of a letter of credit issued in favor of such Grantor in excess of $5,000,000 individually or in the aggregate (to the extent the Letter of Credit Rights in respect thereof constitute Collateral) to consent to the assignment of proceeds of such letter of credit in order to give the Collateral Agent Control (subject to the terms of the Intercreditor Agreement) of the Letter of Credit Rights in respect of such letter of credit.</w:t>
      </w:r>
    </w:p>
    <w:p>
      <w:pPr>
        <w:spacing w:after="0" w:line="18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u w:val="single" w:color="auto"/>
          <w:color w:val="auto"/>
        </w:rPr>
        <w:t>Reserved</w:t>
      </w: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u w:val="single" w:color="auto"/>
          <w:color w:val="auto"/>
        </w:rPr>
        <w:t>Reserved</w:t>
      </w: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22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u w:val="single" w:color="auto"/>
          <w:color w:val="auto"/>
        </w:rPr>
        <w:t>Intellectual Property.</w:t>
      </w:r>
    </w:p>
    <w:p>
      <w:pPr>
        <w:spacing w:after="0" w:line="225" w:lineRule="exact"/>
        <w:rPr>
          <w:sz w:val="20"/>
          <w:szCs w:val="20"/>
          <w:color w:val="auto"/>
        </w:rPr>
      </w:pPr>
    </w:p>
    <w:p>
      <w:pPr>
        <w:ind w:left="660" w:firstLine="648"/>
        <w:spacing w:after="0" w:line="273" w:lineRule="auto"/>
        <w:rPr>
          <w:sz w:val="20"/>
          <w:szCs w:val="20"/>
          <w:color w:val="auto"/>
        </w:rPr>
      </w:pPr>
      <w:r>
        <w:rPr>
          <w:rFonts w:ascii="Arial" w:cs="Arial" w:eastAsia="Arial" w:hAnsi="Arial"/>
          <w:sz w:val="17"/>
          <w:szCs w:val="17"/>
          <w:color w:val="auto"/>
        </w:rPr>
        <w:t>4.11.1. If, after the Effective Date (or, in the case of a Subsequent Grantor, the date of its Security Agreement Supplement), any Grantor obtains rights to, including, but not limited to filing and acceptance of a statement of use or an amendment to allege use with the United States Patent and Trademark Office, or applies for or seeks registration of, any new patentable invention, Trademark or Copyright , then to the extent the foregoing constitutes Specified Intellectual Property, such Grantor agrees promptly upon request by the Collateral Agent to execute and deliver to the Collateral Agent any supplement to this Security Agreement or any other document reasonably requested by the Collateral Agent to evidence such security interest in a form appropriate for recording in the applicable federal office.</w:t>
      </w:r>
    </w:p>
    <w:p>
      <w:pPr>
        <w:spacing w:after="0" w:line="178" w:lineRule="exact"/>
        <w:rPr>
          <w:sz w:val="20"/>
          <w:szCs w:val="20"/>
          <w:color w:val="auto"/>
        </w:rPr>
      </w:pPr>
    </w:p>
    <w:p>
      <w:pPr>
        <w:ind w:left="660" w:right="140" w:firstLine="648"/>
        <w:spacing w:after="0" w:line="291" w:lineRule="auto"/>
        <w:rPr>
          <w:sz w:val="20"/>
          <w:szCs w:val="20"/>
          <w:color w:val="auto"/>
        </w:rPr>
      </w:pPr>
      <w:r>
        <w:rPr>
          <w:rFonts w:ascii="Arial" w:cs="Arial" w:eastAsia="Arial" w:hAnsi="Arial"/>
          <w:sz w:val="16"/>
          <w:szCs w:val="16"/>
          <w:color w:val="auto"/>
        </w:rPr>
        <w:t>4.11.2. This Security Agreement is effective to create a valid and continuing Lien on each Grantor’s interest in its Copyrights, Licenses, Patents and Trademarks that constitute Specified Intellectual Property and, upon filing of the Confirmatory Grant of Security Interest in Copyrights with the United States Copyright Office and filing of the Confirmatory Grant of Security Interest in Patents and the Confirmatory Grant of Security Interest in Trademarks with the United States Patent and Trademark Office, and the filing of appropriate financing statements in the jurisdictions listed in Exhibit “E” hereto, all action necessary or desirable to protect and perfect the security interest in, to and on each Grantor’s interest in Patents, Trademarks or Copyrights that constitute Specified Intellectual Property shall have been taken and such perfected security interest shall be enforceable as such as against any and all creditors of and purchasers from any Grantor.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u w:val="single" w:color="auto"/>
          <w:color w:val="auto"/>
        </w:rPr>
        <w:t>Reserved</w:t>
      </w:r>
      <w:r>
        <w:rPr>
          <w:rFonts w:ascii="Arial" w:cs="Arial" w:eastAsia="Arial" w:hAnsi="Arial"/>
          <w:sz w:val="15"/>
          <w:szCs w:val="15"/>
          <w:b w:val="1"/>
          <w:bCs w:val="1"/>
          <w:color w:val="auto"/>
        </w:rPr>
        <w:t>]</w:t>
      </w:r>
      <w:r>
        <w:rPr>
          <w:rFonts w:ascii="Arial" w:cs="Arial" w:eastAsia="Arial" w:hAnsi="Arial"/>
          <w:sz w:val="15"/>
          <w:szCs w:val="15"/>
          <w:u w:val="single" w:color="auto"/>
          <w:color w:val="auto"/>
        </w:rPr>
        <w:t>.</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Commercial Tort Claims</w:t>
      </w:r>
      <w:r>
        <w:rPr>
          <w:rFonts w:ascii="Arial" w:cs="Arial" w:eastAsia="Arial" w:hAnsi="Arial"/>
          <w:sz w:val="17"/>
          <w:szCs w:val="17"/>
          <w:color w:val="auto"/>
        </w:rPr>
        <w:t xml:space="preserve">. If, after the Effective Date (or, in the case of a Subsequent Grantor, the date of its Security Agreement Supplement), any Grantor identifies the existence of a Commercial Tort Claim constituting Collateral belonging to such Grantor that has arisen in the course of such Grantor’s business in addition to the Commercial Tort Claims described in </w:t>
      </w:r>
      <w:r>
        <w:rPr>
          <w:rFonts w:ascii="Arial" w:cs="Arial" w:eastAsia="Arial" w:hAnsi="Arial"/>
          <w:sz w:val="17"/>
          <w:szCs w:val="17"/>
          <w:u w:val="single" w:color="auto"/>
          <w:color w:val="auto"/>
        </w:rPr>
        <w:t>Exhibit “F”</w:t>
      </w:r>
      <w:r>
        <w:rPr>
          <w:rFonts w:ascii="Arial" w:cs="Arial" w:eastAsia="Arial" w:hAnsi="Arial"/>
          <w:sz w:val="17"/>
          <w:szCs w:val="17"/>
          <w:color w:val="auto"/>
        </w:rPr>
        <w:t>, which are all of such Grantor’s Commercial Tort Claims constituting Collateral as of the Effective Date (or, in the case of a Subsequent Grantor, the date of its Security Agreement Supplement), then such Grantor shall give the Collateral Agent prompt notice thereof, but in any event not less frequently than quarterly. Each Grantor agrees promptly upon request by the Collateral Agent to execute and deliver to the Collateral Agent any supplement to this Security Agreement or any other document reasonably requested by the Collateral Agent to evidence the grant of a security interest therein in favor of the Collateral Agent.</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Updating of Exhibits to Security Agreement</w:t>
      </w:r>
      <w:r>
        <w:rPr>
          <w:rFonts w:ascii="Arial" w:cs="Arial" w:eastAsia="Arial" w:hAnsi="Arial"/>
          <w:sz w:val="18"/>
          <w:szCs w:val="18"/>
          <w:color w:val="auto"/>
        </w:rPr>
        <w:t>. WIL-Ireland will provide to the Collateral Agent, concurrently with the delivery to the Administrative Agent of each Compliance Certificate required by Section 7.01(e) of the Credit Agreement, updated versions of the Exhibits to this Security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there have been no changes to any such Exhibits since the previous updating thereof required hereby, WIL-Ireland shall indicate that there has been “no change” to the applicable Exhibit(s)). Any reference to any Exhibit herein shall mean such Exhibit after giving effect to any updates thereof by WIL-Ireland or such Grantor pursuant to this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or otherwise.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ectPr>
          <w:pgSz w:w="11900" w:h="16838" w:orient="portrait"/>
          <w:cols w:equalWidth="0" w:num="1">
            <w:col w:w="11420"/>
          </w:cols>
          <w:pgMar w:left="240" w:top="125" w:right="239" w:bottom="0" w:gutter="0" w:footer="0" w:header="0"/>
        </w:sectPr>
      </w:pPr>
    </w:p>
    <w:bookmarkStart w:id="215" w:name="page216"/>
    <w:bookmarkEnd w:id="215"/>
    <w:p>
      <w:pPr>
        <w:jc w:val="center"/>
        <w:ind w:right="-39"/>
        <w:spacing w:after="0"/>
        <w:rPr>
          <w:sz w:val="20"/>
          <w:szCs w:val="20"/>
          <w:color w:val="auto"/>
        </w:rPr>
      </w:pPr>
      <w:r>
        <w:rPr>
          <w:rFonts w:ascii="Arial" w:cs="Arial" w:eastAsia="Arial" w:hAnsi="Arial"/>
          <w:sz w:val="18"/>
          <w:szCs w:val="18"/>
          <w:color w:val="auto"/>
        </w:rPr>
        <w:t>DEFAULT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u w:val="single" w:color="auto"/>
          <w:color w:val="auto"/>
        </w:rPr>
        <w:t>Remedies.</w:t>
      </w:r>
    </w:p>
    <w:p>
      <w:pPr>
        <w:spacing w:after="0" w:line="225" w:lineRule="exact"/>
        <w:rPr>
          <w:sz w:val="20"/>
          <w:szCs w:val="20"/>
          <w:color w:val="auto"/>
        </w:rPr>
      </w:pPr>
    </w:p>
    <w:p>
      <w:pPr>
        <w:ind w:left="660" w:right="440" w:firstLine="648"/>
        <w:spacing w:after="0" w:line="264" w:lineRule="auto"/>
        <w:rPr>
          <w:sz w:val="20"/>
          <w:szCs w:val="20"/>
          <w:color w:val="auto"/>
        </w:rPr>
      </w:pPr>
      <w:r>
        <w:rPr>
          <w:rFonts w:ascii="Arial" w:cs="Arial" w:eastAsia="Arial" w:hAnsi="Arial"/>
          <w:sz w:val="18"/>
          <w:szCs w:val="18"/>
          <w:color w:val="auto"/>
        </w:rPr>
        <w:t>5.1.1. Upon the occurrence and during the continuance of an Event of Default, the Collateral Agent may, and at the direction of the Administrative Agent (acting at the direction of the Required Lenders) shall, subject to the Intercreditor Agreement, exercise any or all of the following rights and remedies:</w:t>
      </w:r>
    </w:p>
    <w:p>
      <w:pPr>
        <w:spacing w:after="0" w:line="181" w:lineRule="exact"/>
        <w:rPr>
          <w:sz w:val="20"/>
          <w:szCs w:val="20"/>
          <w:color w:val="auto"/>
        </w:rPr>
      </w:pPr>
    </w:p>
    <w:p>
      <w:pPr>
        <w:ind w:left="1300" w:right="80" w:firstLine="693"/>
        <w:spacing w:after="0" w:line="264" w:lineRule="auto"/>
        <w:tabs>
          <w:tab w:leader="none" w:pos="2654" w:val="left"/>
        </w:tabs>
        <w:numPr>
          <w:ilvl w:val="0"/>
          <w:numId w:val="526"/>
        </w:numPr>
        <w:rPr>
          <w:rFonts w:ascii="Arial" w:cs="Arial" w:eastAsia="Arial" w:hAnsi="Arial"/>
          <w:sz w:val="18"/>
          <w:szCs w:val="18"/>
          <w:color w:val="auto"/>
        </w:rPr>
      </w:pPr>
      <w:r>
        <w:rPr>
          <w:rFonts w:ascii="Arial" w:cs="Arial" w:eastAsia="Arial" w:hAnsi="Arial"/>
          <w:sz w:val="18"/>
          <w:szCs w:val="18"/>
          <w:color w:val="auto"/>
        </w:rPr>
        <w:t xml:space="preserve">Those rights and remedies provided in this Security Agreement, the Credit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7"/>
          <w:szCs w:val="17"/>
          <w:u w:val="single" w:color="auto"/>
          <w:color w:val="auto"/>
        </w:rPr>
        <w:t>(</w:t>
      </w:r>
      <w:r>
        <w:rPr>
          <w:rFonts w:ascii="Arial" w:cs="Arial" w:eastAsia="Arial" w:hAnsi="Arial"/>
          <w:sz w:val="18"/>
          <w:szCs w:val="18"/>
          <w:u w:val="single" w:color="auto"/>
          <w:color w:val="auto"/>
        </w:rPr>
        <w:t>i)</w:t>
      </w:r>
      <w:r>
        <w:rPr>
          <w:rFonts w:ascii="Arial" w:cs="Arial" w:eastAsia="Arial" w:hAnsi="Arial"/>
          <w:sz w:val="18"/>
          <w:szCs w:val="18"/>
          <w:color w:val="auto"/>
        </w:rPr>
        <w:t xml:space="preserve"> shall not be understood to limit any rights or remedies available to the Collateral Agent and the Secured Parties prior to an Event of Default.</w:t>
      </w:r>
    </w:p>
    <w:p>
      <w:pPr>
        <w:spacing w:after="0" w:line="181" w:lineRule="exact"/>
        <w:rPr>
          <w:rFonts w:ascii="Arial" w:cs="Arial" w:eastAsia="Arial" w:hAnsi="Arial"/>
          <w:sz w:val="18"/>
          <w:szCs w:val="18"/>
          <w:color w:val="auto"/>
        </w:rPr>
      </w:pPr>
    </w:p>
    <w:p>
      <w:pPr>
        <w:ind w:left="1300" w:right="220" w:firstLine="653"/>
        <w:spacing w:after="0" w:line="264" w:lineRule="auto"/>
        <w:tabs>
          <w:tab w:leader="none" w:pos="2663"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Those rights and remedies available to a secured party under the UCC (whether or not the UCC applies to the affected Collateral) or under any other applicable law (including, without limitation, any law governing the exercise of a bank</w:t>
      </w:r>
      <w:r>
        <w:rPr>
          <w:rFonts w:ascii="Arial" w:cs="Arial" w:eastAsia="Arial" w:hAnsi="Arial"/>
          <w:sz w:val="17"/>
          <w:szCs w:val="17"/>
          <w:color w:val="auto"/>
        </w:rPr>
        <w:t>’</w:t>
      </w:r>
      <w:r>
        <w:rPr>
          <w:rFonts w:ascii="Arial" w:cs="Arial" w:eastAsia="Arial" w:hAnsi="Arial"/>
          <w:sz w:val="18"/>
          <w:szCs w:val="18"/>
          <w:color w:val="auto"/>
        </w:rPr>
        <w:t>s right of setoff or bankers’ lien) when a debtor is in default under a security agreement.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60" w:firstLine="653"/>
        <w:spacing w:after="0" w:line="277" w:lineRule="auto"/>
        <w:tabs>
          <w:tab w:leader="none" w:pos="2668" w:val="left"/>
        </w:tabs>
        <w:numPr>
          <w:ilvl w:val="0"/>
          <w:numId w:val="527"/>
        </w:numPr>
        <w:rPr>
          <w:rFonts w:ascii="Arial" w:cs="Arial" w:eastAsia="Arial" w:hAnsi="Arial"/>
          <w:sz w:val="18"/>
          <w:szCs w:val="18"/>
          <w:color w:val="auto"/>
        </w:rPr>
      </w:pPr>
      <w:r>
        <w:rPr>
          <w:rFonts w:ascii="Arial" w:cs="Arial" w:eastAsia="Arial" w:hAnsi="Arial"/>
          <w:sz w:val="18"/>
          <w:szCs w:val="18"/>
          <w:color w:val="auto"/>
        </w:rPr>
        <w:t>Give notice of sole control or any other instruction under any Deposit Account Control Agreement or other control agreement with any securities intermediary and take any action therein with respect to such Collateral.</w:t>
      </w:r>
    </w:p>
    <w:p>
      <w:pPr>
        <w:spacing w:after="0" w:line="170" w:lineRule="exact"/>
        <w:rPr>
          <w:rFonts w:ascii="Arial" w:cs="Arial" w:eastAsia="Arial" w:hAnsi="Arial"/>
          <w:sz w:val="18"/>
          <w:szCs w:val="18"/>
          <w:color w:val="auto"/>
        </w:rPr>
      </w:pPr>
    </w:p>
    <w:p>
      <w:pPr>
        <w:ind w:left="1300" w:right="180" w:firstLine="653"/>
        <w:spacing w:after="0" w:line="272" w:lineRule="auto"/>
        <w:tabs>
          <w:tab w:leader="none" w:pos="2658" w:val="left"/>
        </w:tabs>
        <w:numPr>
          <w:ilvl w:val="0"/>
          <w:numId w:val="527"/>
        </w:numPr>
        <w:rPr>
          <w:rFonts w:ascii="Arial" w:cs="Arial" w:eastAsia="Arial" w:hAnsi="Arial"/>
          <w:sz w:val="17"/>
          <w:szCs w:val="17"/>
          <w:color w:val="auto"/>
        </w:rPr>
      </w:pPr>
      <w:r>
        <w:rPr>
          <w:rFonts w:ascii="Arial" w:cs="Arial" w:eastAsia="Arial" w:hAnsi="Arial"/>
          <w:sz w:val="17"/>
          <w:szCs w:val="17"/>
          <w:color w:val="auto"/>
        </w:rPr>
        <w:t xml:space="preserve">Without notice (except as specifically provided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hereof or elsewhere herein), demand or advertisement of any kind to any Grantor or any other Person enter the premises of any Grantor where any Collateral is located (through self-help and without judicial process) to collect, receive, assemble, process, appropriate, sell, lease, assign, grant an option or options to purchase or otherwise dispose of, deliver, or realize upon, the Collateral or any part thereof in one or more parcels at public or private sale or sales (which sales may be adjourned or continued from time to time with or without notice and may take place at any Grantor</w:t>
      </w:r>
      <w:r>
        <w:rPr>
          <w:rFonts w:ascii="Arial" w:cs="Arial" w:eastAsia="Arial" w:hAnsi="Arial"/>
          <w:sz w:val="16"/>
          <w:szCs w:val="16"/>
          <w:color w:val="auto"/>
        </w:rPr>
        <w:t>’</w:t>
      </w:r>
      <w:r>
        <w:rPr>
          <w:rFonts w:ascii="Arial" w:cs="Arial" w:eastAsia="Arial" w:hAnsi="Arial"/>
          <w:sz w:val="17"/>
          <w:szCs w:val="17"/>
          <w:color w:val="auto"/>
        </w:rPr>
        <w:t>s premises or elsewhere), for cash, on credit or for future delivery without assumption of any credit risk, and upon such other terms as the Collateral Agent may deem commercially reasonable.</w:t>
      </w:r>
    </w:p>
    <w:p>
      <w:pPr>
        <w:spacing w:after="0" w:line="177" w:lineRule="exact"/>
        <w:rPr>
          <w:rFonts w:ascii="Arial" w:cs="Arial" w:eastAsia="Arial" w:hAnsi="Arial"/>
          <w:sz w:val="17"/>
          <w:szCs w:val="17"/>
          <w:color w:val="auto"/>
        </w:rPr>
      </w:pPr>
    </w:p>
    <w:p>
      <w:pPr>
        <w:ind w:left="1300" w:right="40" w:firstLine="653"/>
        <w:spacing w:after="0" w:line="276" w:lineRule="auto"/>
        <w:tabs>
          <w:tab w:leader="none" w:pos="2653" w:val="left"/>
        </w:tabs>
        <w:numPr>
          <w:ilvl w:val="0"/>
          <w:numId w:val="527"/>
        </w:numPr>
        <w:rPr>
          <w:rFonts w:ascii="Arial" w:cs="Arial" w:eastAsia="Arial" w:hAnsi="Arial"/>
          <w:sz w:val="17"/>
          <w:szCs w:val="17"/>
          <w:color w:val="auto"/>
        </w:rPr>
      </w:pPr>
      <w:r>
        <w:rPr>
          <w:rFonts w:ascii="Arial" w:cs="Arial" w:eastAsia="Arial" w:hAnsi="Arial"/>
          <w:sz w:val="17"/>
          <w:szCs w:val="17"/>
          <w:color w:val="auto"/>
        </w:rPr>
        <w:t>Concurrently with written notice to the applicable Grantor, transfer and register in its name or in the name of its nominee the whole or any part of the Pledged Collateral, to exchange certificates or instruments representing or evidencing Pledged Collateral for certificates or instruments of smaller or larger denominations, to exercise the voting and all other rights as a holder with respect thereto, to collect and receive all cash dividends, interest, principal and other distributions made thereon and to otherwise act with respect to the Pledged Collateral as though the Collateral Agent was the outright owner thereof.</w:t>
      </w:r>
    </w:p>
    <w:p>
      <w:pPr>
        <w:spacing w:after="0" w:line="173" w:lineRule="exact"/>
        <w:rPr>
          <w:sz w:val="20"/>
          <w:szCs w:val="20"/>
          <w:color w:val="auto"/>
        </w:rPr>
      </w:pPr>
    </w:p>
    <w:p>
      <w:pPr>
        <w:ind w:left="660" w:right="20" w:firstLine="648"/>
        <w:spacing w:after="0" w:line="264" w:lineRule="auto"/>
        <w:rPr>
          <w:sz w:val="20"/>
          <w:szCs w:val="20"/>
          <w:color w:val="auto"/>
        </w:rPr>
      </w:pPr>
      <w:r>
        <w:rPr>
          <w:rFonts w:ascii="Arial" w:cs="Arial" w:eastAsia="Arial" w:hAnsi="Arial"/>
          <w:sz w:val="18"/>
          <w:szCs w:val="18"/>
          <w:color w:val="auto"/>
        </w:rPr>
        <w:t>5.1.2. The Collateral Agent, on behalf of the Secured Parties, shall comply with any applicable state or federal law requirements in connection with a disposition of the Collateral, and such compliance will not be considered to adversely affect the commercial reasonableness of any sale of the Collateral.</w:t>
      </w:r>
    </w:p>
    <w:p>
      <w:pPr>
        <w:spacing w:after="0" w:line="181" w:lineRule="exact"/>
        <w:rPr>
          <w:sz w:val="20"/>
          <w:szCs w:val="20"/>
          <w:color w:val="auto"/>
        </w:rPr>
      </w:pPr>
    </w:p>
    <w:p>
      <w:pPr>
        <w:ind w:left="660" w:right="80" w:firstLine="648"/>
        <w:spacing w:after="0" w:line="264" w:lineRule="auto"/>
        <w:rPr>
          <w:sz w:val="20"/>
          <w:szCs w:val="20"/>
          <w:color w:val="auto"/>
        </w:rPr>
      </w:pPr>
      <w:r>
        <w:rPr>
          <w:rFonts w:ascii="Arial" w:cs="Arial" w:eastAsia="Arial" w:hAnsi="Arial"/>
          <w:sz w:val="18"/>
          <w:szCs w:val="18"/>
          <w:color w:val="auto"/>
        </w:rPr>
        <w:t>5.1.3. The Collateral Agent shall have the right upon any such public sale or sales and, to the extent permitted by law, upon any such private sale or sales, to purchase for the benefit of the Collateral Agent and the other Secured Parties, the whole or any part of the Collateral so sold, free of any right of equity redemption, which equity redemption the Grantor hereby expressly releases.</w:t>
      </w:r>
    </w:p>
    <w:p>
      <w:pPr>
        <w:spacing w:after="0" w:line="181" w:lineRule="exact"/>
        <w:rPr>
          <w:sz w:val="20"/>
          <w:szCs w:val="20"/>
          <w:color w:val="auto"/>
        </w:rPr>
      </w:pPr>
    </w:p>
    <w:p>
      <w:pPr>
        <w:ind w:left="660" w:right="80" w:firstLine="648"/>
        <w:spacing w:after="0" w:line="276" w:lineRule="auto"/>
        <w:rPr>
          <w:sz w:val="20"/>
          <w:szCs w:val="20"/>
          <w:color w:val="auto"/>
        </w:rPr>
      </w:pPr>
      <w:r>
        <w:rPr>
          <w:rFonts w:ascii="Arial" w:cs="Arial" w:eastAsia="Arial" w:hAnsi="Arial"/>
          <w:sz w:val="17"/>
          <w:szCs w:val="17"/>
          <w:color w:val="auto"/>
        </w:rPr>
        <w:t>5.1.4. Until the Collateral Agent is able to effect a sale, lease, or other disposition of Collateral, the Collateral Agent shall have the right to hold or use Collateral, or any part thereof, to the extent that it deems appropriate for the purpose of preserving Collateral or its value or for any other purpose deemed appropriate by the Collateral Agent. The Collateral Agent may, if it so elects, seek the appointment of a receiver or keeper to take possession of Collateral and to enforce any of the Collateral Agent’s remedies (for the benefit of the Collateral Agent and other Secured Parties), with respect to such appointment without prior notice or hearing as to such appointment.</w:t>
      </w:r>
    </w:p>
    <w:p>
      <w:pPr>
        <w:spacing w:after="0" w:line="16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u w:val="single" w:color="auto"/>
          <w:color w:val="auto"/>
        </w:rPr>
        <w:t>Reserved</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8"/>
        <w:spacing w:after="0" w:line="257" w:lineRule="auto"/>
        <w:rPr>
          <w:sz w:val="20"/>
          <w:szCs w:val="20"/>
          <w:color w:val="auto"/>
        </w:rPr>
      </w:pPr>
      <w:r>
        <w:rPr>
          <w:rFonts w:ascii="Arial" w:cs="Arial" w:eastAsia="Arial" w:hAnsi="Arial"/>
          <w:sz w:val="18"/>
          <w:szCs w:val="18"/>
          <w:color w:val="auto"/>
        </w:rPr>
        <w:t>5.1.6. Notwithstanding the foregoing, neither the Collateral Agent nor any other Secured Party shall be required to (i) make any demand upon, or pursue or exhaust any of their rights or remedies against, any Grantor, any other obligor, guarantor, pledgor or any other Person with respect to the payment of the Secured Obligations or to pursue or exhaust any of their rights or remedies with respect to any Collateral therefor or any direct or indirect guarantee thereof, (ii) marshal the Collateral or any guarantee of the Secured Obligations or to resort to the Collateral or any such guarantee in any particular order, or (iii) effect a public sale of any Collateral.</w:t>
      </w:r>
    </w:p>
    <w:p>
      <w:pPr>
        <w:spacing w:after="0" w:line="188" w:lineRule="exact"/>
        <w:rPr>
          <w:sz w:val="20"/>
          <w:szCs w:val="20"/>
          <w:color w:val="auto"/>
        </w:rPr>
      </w:pPr>
    </w:p>
    <w:p>
      <w:pPr>
        <w:ind w:left="660" w:right="160" w:firstLine="648"/>
        <w:spacing w:after="0" w:line="257" w:lineRule="auto"/>
        <w:rPr>
          <w:sz w:val="20"/>
          <w:szCs w:val="20"/>
          <w:color w:val="auto"/>
        </w:rPr>
      </w:pPr>
      <w:r>
        <w:rPr>
          <w:rFonts w:ascii="Arial" w:cs="Arial" w:eastAsia="Arial" w:hAnsi="Arial"/>
          <w:sz w:val="18"/>
          <w:szCs w:val="18"/>
          <w:color w:val="auto"/>
        </w:rPr>
        <w:t xml:space="preserve">5.1.7. Each Grantor recognizes that the Collateral Agent may be unable to effect a public sale of any or all the Pledged Collateral and may be compelled to resort to one or more private sales thereof in accordance with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above. Each Grantor also acknowledges that any private sale may result in prices and other terms less favorable to the seller than if such sale were a public sale and, notwithstanding such circumstances, agrees that any such private sale shall not be deemed to have been made in a commercially unreasonable manner solely by virtue of such sale being private.</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Grantors’ Obligations Upon Default</w:t>
      </w:r>
      <w:r>
        <w:rPr>
          <w:rFonts w:ascii="Arial" w:cs="Arial" w:eastAsia="Arial" w:hAnsi="Arial"/>
          <w:sz w:val="18"/>
          <w:szCs w:val="18"/>
          <w:color w:val="auto"/>
        </w:rPr>
        <w:t>. Upon the written request of the Collateral Agent after the occurrence and during the continuance of an Event of Default, subject to the Intercreditor Agreement, each Grantor will:</w:t>
      </w:r>
    </w:p>
    <w:p>
      <w:pPr>
        <w:spacing w:after="0" w:line="170" w:lineRule="exact"/>
        <w:rPr>
          <w:sz w:val="20"/>
          <w:szCs w:val="20"/>
          <w:color w:val="auto"/>
        </w:rPr>
      </w:pPr>
    </w:p>
    <w:p>
      <w:pPr>
        <w:ind w:left="660" w:right="300" w:firstLine="648"/>
        <w:spacing w:after="0" w:line="277"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Assembly of Collateral</w:t>
      </w:r>
      <w:r>
        <w:rPr>
          <w:rFonts w:ascii="Arial" w:cs="Arial" w:eastAsia="Arial" w:hAnsi="Arial"/>
          <w:sz w:val="18"/>
          <w:szCs w:val="18"/>
          <w:color w:val="auto"/>
        </w:rPr>
        <w:t>. Assemble and make available to the Collateral Agent the Collateral and all books and records relating thereto at any place or places specified in writing by the Collateral Agent.</w:t>
      </w:r>
    </w:p>
    <w:p>
      <w:pPr>
        <w:sectPr>
          <w:pgSz w:w="11900" w:h="16838" w:orient="portrait"/>
          <w:cols w:equalWidth="0" w:num="1">
            <w:col w:w="11400"/>
          </w:cols>
          <w:pgMar w:left="240" w:top="125" w:right="259" w:bottom="0" w:gutter="0" w:footer="0" w:header="0"/>
        </w:sectPr>
      </w:pPr>
    </w:p>
    <w:bookmarkStart w:id="216" w:name="page217"/>
    <w:bookmarkEnd w:id="216"/>
    <w:p>
      <w:pPr>
        <w:spacing w:after="0" w:line="36" w:lineRule="exact"/>
        <w:rPr>
          <w:sz w:val="20"/>
          <w:szCs w:val="20"/>
          <w:color w:val="auto"/>
        </w:rPr>
      </w:pPr>
    </w:p>
    <w:p>
      <w:pPr>
        <w:ind w:left="660" w:right="100" w:firstLine="648"/>
        <w:spacing w:after="0" w:line="279" w:lineRule="auto"/>
        <w:rPr>
          <w:sz w:val="20"/>
          <w:szCs w:val="20"/>
          <w:color w:val="auto"/>
        </w:rPr>
      </w:pPr>
      <w:r>
        <w:rPr>
          <w:rFonts w:ascii="Arial" w:cs="Arial" w:eastAsia="Arial" w:hAnsi="Arial"/>
          <w:sz w:val="17"/>
          <w:szCs w:val="17"/>
          <w:color w:val="auto"/>
        </w:rPr>
        <w:t xml:space="preserve">5.2.2. </w:t>
      </w:r>
      <w:r>
        <w:rPr>
          <w:rFonts w:ascii="Arial" w:cs="Arial" w:eastAsia="Arial" w:hAnsi="Arial"/>
          <w:sz w:val="17"/>
          <w:szCs w:val="17"/>
          <w:u w:val="single" w:color="auto"/>
          <w:color w:val="auto"/>
        </w:rPr>
        <w:t>Secured Party Access</w:t>
      </w:r>
      <w:r>
        <w:rPr>
          <w:rFonts w:ascii="Arial" w:cs="Arial" w:eastAsia="Arial" w:hAnsi="Arial"/>
          <w:sz w:val="17"/>
          <w:szCs w:val="17"/>
          <w:color w:val="auto"/>
        </w:rPr>
        <w:t>. Permit the Collateral Agent, by the Collateral Agent’s representatives and agents, to enter, occupy and use any premises where all or any part of the Collateral, or the books and records relating thereto, or both, are located, to take possession of all or any part of the Collateral, or the books and records relating thereto, or both, to remove all or any part of the Collateral, or the books and records relating thereto, or both, and to conduct sales of the Collateral, without any obligation to pay the Grantor for such use and occupancy.</w:t>
      </w:r>
    </w:p>
    <w:p>
      <w:pPr>
        <w:spacing w:after="0" w:line="17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License</w:t>
      </w:r>
      <w:r>
        <w:rPr>
          <w:rFonts w:ascii="Arial" w:cs="Arial" w:eastAsia="Arial" w:hAnsi="Arial"/>
          <w:sz w:val="17"/>
          <w:szCs w:val="17"/>
          <w:color w:val="auto"/>
        </w:rPr>
        <w:t>. The Collateral Agent is hereby granted a license or other right to use, following the occurrence and during the continuance of an Event of Default and subject to the terms of the Intercreditor Agreement, without charge, each Grantor’s labels, Patents, Copyrights, rights of use of any name, trade secrets, trade names, Trademarks, service marks, customer lists and advertising matter, or any property of a similar nature, in each case, to the extent it pertains to the Collateral, in completing production of, advertising for sale, and selling any Collateral, and, following the occurrence and during the continuance of an Event of Default, subject to the terms of the Intercreditor Agreement, such Grantor’s rights under all licenses and all franchise agreements shall inure to the Collateral Agent’s benefit. In addition, each Grantor hereby irrevocably agrees that the Collateral Agent may, following the occurrence and during the continuance of an Event of Default, subject to the terms of the Intercreditor Agreement, sell any of such Grantor’s Inventory constituting Collateral directly to any person, including without limitation persons who have previously purchased such Grantor’s Inventory from such Grantor and in connection with any such sale or other enforcement of the Collateral Agent’s rights under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Security Agreement, may sell such Inventory which bears any trademark owned by or licensed to such Grantor and any such Inventory that is covered by any copyright owned by or licensed to such Grantor and the Collateral Agent may (but shall have no obligation to) finish any work in process and affix any trademark owned by or licensed to such Grantor and sell such Inventory as provided herein.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WAIVERS, AMENDMENTS AND REMEDIES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No delay or omission of the Collateral Agent or any other Secured Party to exercise any right or remedy granted under this Security Agreement shall impair such right or remedy or be construed to be a waiver of any Default or Event of Default or an acquiescence therein, and any single or partial exercise of any such right or remedy shall not preclude any other or further exercise thereof or the exercise of any other right or remedy. No waiver, amendment or other variation of the terms, conditions or provisions of this Security Agreement whatsoever shall be valid unless in writing signed by </w:t>
      </w:r>
      <w:r>
        <w:rPr>
          <w:rFonts w:ascii="Arial" w:cs="Arial" w:eastAsia="Arial" w:hAnsi="Arial"/>
          <w:sz w:val="16"/>
          <w:szCs w:val="16"/>
          <w:color w:val="auto"/>
        </w:rPr>
        <w:t>each Grantor and the</w:t>
      </w:r>
      <w:r>
        <w:rPr>
          <w:rFonts w:ascii="Arial" w:cs="Arial" w:eastAsia="Arial" w:hAnsi="Arial"/>
          <w:sz w:val="17"/>
          <w:szCs w:val="17"/>
          <w:color w:val="auto"/>
        </w:rPr>
        <w:t xml:space="preserve"> </w:t>
      </w:r>
      <w:r>
        <w:rPr>
          <w:rFonts w:ascii="Arial" w:cs="Arial" w:eastAsia="Arial" w:hAnsi="Arial"/>
          <w:sz w:val="16"/>
          <w:szCs w:val="16"/>
          <w:color w:val="auto"/>
        </w:rPr>
        <w:t>Collateral Agent (acting at the direction of the requisite parties under Section 11.01 of the Credit Agreement)</w:t>
      </w:r>
      <w:r>
        <w:rPr>
          <w:rFonts w:ascii="Arial" w:cs="Arial" w:eastAsia="Arial" w:hAnsi="Arial"/>
          <w:sz w:val="17"/>
          <w:szCs w:val="17"/>
          <w:color w:val="auto"/>
        </w:rPr>
        <w:t>, and then only to the extent in such writing</w:t>
      </w:r>
      <w:r>
        <w:rPr>
          <w:rFonts w:ascii="Arial" w:cs="Arial" w:eastAsia="Arial" w:hAnsi="Arial"/>
          <w:sz w:val="16"/>
          <w:szCs w:val="16"/>
          <w:color w:val="auto"/>
        </w:rPr>
        <w:t xml:space="preserve"> </w:t>
      </w:r>
      <w:r>
        <w:rPr>
          <w:rFonts w:ascii="Arial" w:cs="Arial" w:eastAsia="Arial" w:hAnsi="Arial"/>
          <w:sz w:val="17"/>
          <w:szCs w:val="17"/>
          <w:color w:val="auto"/>
        </w:rPr>
        <w:t xml:space="preserve">specifically set forth;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addition of any Subsidiary as a Grantor hereunder by execution of a Security Agreement Supplement in the form of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(with such modifications as shall be acceptable to the Collateral Agent) shall not require receipt of any consent from or execution of any documentation by any other Grantor party hereto. All rights and remedies contained in this Security Agreement or by law afforded shall be cumulative and all shall be available to the Collateral Agent, and the Secured Parties until Payment in Full.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PROCEEDS; COLLECTION OF RECEIVABLES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Lockboxes</w:t>
      </w:r>
      <w:r>
        <w:rPr>
          <w:rFonts w:ascii="Arial" w:cs="Arial" w:eastAsia="Arial" w:hAnsi="Arial"/>
          <w:sz w:val="18"/>
          <w:szCs w:val="18"/>
          <w:color w:val="auto"/>
        </w:rPr>
        <w:t>. Upon request of the Collateral Agent after the occurrence and during the continuance of an Event of Default and subject to the terms of the Intercreditor Agreement, each Grantor shall execute and deliver to the Collateral Agent irrevocable lockbox agreements in the form provided by or otherwise reasonably acceptable to the Collateral Agent, which agreements, if so required by the Collateral Agent, shall be accompanied by an acknowledgment by the bank where the lockbox is located of the Lien of the Collateral Agent granted hereunder and of irrevocable instructions to wire all amounts collected therein to a special collateral account at the Collateral Agent.</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Collection of Receivables</w:t>
      </w:r>
      <w:r>
        <w:rPr>
          <w:rFonts w:ascii="Arial" w:cs="Arial" w:eastAsia="Arial" w:hAnsi="Arial"/>
          <w:sz w:val="18"/>
          <w:szCs w:val="18"/>
          <w:color w:val="auto"/>
        </w:rPr>
        <w:t>. The Collateral Agent may at any time after the occurrence and during the continuance of an Event of Default and subject to the terms of the Intercreditor Agreement, by giving each Grantor written notice, elect to require that the Receivables be paid directly to the Collateral Agent for the benefit of the Secured Parties. In such event, subject to the terms of the Intercreditor Agreement, each Grantor shall, and shall permit the Collateral Agent to, promptly notify the account debtors or obligors under the Receivables owned by such Grantor of the Collateral Agent’s interest therein and direct such account debtors or obligors to make payment of all amounts then or thereafter due under such Receivables directly to the Collateral Agent. Upon receipt of any such notice from the Collateral Agent, each Grantor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shall thereafter during the continuance of any Event of Default and subject to the terms of the Intercreditor Agreement, hold in trust for the Collateral Agent, on behalf of the Secured Parties, all amounts and proceeds received by it with respect to the Receivables and other Collateral and immediately and at all times thereafter deliver to the Collateral Agent all such amounts and proceeds in the same form as so received, whether by cash, check, draft or otherwise, with any necessary endorsements. The Collateral Agent shall hold and apply funds so received as provided by the terms of </w:t>
      </w:r>
      <w:r>
        <w:rPr>
          <w:rFonts w:ascii="Arial" w:cs="Arial" w:eastAsia="Arial" w:hAnsi="Arial"/>
          <w:sz w:val="16"/>
          <w:szCs w:val="16"/>
          <w:u w:val="single" w:color="auto"/>
          <w:color w:val="auto"/>
        </w:rPr>
        <w:t>Sections 7.3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7.4</w:t>
      </w:r>
      <w:r>
        <w:rPr>
          <w:rFonts w:ascii="Arial" w:cs="Arial" w:eastAsia="Arial" w:hAnsi="Arial"/>
          <w:sz w:val="16"/>
          <w:szCs w:val="16"/>
          <w:color w:val="auto"/>
        </w:rPr>
        <w:t xml:space="preserve"> hereof.</w:t>
      </w:r>
    </w:p>
    <w:p>
      <w:pPr>
        <w:spacing w:after="0" w:line="154"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Special Collateral Account</w:t>
      </w:r>
      <w:r>
        <w:rPr>
          <w:rFonts w:ascii="Arial" w:cs="Arial" w:eastAsia="Arial" w:hAnsi="Arial"/>
          <w:sz w:val="17"/>
          <w:szCs w:val="17"/>
          <w:color w:val="auto"/>
        </w:rPr>
        <w:t xml:space="preserve">. Upon the occurrence and during the continuance of an Event of Default and subject to the terms of the Intercreditor Agreement, the Collateral Agent may require, by giving the Grantors written notice, that all cash proceeds of the Collateral to be deposited in a special non-interest bearing cash collateral account with the Collateral Agent and held there as security for the Secured Obligations. No Grantor shall have any control whatsoever over such cash collateral account. The Collateral Agent may from time to time deposit the collected balances in such cash collateral account into the applicable Grantor’s general operating account with the Administrative Agent. Subject to the Intercreditor Agreement, if any Default has occurred and is continuing, the Administrative Agent may (and shall, at the direction of the Required Lenders), from time to time, direct the Collateral Agent to, and the Collateral Agent shall, transfer the collected balances in such cash collateral account to the Administrative Agent for application to the payment of the Secured Obligations in accordance with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hereof.</w:t>
      </w:r>
    </w:p>
    <w:p>
      <w:pPr>
        <w:spacing w:after="0" w:line="17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Application of Proceeds</w:t>
      </w:r>
      <w:r>
        <w:rPr>
          <w:rFonts w:ascii="Arial" w:cs="Arial" w:eastAsia="Arial" w:hAnsi="Arial"/>
          <w:sz w:val="16"/>
          <w:szCs w:val="16"/>
          <w:color w:val="auto"/>
        </w:rPr>
        <w:t xml:space="preserve">. Subject to the Intercreditor Agreement, the proceeds of the Collateral shall be applied by the Collateral Agent (for further application by the relevant Secured Party) to payment of the Secured Obligations as provided under </w:t>
      </w:r>
      <w:r>
        <w:rPr>
          <w:rFonts w:ascii="Arial" w:cs="Arial" w:eastAsia="Arial" w:hAnsi="Arial"/>
          <w:sz w:val="16"/>
          <w:szCs w:val="16"/>
          <w:u w:val="single" w:color="auto"/>
          <w:color w:val="auto"/>
        </w:rPr>
        <w:t>Sections 4.01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9.04</w:t>
      </w:r>
      <w:r>
        <w:rPr>
          <w:rFonts w:ascii="Arial" w:cs="Arial" w:eastAsia="Arial" w:hAnsi="Arial"/>
          <w:sz w:val="16"/>
          <w:szCs w:val="16"/>
          <w:color w:val="auto"/>
        </w:rPr>
        <w:t xml:space="preserve"> of the Credit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ectPr>
          <w:pgSz w:w="11900" w:h="16874" w:orient="portrait"/>
          <w:cols w:equalWidth="0" w:num="1">
            <w:col w:w="11420"/>
          </w:cols>
          <w:pgMar w:left="240" w:top="125" w:right="239" w:bottom="0" w:gutter="0" w:footer="0" w:header="0"/>
        </w:sectPr>
      </w:pPr>
    </w:p>
    <w:bookmarkStart w:id="217" w:name="page218"/>
    <w:bookmarkEnd w:id="217"/>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PROVISIONS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Notice of Disposition of Collateral; Condition of Collateral; Certain Waivers</w:t>
      </w:r>
      <w:r>
        <w:rPr>
          <w:rFonts w:ascii="Arial" w:cs="Arial" w:eastAsia="Arial" w:hAnsi="Arial"/>
          <w:sz w:val="17"/>
          <w:szCs w:val="17"/>
          <w:color w:val="auto"/>
        </w:rPr>
        <w:t>. Each Grantor hereby waives notice of the time and place of any public sale or the time after which any private sale or other disposition of all or any part of the Collateral may be made. To the extent such notice may not be waived under applicable law, any notice made shall be deemed reasonable if sent to the Grantors, addressed as set forth in Article IX, at least ten (10) days prior to (i) the date of any such public sale or (ii) the time after which any such private sale or other disposition may be made. To the maximum extent permitted by applicable law, each Grantor waives all claims, damages, and demands against the Collateral Agent or any other Secured Party arising out of the repossession, retention or sale of the Collateral, except such as arise solely out of the gross negligence or willful misconduct of the Collateral Agent or such other Secured Party, or its or their agents, employees, officers, nominees or other representatives, as finally determined by a court of competent jurisdiction. To the extent it may lawfully do so, each Grantor absolutely and irrevocably waives and relinquishes the benefit and advantage of, and covenants not to assert against the Collateral Agent or any other Secured Party, any valuation, stay, appraisal, extension, moratorium, redemption or similar laws and any and all rights or defenses it may have as a surety now or hereafter existing which, but for this provision, might be applicable to the sale of any Collateral made under the judgment, order or decree of any court, or privately under the power of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sale conferred by this Security Agreement, or otherwise. Except as otherwise specifically provided herein, each Grantor hereby waives presentment, demand, protest or any notice (to the maximum extent permitted by applicable law) of any kind in connection with this Security Agreement or any Collateral, and waives any and all rights of subrogation, reimbursement, exoneration, contribution, indemnification or setoff that such Grantor may have against the Collateral or any other Grantor until Payment in Full. Without limiting the foregoing, the Collateral Agent’s and the Secured Parties’ rights hereunder shall not be released, diminished, impaired, reduced or adversely affected by: (i) the renewal, extension, modification, amendment or alteration of any Loan Document in accordance with the terms thereof; (ii) any adjustment, indulgence, delay, omission, forbearance or compromise, or any full or partial release, that might be granted or given by the Collateral Agent or the Secured Parties to any primary or secondary obligor under the Loan Documents or in connection with any Collateral; or (iii) notice of any of the foregoing.</w:t>
      </w:r>
    </w:p>
    <w:p>
      <w:pPr>
        <w:spacing w:after="0" w:line="17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Limitation on Collateral Agent’s and other Secured Parties’ Duty with Respect to the Collateral</w:t>
      </w:r>
      <w:r>
        <w:rPr>
          <w:rFonts w:ascii="Arial" w:cs="Arial" w:eastAsia="Arial" w:hAnsi="Arial"/>
          <w:sz w:val="16"/>
          <w:szCs w:val="16"/>
          <w:color w:val="auto"/>
        </w:rPr>
        <w:t>. The Collateral Agent shall have no obligation to clean-up or otherwise prepare the Collateral for sale. The Collateral Agent and each other Secured Party shall use reasonable care with respect to the Collateral in its possession or under its control (or in the possession or under the care of any agent, employee, officer, nominee or other representative of the Collateral Agent or such other Secured Party). Neither the Collateral Agent nor any other Secured Party shall have any other duty as to any Collateral in its possession or control or in the possession or control of any agent or nominee of the Collateral Agent or such other Secured Party, or any income thereon or as to the preservation of rights against prior parties or any other rights pertaining thereto. To the extent that applicable law imposes duties on the Collateral Agent to exercise remedies in a commercially reasonable manner, each Grantor acknowledges and agrees that it is commercially reasonable for the Collateral Agent (i) to fail to incur expenses deemed significant by the Collateral Agent to prepare Collateral for disposition or otherwise to transform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account debtors or other Persons obligated on Collateral or to remove Liens on or any adverse claims against Collateral, (iv) to exercise collection remedies against account debtors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such Grantor, for expressions of interest in acquiring all or any portion of such Collateral, (vii) to hire one or more professional auctioneers to assist in the disposition of Collateral, whether or not the Collateral is of a specialized nature, (viii) 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the Collateral Agent against risks of loss, collection or disposition of Collateral or to provide to the Collateral Agent a guaranteed return from the collection or disposition of Collateral, or (xii) to the extent deemed appropriate by the Collateral Agent, to obtain the services of other brokers, investment bankers, consultants and other professionals to</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assist the Collateral Agent in the collection or disposition of any of the Collateral. Each Grantor acknowledges that the purpose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is to provide non-exhaustive indications of what actions or omissions by the Collateral Agent would be commercially reasonable in the Collateral Agent</w:t>
      </w:r>
      <w:r>
        <w:rPr>
          <w:rFonts w:ascii="Arial" w:cs="Arial" w:eastAsia="Arial" w:hAnsi="Arial"/>
          <w:sz w:val="17"/>
          <w:szCs w:val="17"/>
          <w:color w:val="auto"/>
        </w:rPr>
        <w:t>’</w:t>
      </w:r>
      <w:r>
        <w:rPr>
          <w:rFonts w:ascii="Arial" w:cs="Arial" w:eastAsia="Arial" w:hAnsi="Arial"/>
          <w:sz w:val="18"/>
          <w:szCs w:val="18"/>
          <w:color w:val="auto"/>
        </w:rPr>
        <w:t xml:space="preserve">s exercise of remedies against the Collateral and that other actions or omissions by the Collateral Agent shall not be deemed commercially unreasonable solely on account of not being indicated in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Without limitation upon the foregoing, nothing contained in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be construed to grant any rights to any Grantor or to impose any duties on the Collateral Agent that would not have been granted or imposed by this Security Agreement or by applicable law in the absence of this </w:t>
      </w:r>
      <w:r>
        <w:rPr>
          <w:rFonts w:ascii="Arial" w:cs="Arial" w:eastAsia="Arial" w:hAnsi="Arial"/>
          <w:sz w:val="18"/>
          <w:szCs w:val="18"/>
          <w:u w:val="single" w:color="auto"/>
          <w:color w:val="auto"/>
        </w:rPr>
        <w:t>Section 8.2.</w:t>
      </w:r>
    </w:p>
    <w:p>
      <w:pPr>
        <w:spacing w:after="0" w:line="193" w:lineRule="exact"/>
        <w:rPr>
          <w:sz w:val="20"/>
          <w:szCs w:val="20"/>
          <w:color w:val="auto"/>
        </w:rPr>
      </w:pPr>
    </w:p>
    <w:p>
      <w:pPr>
        <w:ind w:right="220" w:firstLine="648"/>
        <w:spacing w:after="0" w:line="271"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Compromises and Collection of Collateral</w:t>
      </w:r>
      <w:r>
        <w:rPr>
          <w:rFonts w:ascii="Arial" w:cs="Arial" w:eastAsia="Arial" w:hAnsi="Arial"/>
          <w:sz w:val="17"/>
          <w:szCs w:val="17"/>
          <w:color w:val="auto"/>
        </w:rPr>
        <w:t>. Each Grantor and the Collateral Agent (on behalf of itself and the other Secured Parties) recognize that setoffs, counterclaims, defenses and other claims may be asserted by obligors with respect to certain of the Receivables, that certain of the Receivables may be or become uncollectible in whole or in part and that the expense and probability of success in litigating a disputed Receivable may exceed the amount that reasonably may be expected to be recovered with respect to a Receivable. In view of the foregoing, each Grantor agrees that the Collateral Agent may at any time and from time to time, if an Event of Default has occurred and is continuing and subject to the Intercreditor Agreement, compromise with the obligor on any Receivable, accept in full payment of any Receivable such amount as the Collateral Agent in its sole discretion shall determine or abandon any Receivable, and any such action by the Collateral Agent shall be commercially reasonable so long as the Collateral Agent acts in good faith based on information known to it at the time it takes any such action.</w:t>
      </w:r>
    </w:p>
    <w:p>
      <w:pPr>
        <w:spacing w:after="0" w:line="1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Secured Party Performance of Grantor’s Obligations</w:t>
      </w:r>
      <w:r>
        <w:rPr>
          <w:rFonts w:ascii="Arial" w:cs="Arial" w:eastAsia="Arial" w:hAnsi="Arial"/>
          <w:sz w:val="18"/>
          <w:szCs w:val="18"/>
          <w:color w:val="auto"/>
        </w:rPr>
        <w:t xml:space="preserve">. Without having any obligation to do so, the Collateral Agent (or the Administrative Agent at the Collateral Agent’s direction) may perform or pay any obligation which any Grantor has agreed to perform or pay in this Security Agreement and fails to so perform or pay and such Grantor shall reimburse the Collateral Agent (or the Administrative Agent, if applicable) for any reasonable and documented amounts paid by the Collateral Agent (or the Administrative Agent, if applicable) pursuant to this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Each Grantor’s obligation to reimburse the Collateral Agent (or the Administrative Agent, if applicable) pursuant to the preceding sentence shall be a Secured Obligation payable on demand.</w:t>
      </w:r>
    </w:p>
    <w:p>
      <w:pPr>
        <w:sectPr>
          <w:pgSz w:w="11900" w:h="16906" w:orient="portrait"/>
          <w:cols w:equalWidth="0" w:num="1">
            <w:col w:w="11420"/>
          </w:cols>
          <w:pgMar w:left="240" w:top="342" w:right="239" w:bottom="0" w:gutter="0" w:footer="0" w:header="0"/>
        </w:sectPr>
      </w:pPr>
    </w:p>
    <w:bookmarkStart w:id="218" w:name="page219"/>
    <w:bookmarkEnd w:id="218"/>
    <w:p>
      <w:pPr>
        <w:spacing w:after="0" w:line="137"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Authorization for Agents to Take Certain Action</w:t>
      </w:r>
      <w:r>
        <w:rPr>
          <w:rFonts w:ascii="Arial" w:cs="Arial" w:eastAsia="Arial" w:hAnsi="Arial"/>
          <w:sz w:val="16"/>
          <w:szCs w:val="16"/>
          <w:color w:val="auto"/>
        </w:rPr>
        <w:t>. Each Grantor irrevocably authorizes the Collateral Agent at any time and from time to time in the sole discretion of the Collateral Agent, and appoints the Collateral Agent as its attorney in fact (i) to execute on behalf of such Grantor as debtor and to file financing statements necessary or desirable in the Collateral Agent’s sole discretion to perfect and to maintain the perfection and priority of the Collateral Agent’s security interest in the Collateral, (ii) to indorse and collect any cash proceeds of the Collateral, (iii) to file a carbon, photographic or other reproduction of this Security Agreement or any financing statement with respect to the Collateral as a financing statement and to file any other financing statement or amendment of a financing statement (which does not add new collateral or add a debtor) in such offices as the Collateral Agent in its sole discretion deems necessary or desirable to perfect and to maintain the perfection and priority of the Collateral Agent’s security interest in the Collateral,</w:t>
      </w:r>
    </w:p>
    <w:p>
      <w:pPr>
        <w:spacing w:after="0" w:line="3" w:lineRule="exact"/>
        <w:rPr>
          <w:sz w:val="20"/>
          <w:szCs w:val="20"/>
          <w:color w:val="auto"/>
        </w:rPr>
      </w:pPr>
    </w:p>
    <w:p>
      <w:pPr>
        <w:ind w:right="560" w:firstLine="8"/>
        <w:spacing w:after="0" w:line="261" w:lineRule="auto"/>
        <w:tabs>
          <w:tab w:leader="none" w:pos="305"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to contact and enter into one or more agreements with the issuers of uncertificated securities which are Collateral owned by such Grantor and with financial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intermediaries holding other Investment Property which is Collateral as may be necessary or advisable to give the Collateral Agent Control (subject to the terms of the Intercreditor Agreement) over such Investment Property, (v) solely to the extent an Event of Default has occurred and is continuing and subject to the terms of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hereof, to enforce payment of the Instruments, Accounts and Receivables constituting Collateral in the name of the Collateral Agent or such Grantor, (vi) solely to the extent an Event of Default has occurred and is continuing, to apply the proceeds of any Collateral received by the Collateral Agent to the Secured Obligations as provided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(vii) to discharge past due taxes, assessments, charges, fees or Liens on the Collateral (except for such Liens as are specifically permitted hereunder or under any other Loan Document), and each Grantor agrees to reimburse the Collateral Agent on demand for any reasonable and documented payment made or any reasonable and documented expense incurred by the Collateral Agent in connection therewith, provided that this authorization shall not relieve any Grantor of any of its obligations under this Security Agreement or under the Credit Agreement.</w:t>
      </w:r>
    </w:p>
    <w:p>
      <w:pPr>
        <w:spacing w:after="0" w:line="19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Specific Performance of Certain Covenants</w:t>
      </w:r>
      <w:r>
        <w:rPr>
          <w:rFonts w:ascii="Arial" w:cs="Arial" w:eastAsia="Arial" w:hAnsi="Arial"/>
          <w:sz w:val="17"/>
          <w:szCs w:val="17"/>
          <w:color w:val="auto"/>
        </w:rPr>
        <w:t xml:space="preserve">. Each Grantor acknowledges and agrees that a breach of any of the covenants contained in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or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hereof will cause irreparable injury to the Collateral Agent and the other Secured Parties, that the Collateral Agent and the other Secured Parties have no adequate remedy at law in respect of such breaches and therefore agrees, without limiting the right of the Collateral Agent or the other Secured Parties to seek and obtain specific performance of other obligations of the Grantors contained in this Security Agreement, that the covenants of the Grantors contained in the Sections referred to in this </w:t>
      </w:r>
      <w:r>
        <w:rPr>
          <w:rFonts w:ascii="Arial" w:cs="Arial" w:eastAsia="Arial" w:hAnsi="Arial"/>
          <w:sz w:val="17"/>
          <w:szCs w:val="17"/>
          <w:u w:val="single" w:color="auto"/>
          <w:color w:val="auto"/>
        </w:rPr>
        <w:t>Section 8.6</w:t>
      </w:r>
      <w:r>
        <w:rPr>
          <w:rFonts w:ascii="Arial" w:cs="Arial" w:eastAsia="Arial" w:hAnsi="Arial"/>
          <w:sz w:val="17"/>
          <w:szCs w:val="17"/>
          <w:color w:val="auto"/>
        </w:rPr>
        <w:t xml:space="preserve"> shall be specifically enforceable against the Grantors.</w:t>
      </w:r>
    </w:p>
    <w:p>
      <w:pPr>
        <w:spacing w:after="0" w:line="17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Use and Possession of Certain Premises</w:t>
      </w:r>
      <w:r>
        <w:rPr>
          <w:rFonts w:ascii="Arial" w:cs="Arial" w:eastAsia="Arial" w:hAnsi="Arial"/>
          <w:sz w:val="17"/>
          <w:szCs w:val="17"/>
          <w:color w:val="auto"/>
        </w:rPr>
        <w:t xml:space="preserve">. Upon the occurrence and during the continuance of an Event of Default and subject to the Intercreditor Agreement, the Collateral Agent shall be entitled to occupy and use any premises owned or leased by the Grantors where any of the Collateral or any records relating to the Collateral are located until the Secured Obligations are paid or the Collateral is removed therefrom, whichever first occurs, without any obligation to pay any Grantor for such use and occupancy, subject to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hereof all respects.</w:t>
      </w:r>
    </w:p>
    <w:p>
      <w:pPr>
        <w:spacing w:after="0" w:line="16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u w:val="single" w:color="auto"/>
          <w:color w:val="auto"/>
        </w:rPr>
        <w:t>Reserved.</w:t>
      </w:r>
      <w:r>
        <w:rPr>
          <w:rFonts w:ascii="Arial" w:cs="Arial" w:eastAsia="Arial" w:hAnsi="Arial"/>
          <w:sz w:val="15"/>
          <w:szCs w:val="15"/>
          <w:b w:val="1"/>
          <w:bCs w:val="1"/>
          <w:color w:val="auto"/>
        </w:rPr>
        <w:t>]</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Reinstatement</w:t>
      </w:r>
      <w:r>
        <w:rPr>
          <w:rFonts w:ascii="Arial" w:cs="Arial" w:eastAsia="Arial" w:hAnsi="Arial"/>
          <w:sz w:val="18"/>
          <w:szCs w:val="18"/>
          <w:color w:val="auto"/>
        </w:rPr>
        <w:t>. This Security Agreement shall remain in full force and effect and continue to be effective should any petition be filed by or against any Grantor for liquidation or reorganization, should any Grantor become insolvent or make an assignment for the benefit of any creditor or creditors or should a receiver or trustee be appointed for all or any significant part of any Grantor’s assets, and shall continue to be effective or be reinstated, as the case may be, if at any time payment and performance of the Secured Obligations, or any part thereof, is, pursuant to applicable law, rescinded or reduced in amount, or must otherwise be restored or returned by any obligee of the Secured Obligations, whether as a “voidable preference,” “fraudulent conveyance,” or otherwise, all as though such payment or performance had not been made. In the event that any payment, or any part thereof, is rescinded, reduced, restored or returned, the Secured Obligations shall be reinstated and deemed reduced only by such amount paid and not so rescinded, reduced, restored or returned.</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Benefit of Agreement</w:t>
      </w:r>
      <w:r>
        <w:rPr>
          <w:rFonts w:ascii="Arial" w:cs="Arial" w:eastAsia="Arial" w:hAnsi="Arial"/>
          <w:sz w:val="18"/>
          <w:szCs w:val="18"/>
          <w:color w:val="auto"/>
        </w:rPr>
        <w:t>. The terms and provisions of this Security Agreement shall be binding upon and inure to the benefit of the Grantors, the Collateral Agent and the other Secured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xml:space="preserve">Parties and their respective successors and assigns (including all persons who become bound as a debtor to this Security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Grantors shall not have the right to assign their rights or delegate their obligations under this Security Agreement or any interest herein, except as permitted under the Credit Agreement. No sales of participations, assignments, transfers, or other dispositions of any agreement governing the Secured Obligations or any portion thereof or interest therein shall in any manner impair the Lien granted to the Collateral Agent, for the benefit of the Secured Parties, hereunder.</w:t>
      </w:r>
    </w:p>
    <w:p>
      <w:pPr>
        <w:spacing w:after="0" w:line="15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Survival of Representations</w:t>
      </w:r>
      <w:r>
        <w:rPr>
          <w:rFonts w:ascii="Arial" w:cs="Arial" w:eastAsia="Arial" w:hAnsi="Arial"/>
          <w:sz w:val="18"/>
          <w:szCs w:val="18"/>
          <w:color w:val="auto"/>
        </w:rPr>
        <w:t>. All representations and warranties of the Grantors contained in this Security Agreement shall survive the execution and delivery of this Security Agreement.</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Taxes and Expenses</w:t>
      </w:r>
      <w:r>
        <w:rPr>
          <w:rFonts w:ascii="Arial" w:cs="Arial" w:eastAsia="Arial" w:hAnsi="Arial"/>
          <w:sz w:val="18"/>
          <w:szCs w:val="18"/>
          <w:color w:val="auto"/>
        </w:rPr>
        <w:t xml:space="preserve">. To the extent required by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the Credit Agreement, any Other Taxes payable or ruled payable by a Federal or State authority in respect of this Security Agreement shall be paid by the Grantors, together with, to the extent required by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the Credit Agreement, interest and penalties, if any. The Grantors shall reimburse the Collateral Agent for any and all of its reasonable out-of-pocket expenses (including reasonable external legal, auditors’ and accountants’ fees) if and to the extent the Borrowers are required to reimburse such amounts under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of the Credit Agreement. Any and all costs and expenses incurred by the Grantors in the performance of actions required pursuant to the terms hereof shall be borne solely by the Grantors.</w:t>
      </w:r>
    </w:p>
    <w:p>
      <w:pPr>
        <w:spacing w:after="0" w:line="19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Headings</w:t>
      </w:r>
      <w:r>
        <w:rPr>
          <w:rFonts w:ascii="Arial" w:cs="Arial" w:eastAsia="Arial" w:hAnsi="Arial"/>
          <w:sz w:val="18"/>
          <w:szCs w:val="18"/>
          <w:color w:val="auto"/>
        </w:rPr>
        <w:t>. The title of and section headings in this Security Agreement are for convenience of reference only, and shall not govern the interpretation of any of the terms and provisions of this Security Agreement.</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16"/>
          <w:szCs w:val="16"/>
          <w:u w:val="single" w:color="auto"/>
          <w:color w:val="auto"/>
        </w:rPr>
        <w:t>Termination; Release of Non-Current Assets</w:t>
      </w:r>
      <w:r>
        <w:rPr>
          <w:rFonts w:ascii="Arial" w:cs="Arial" w:eastAsia="Arial" w:hAnsi="Arial"/>
          <w:sz w:val="16"/>
          <w:szCs w:val="16"/>
          <w:color w:val="auto"/>
        </w:rPr>
        <w:t>.</w:t>
      </w:r>
    </w:p>
    <w:p>
      <w:pPr>
        <w:spacing w:after="0" w:line="225" w:lineRule="exact"/>
        <w:rPr>
          <w:sz w:val="20"/>
          <w:szCs w:val="20"/>
          <w:color w:val="auto"/>
        </w:rPr>
      </w:pPr>
    </w:p>
    <w:p>
      <w:pPr>
        <w:ind w:left="1300" w:right="20" w:hanging="320"/>
        <w:spacing w:after="0" w:line="342" w:lineRule="auto"/>
        <w:tabs>
          <w:tab w:leader="none" w:pos="1297" w:val="left"/>
        </w:tabs>
        <w:numPr>
          <w:ilvl w:val="0"/>
          <w:numId w:val="529"/>
        </w:numPr>
        <w:rPr>
          <w:rFonts w:ascii="Arial" w:cs="Arial" w:eastAsia="Arial" w:hAnsi="Arial"/>
          <w:sz w:val="16"/>
          <w:szCs w:val="16"/>
          <w:color w:val="auto"/>
        </w:rPr>
      </w:pPr>
      <w:r>
        <w:rPr>
          <w:rFonts w:ascii="Arial" w:cs="Arial" w:eastAsia="Arial" w:hAnsi="Arial"/>
          <w:sz w:val="16"/>
          <w:szCs w:val="16"/>
          <w:color w:val="auto"/>
        </w:rPr>
        <w:t>This Security Agreement shall continue in effect (notwithstanding the fact that from time to time there may be no Secured Obligations outstanding) until Payment in Full. Notwithstanding the foregoing, the obligations of any individual Grantor under this Security Agreement</w:t>
      </w:r>
    </w:p>
    <w:p>
      <w:pPr>
        <w:sectPr>
          <w:pgSz w:w="11900" w:h="16975" w:orient="portrait"/>
          <w:cols w:equalWidth="0" w:num="1">
            <w:col w:w="11420"/>
          </w:cols>
          <w:pgMar w:left="240" w:top="341" w:right="239" w:bottom="0" w:gutter="0" w:footer="0" w:header="0"/>
        </w:sectPr>
      </w:pPr>
    </w:p>
    <w:bookmarkStart w:id="219" w:name="page220"/>
    <w:bookmarkEnd w:id="219"/>
    <w:p>
      <w:pPr>
        <w:spacing w:after="0" w:line="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shall automatically terminate to the extent provided in and in accordance with </w:t>
      </w:r>
      <w:r>
        <w:rPr>
          <w:rFonts w:ascii="Arial" w:cs="Arial" w:eastAsia="Arial" w:hAnsi="Arial"/>
          <w:sz w:val="18"/>
          <w:szCs w:val="18"/>
          <w:u w:val="single" w:color="auto"/>
          <w:color w:val="auto"/>
        </w:rPr>
        <w:t>Section 11.22</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left="1300" w:right="20" w:hanging="320"/>
        <w:spacing w:after="0" w:line="291" w:lineRule="auto"/>
        <w:tabs>
          <w:tab w:leader="none" w:pos="1307" w:val="left"/>
        </w:tabs>
        <w:numPr>
          <w:ilvl w:val="0"/>
          <w:numId w:val="530"/>
        </w:numPr>
        <w:rPr>
          <w:rFonts w:ascii="Arial" w:cs="Arial" w:eastAsia="Arial" w:hAnsi="Arial"/>
          <w:sz w:val="16"/>
          <w:szCs w:val="16"/>
          <w:color w:val="auto"/>
        </w:rPr>
      </w:pPr>
      <w:r>
        <w:rPr>
          <w:rFonts w:ascii="Arial" w:cs="Arial" w:eastAsia="Arial" w:hAnsi="Arial"/>
          <w:sz w:val="16"/>
          <w:szCs w:val="16"/>
          <w:color w:val="auto"/>
        </w:rPr>
        <w:t>If at any time any Collateral shall be reclassified as, or otherwise becomes, a Non-Current Asset, then the security interest and Lien of the Collateral Agent in such Collateral shall be automatically released. The Collateral Agent, at the request and sole expense of such Grantor, shall execute and deliver to such Grantor all releases or other documents or instruments reasonably requested to further evidence the release of such security interest and Lien in such assets or property if the Company certifies to the Collateral Agent that such has assets or property has been reclassified as a Non-Current Asset (and the Collateral Agent may rely conclusively on any such certificate, without further inquiry). Any such release shall not in any manner discharge, affect, or impair the Secured Obligations or any Liens (other than those expressly being released) upon (or obligations of the Grantors in respect of) all interests retained by the Grantors in the Collateral.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 xml:space="preserve">8.15.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Security Agreement and the other Loan Documents constitute the entire contract among the parties relating to the subject matter hereof and supersede any and all previous agreements and understandings, oral or written, relating to the subject matter hereof.</w:t>
      </w:r>
    </w:p>
    <w:p>
      <w:pPr>
        <w:spacing w:after="0" w:line="14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6"/>
          <w:szCs w:val="16"/>
          <w:u w:val="single" w:color="auto"/>
          <w:color w:val="auto"/>
        </w:rPr>
        <w:t>Governing Law; Jurisdiction; Waiver of Jury Trial</w:t>
      </w:r>
      <w:r>
        <w:rPr>
          <w:rFonts w:ascii="Arial" w:cs="Arial" w:eastAsia="Arial" w:hAnsi="Arial"/>
          <w:sz w:val="16"/>
          <w:szCs w:val="16"/>
          <w:color w:val="auto"/>
        </w:rPr>
        <w:t>.</w:t>
      </w:r>
    </w:p>
    <w:p>
      <w:pPr>
        <w:spacing w:after="0" w:line="221" w:lineRule="exact"/>
        <w:rPr>
          <w:sz w:val="20"/>
          <w:szCs w:val="20"/>
          <w:color w:val="auto"/>
        </w:rPr>
      </w:pPr>
    </w:p>
    <w:p>
      <w:pPr>
        <w:ind w:left="780" w:right="280" w:firstLine="519"/>
        <w:spacing w:after="0" w:line="282" w:lineRule="auto"/>
        <w:rPr>
          <w:sz w:val="20"/>
          <w:szCs w:val="20"/>
          <w:color w:val="auto"/>
        </w:rPr>
      </w:pPr>
      <w:r>
        <w:rPr>
          <w:rFonts w:ascii="Arial" w:cs="Arial" w:eastAsia="Arial" w:hAnsi="Arial"/>
          <w:sz w:val="18"/>
          <w:szCs w:val="18"/>
          <w:color w:val="auto"/>
        </w:rPr>
        <w:t xml:space="preserve">8.16.1. </w:t>
      </w:r>
      <w:r>
        <w:rPr>
          <w:rFonts w:ascii="Arial" w:cs="Arial" w:eastAsia="Arial" w:hAnsi="Arial"/>
          <w:sz w:val="18"/>
          <w:szCs w:val="18"/>
          <w:b w:val="1"/>
          <w:bCs w:val="1"/>
          <w:color w:val="auto"/>
        </w:rPr>
        <w:t>THIS SECURITY AGREEMENT SHALL BE CONSTRUED IN ACCORDANCE WITH AND GOVERNED BY THE</w:t>
      </w:r>
      <w:r>
        <w:rPr>
          <w:rFonts w:ascii="Arial" w:cs="Arial" w:eastAsia="Arial" w:hAnsi="Arial"/>
          <w:sz w:val="18"/>
          <w:szCs w:val="18"/>
          <w:color w:val="auto"/>
        </w:rPr>
        <w:t xml:space="preserve"> </w:t>
      </w:r>
      <w:r>
        <w:rPr>
          <w:rFonts w:ascii="Arial" w:cs="Arial" w:eastAsia="Arial" w:hAnsi="Arial"/>
          <w:sz w:val="18"/>
          <w:szCs w:val="18"/>
          <w:b w:val="1"/>
          <w:bCs w:val="1"/>
          <w:color w:val="auto"/>
        </w:rPr>
        <w:t>LAW OF THE STATE OF NEW YORK.</w:t>
      </w:r>
    </w:p>
    <w:p>
      <w:pPr>
        <w:spacing w:after="0" w:line="166" w:lineRule="exact"/>
        <w:rPr>
          <w:sz w:val="20"/>
          <w:szCs w:val="20"/>
          <w:color w:val="auto"/>
        </w:rPr>
      </w:pPr>
    </w:p>
    <w:p>
      <w:pPr>
        <w:ind w:left="780" w:right="20" w:firstLine="519"/>
        <w:spacing w:after="0" w:line="270" w:lineRule="auto"/>
        <w:rPr>
          <w:sz w:val="20"/>
          <w:szCs w:val="20"/>
          <w:color w:val="auto"/>
        </w:rPr>
      </w:pPr>
      <w:r>
        <w:rPr>
          <w:rFonts w:ascii="Arial" w:cs="Arial" w:eastAsia="Arial" w:hAnsi="Arial"/>
          <w:sz w:val="17"/>
          <w:szCs w:val="17"/>
          <w:color w:val="auto"/>
        </w:rPr>
        <w:t xml:space="preserve">8.16.2. Each Grantor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Security Agreement or any other Loan Document, or for recognition or enforcement of any judgment, and each Grantor hereby irrevocably and unconditionally agrees that all claims in respect of any such action or proceeding may be heard and determined in such New York State court or, to the extent permitted by law, in such Federal court. Each party hereto agrees that a final, non-appealable judgment in any such action or proceeding shall be conclusive and may be enforced in other jurisdictions by suit on the judgment or in any other manner provided by law. Nothing in this Security Agreement or any other Loan Document shall (including this </w:t>
      </w:r>
      <w:r>
        <w:rPr>
          <w:rFonts w:ascii="Arial" w:cs="Arial" w:eastAsia="Arial" w:hAnsi="Arial"/>
          <w:sz w:val="17"/>
          <w:szCs w:val="17"/>
          <w:u w:val="single" w:color="auto"/>
          <w:color w:val="auto"/>
        </w:rPr>
        <w:t>Section 8.16</w:t>
      </w:r>
      <w:r>
        <w:rPr>
          <w:rFonts w:ascii="Arial" w:cs="Arial" w:eastAsia="Arial" w:hAnsi="Arial"/>
          <w:sz w:val="17"/>
          <w:szCs w:val="17"/>
          <w:color w:val="auto"/>
        </w:rPr>
        <w:t>) affect any right that any Secured Party may otherwise have to bring any suit, action or proceeding relating to this Security Agreement or any other Loan Document against any Grantor or its properties in the courts of any jurisdiction.</w:t>
      </w:r>
    </w:p>
    <w:p>
      <w:pPr>
        <w:spacing w:after="0" w:line="178" w:lineRule="exact"/>
        <w:rPr>
          <w:sz w:val="20"/>
          <w:szCs w:val="20"/>
          <w:color w:val="auto"/>
        </w:rPr>
      </w:pPr>
    </w:p>
    <w:p>
      <w:pPr>
        <w:ind w:left="780" w:right="200" w:firstLine="519"/>
        <w:spacing w:after="0" w:line="279" w:lineRule="auto"/>
        <w:rPr>
          <w:sz w:val="20"/>
          <w:szCs w:val="20"/>
          <w:color w:val="auto"/>
        </w:rPr>
      </w:pPr>
      <w:r>
        <w:rPr>
          <w:rFonts w:ascii="Arial" w:cs="Arial" w:eastAsia="Arial" w:hAnsi="Arial"/>
          <w:sz w:val="17"/>
          <w:szCs w:val="17"/>
          <w:color w:val="auto"/>
        </w:rPr>
        <w:t xml:space="preserve">8.16.3. Each Grantor hereby irrevocably and unconditionally waives, to the fullest extent it may legally and effectively do so, any objection which it may now or hereafter have to the laying of venue of any suit, action or proceeding arising out of or relating to this Security Agreement or any other Loan Document in any court referred to in </w:t>
      </w:r>
      <w:r>
        <w:rPr>
          <w:rFonts w:ascii="Arial" w:cs="Arial" w:eastAsia="Arial" w:hAnsi="Arial"/>
          <w:sz w:val="17"/>
          <w:szCs w:val="17"/>
          <w:u w:val="single" w:color="auto"/>
          <w:color w:val="auto"/>
        </w:rPr>
        <w:t>Section 8.16.2</w:t>
      </w:r>
      <w:r>
        <w:rPr>
          <w:rFonts w:ascii="Arial" w:cs="Arial" w:eastAsia="Arial" w:hAnsi="Arial"/>
          <w:sz w:val="17"/>
          <w:szCs w:val="17"/>
          <w:color w:val="auto"/>
        </w:rPr>
        <w:t>. Each Grantor hereby irrevocably waives, to the fullest extent permitted by law, the defense of an inconvenient forum to the maintenance of such action or proceeding in any such court.</w:t>
      </w:r>
    </w:p>
    <w:p>
      <w:pPr>
        <w:spacing w:after="0" w:line="171" w:lineRule="exact"/>
        <w:rPr>
          <w:sz w:val="20"/>
          <w:szCs w:val="20"/>
          <w:color w:val="auto"/>
        </w:rPr>
      </w:pPr>
    </w:p>
    <w:p>
      <w:pPr>
        <w:jc w:val="both"/>
        <w:ind w:left="780" w:right="120" w:firstLine="519"/>
        <w:spacing w:after="0" w:line="264" w:lineRule="auto"/>
        <w:rPr>
          <w:sz w:val="20"/>
          <w:szCs w:val="20"/>
          <w:color w:val="auto"/>
        </w:rPr>
      </w:pPr>
      <w:r>
        <w:rPr>
          <w:rFonts w:ascii="Arial" w:cs="Arial" w:eastAsia="Arial" w:hAnsi="Arial"/>
          <w:sz w:val="18"/>
          <w:szCs w:val="18"/>
          <w:color w:val="auto"/>
        </w:rPr>
        <w:t xml:space="preserve">8.16.4. Each party to this Security Agreement irrevocably consents to service of process in the manner provided for notices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Security Agreement other than by facsimile. Nothing in this Security Agreement or any other Loan Document will affect the right of any party to this Security Agreement to serve process in any other manner permitted by law.</w:t>
      </w:r>
    </w:p>
    <w:p>
      <w:pPr>
        <w:spacing w:after="0" w:line="181" w:lineRule="exact"/>
        <w:rPr>
          <w:sz w:val="20"/>
          <w:szCs w:val="20"/>
          <w:color w:val="auto"/>
        </w:rPr>
      </w:pPr>
    </w:p>
    <w:p>
      <w:pPr>
        <w:ind w:left="780" w:right="120" w:firstLine="519"/>
        <w:spacing w:after="0" w:line="312" w:lineRule="auto"/>
        <w:rPr>
          <w:sz w:val="20"/>
          <w:szCs w:val="20"/>
          <w:color w:val="auto"/>
        </w:rPr>
      </w:pPr>
      <w:r>
        <w:rPr>
          <w:rFonts w:ascii="Arial" w:cs="Arial" w:eastAsia="Arial" w:hAnsi="Arial"/>
          <w:sz w:val="16"/>
          <w:szCs w:val="16"/>
          <w:color w:val="auto"/>
        </w:rPr>
        <w:t>8.16.5. Each Grantor agrees that any suit, action or proceeding brought by any Grantor or any of their respective Subsidiaries relating to this Security Agreement or any other Loan Document against the Collateral Agent, any other Secured Party or any of their respective Affiliates shall be brought exclusively in the United States District Court for the Southern District of New York (or the state courts sitting in the Borough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80" w:right="260"/>
        <w:spacing w:after="0" w:line="277" w:lineRule="auto"/>
        <w:rPr>
          <w:sz w:val="20"/>
          <w:szCs w:val="20"/>
          <w:color w:val="auto"/>
        </w:rPr>
      </w:pPr>
      <w:r>
        <w:rPr>
          <w:rFonts w:ascii="Arial" w:cs="Arial" w:eastAsia="Arial" w:hAnsi="Arial"/>
          <w:sz w:val="18"/>
          <w:szCs w:val="18"/>
          <w:color w:val="auto"/>
        </w:rPr>
        <w:t>Manhattan in the event the Southern District of New York lacks subject matter jurisdiction), and any appellate court from any thereof, unless no such court shall accept jurisdiction.</w:t>
      </w:r>
    </w:p>
    <w:p>
      <w:pPr>
        <w:spacing w:after="0" w:line="170" w:lineRule="exact"/>
        <w:rPr>
          <w:sz w:val="20"/>
          <w:szCs w:val="20"/>
          <w:color w:val="auto"/>
        </w:rPr>
      </w:pPr>
    </w:p>
    <w:p>
      <w:pPr>
        <w:ind w:left="780" w:firstLine="519"/>
        <w:spacing w:after="0" w:line="254" w:lineRule="auto"/>
        <w:rPr>
          <w:sz w:val="20"/>
          <w:szCs w:val="20"/>
          <w:color w:val="auto"/>
        </w:rPr>
      </w:pPr>
      <w:r>
        <w:rPr>
          <w:rFonts w:ascii="Arial" w:cs="Arial" w:eastAsia="Arial" w:hAnsi="Arial"/>
          <w:sz w:val="18"/>
          <w:szCs w:val="18"/>
          <w:color w:val="auto"/>
        </w:rPr>
        <w:t>8.16.6. The Collateral Agent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Security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192" w:lineRule="exact"/>
        <w:rPr>
          <w:sz w:val="20"/>
          <w:szCs w:val="20"/>
          <w:color w:val="auto"/>
        </w:rPr>
      </w:pPr>
    </w:p>
    <w:p>
      <w:pPr>
        <w:ind w:left="780" w:right="80" w:firstLine="519"/>
        <w:spacing w:after="0" w:line="302" w:lineRule="auto"/>
        <w:rPr>
          <w:sz w:val="20"/>
          <w:szCs w:val="20"/>
          <w:color w:val="auto"/>
        </w:rPr>
      </w:pPr>
      <w:r>
        <w:rPr>
          <w:rFonts w:ascii="Arial" w:cs="Arial" w:eastAsia="Arial" w:hAnsi="Arial"/>
          <w:sz w:val="16"/>
          <w:szCs w:val="16"/>
          <w:color w:val="auto"/>
        </w:rPr>
        <w:t xml:space="preserve">8.16.7. The Collateral Agent hereby irrevocably and unconditionally waives, to the fullest extent it may legally and effectively do so, any objection which it may now or hereafter have to the laying of venue of any suit, action or proceeding arising out of or relating to this Security Agreement or any other Loan Document in any court referred to in </w:t>
      </w:r>
      <w:r>
        <w:rPr>
          <w:rFonts w:ascii="Arial" w:cs="Arial" w:eastAsia="Arial" w:hAnsi="Arial"/>
          <w:sz w:val="16"/>
          <w:szCs w:val="16"/>
          <w:u w:val="single" w:color="auto"/>
          <w:color w:val="auto"/>
        </w:rPr>
        <w:t>Section 8.16.2.</w:t>
      </w:r>
      <w:r>
        <w:rPr>
          <w:rFonts w:ascii="Arial" w:cs="Arial" w:eastAsia="Arial" w:hAnsi="Arial"/>
          <w:sz w:val="16"/>
          <w:szCs w:val="16"/>
          <w:color w:val="auto"/>
        </w:rPr>
        <w:t xml:space="preserve"> The Collateral Agent hereby irrevocably waives, to the fullest extent permitted by law, the defense of an inconvenient forum to the maintenance of such action or proceeding in any such court.</w:t>
      </w:r>
    </w:p>
    <w:p>
      <w:pPr>
        <w:spacing w:after="0" w:line="154" w:lineRule="exact"/>
        <w:rPr>
          <w:sz w:val="20"/>
          <w:szCs w:val="20"/>
          <w:color w:val="auto"/>
        </w:rPr>
      </w:pPr>
    </w:p>
    <w:p>
      <w:pPr>
        <w:ind w:left="780" w:firstLine="519"/>
        <w:spacing w:after="0" w:line="312" w:lineRule="auto"/>
        <w:rPr>
          <w:sz w:val="20"/>
          <w:szCs w:val="20"/>
          <w:color w:val="auto"/>
        </w:rPr>
      </w:pPr>
      <w:r>
        <w:rPr>
          <w:rFonts w:ascii="Arial" w:cs="Arial" w:eastAsia="Arial" w:hAnsi="Arial"/>
          <w:sz w:val="16"/>
          <w:szCs w:val="16"/>
          <w:color w:val="auto"/>
        </w:rPr>
        <w:t>8.16.8. To the extent that any Grantor has or hereafter may acquire any immunity from jurisdiction of any court or from set-off or any legal process (whether through service or notice, attachment prior to judgment, attachment in aid of execution, execution or otherwise) with respect to itself or its property, such Grantor hereby irrevocably waives such immunity in respect of its obligations under the Loan Documents.</w:t>
      </w:r>
    </w:p>
    <w:p>
      <w:pPr>
        <w:spacing w:after="0" w:line="147" w:lineRule="exact"/>
        <w:rPr>
          <w:sz w:val="20"/>
          <w:szCs w:val="20"/>
          <w:color w:val="auto"/>
        </w:rPr>
      </w:pPr>
    </w:p>
    <w:p>
      <w:pPr>
        <w:ind w:left="780" w:right="420" w:firstLine="519"/>
        <w:spacing w:after="0" w:line="269" w:lineRule="auto"/>
        <w:rPr>
          <w:sz w:val="20"/>
          <w:szCs w:val="20"/>
          <w:color w:val="auto"/>
        </w:rPr>
      </w:pPr>
      <w:r>
        <w:rPr>
          <w:rFonts w:ascii="Arial" w:cs="Arial" w:eastAsia="Arial" w:hAnsi="Arial"/>
          <w:sz w:val="17"/>
          <w:szCs w:val="17"/>
          <w:color w:val="auto"/>
        </w:rPr>
        <w:t>8.16.9. EACH PARTY HERETO HEREBY WAIVES, TO THE FULLEST EXTENT PERMITTED BY APPLICABLE LAW, ANY RIGHT IT MAY HAVE TO A TRIAL BY JURY IN ANY LEGAL PROCEEDING DIRECTLY OR INDIRECTLY ARISING OUT OF OR RELATING TO THIS SECURITY AGREEMENT, THE OTHER LOAN DOCUMENTS OR THE TRANSACTIONS CONTEMPLATED HEREBY AND THEREBY (WHETHER BASED ON CONTRACT, TORT OR ANY OTHER THEORY). EACH PARTY HERETO</w:t>
      </w:r>
    </w:p>
    <w:p>
      <w:pPr>
        <w:spacing w:after="0" w:line="2" w:lineRule="exact"/>
        <w:rPr>
          <w:sz w:val="20"/>
          <w:szCs w:val="20"/>
          <w:color w:val="auto"/>
        </w:rPr>
      </w:pPr>
    </w:p>
    <w:p>
      <w:pPr>
        <w:ind w:left="780"/>
        <w:spacing w:after="0"/>
        <w:rPr>
          <w:sz w:val="20"/>
          <w:szCs w:val="20"/>
          <w:color w:val="auto"/>
        </w:rPr>
      </w:pPr>
      <w:r>
        <w:rPr>
          <w:rFonts w:ascii="Arial" w:cs="Arial" w:eastAsia="Arial" w:hAnsi="Arial"/>
          <w:sz w:val="17"/>
          <w:szCs w:val="17"/>
          <w:color w:val="auto"/>
        </w:rPr>
        <w:t>(A) CERTIFIES THAT NO REPRESENTATIVE, AGENT OR ATTORNEY OF ANY OTHER PARTY HAS REPRESENTED, EXPRESSLY OR</w:t>
      </w:r>
    </w:p>
    <w:p>
      <w:pPr>
        <w:sectPr>
          <w:pgSz w:w="11900" w:h="16877" w:orient="portrait"/>
          <w:cols w:equalWidth="0" w:num="1">
            <w:col w:w="11400"/>
          </w:cols>
          <w:pgMar w:left="240" w:top="125" w:right="259" w:bottom="0" w:gutter="0" w:footer="0" w:header="0"/>
        </w:sectPr>
      </w:pPr>
    </w:p>
    <w:bookmarkStart w:id="220" w:name="page221"/>
    <w:bookmarkEnd w:id="220"/>
    <w:p>
      <w:pPr>
        <w:ind w:left="780" w:right="280"/>
        <w:spacing w:after="0" w:line="259" w:lineRule="auto"/>
        <w:rPr>
          <w:sz w:val="20"/>
          <w:szCs w:val="20"/>
          <w:color w:val="auto"/>
        </w:rPr>
      </w:pPr>
      <w:r>
        <w:rPr>
          <w:rFonts w:ascii="Arial" w:cs="Arial" w:eastAsia="Arial" w:hAnsi="Arial"/>
          <w:sz w:val="18"/>
          <w:szCs w:val="18"/>
          <w:color w:val="auto"/>
        </w:rPr>
        <w:t>OTHERWISE, THAT SUCH OTHER PARTY WOULD NOT, IN THE EVENT OF LITIGATION, SEEK TO ENFORCE THE FOREGOING WAIVER AND (B) ACKNOWLEDGES THAT IT AND THE OTHER PARTIES HERETO HAVE BEEN INDUCED TO ENTER INTO THIS SECURITY AGREEMENT AND THE OTHER LOAN DOCUMENTS BY, AMONG OTHER THINGS, THE MUTUAL WAIVERS AND CERTIFICATIONS IN THIS SECTION.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8.17. </w:t>
      </w:r>
      <w:r>
        <w:rPr>
          <w:rFonts w:ascii="Arial" w:cs="Arial" w:eastAsia="Arial" w:hAnsi="Arial"/>
          <w:sz w:val="18"/>
          <w:szCs w:val="18"/>
          <w:u w:val="single" w:color="auto"/>
          <w:color w:val="auto"/>
        </w:rPr>
        <w:t>Indemnity</w:t>
      </w:r>
      <w:r>
        <w:rPr>
          <w:rFonts w:ascii="Arial" w:cs="Arial" w:eastAsia="Arial" w:hAnsi="Arial"/>
          <w:sz w:val="18"/>
          <w:szCs w:val="18"/>
          <w:color w:val="auto"/>
        </w:rPr>
        <w:t xml:space="preserve">. Each Grantor hereby agrees, jointly with the other Grantors and severally, to indemnify the Collateral Agent and the other Secured Parties in accordance with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of the Credit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 xml:space="preserve">8.18.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in this Security Agreement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this Security Agreement are declared to be severable.</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8.19. </w:t>
      </w:r>
      <w:r>
        <w:rPr>
          <w:rFonts w:ascii="Arial" w:cs="Arial" w:eastAsia="Arial" w:hAnsi="Arial"/>
          <w:sz w:val="18"/>
          <w:szCs w:val="18"/>
          <w:u w:val="single" w:color="auto"/>
          <w:color w:val="auto"/>
        </w:rPr>
        <w:t>Counterparts</w:t>
      </w:r>
      <w:r>
        <w:rPr>
          <w:rFonts w:ascii="Arial" w:cs="Arial" w:eastAsia="Arial" w:hAnsi="Arial"/>
          <w:sz w:val="18"/>
          <w:szCs w:val="18"/>
          <w:color w:val="auto"/>
        </w:rPr>
        <w:t>. This Security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Security Agreement by telecopy, e-mailed .pdf or any other electronic means that reproduces an image of the actual executed signature page shall be effective as delivery of a manually executed counterpart of this Security Agreement.</w:t>
      </w:r>
    </w:p>
    <w:p>
      <w:pPr>
        <w:spacing w:after="0" w:line="18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8.21. </w:t>
      </w:r>
      <w:r>
        <w:rPr>
          <w:rFonts w:ascii="Arial" w:cs="Arial" w:eastAsia="Arial" w:hAnsi="Arial"/>
          <w:sz w:val="17"/>
          <w:szCs w:val="17"/>
          <w:u w:val="single" w:color="auto"/>
          <w:color w:val="auto"/>
        </w:rPr>
        <w:t>Intercreditor Agreement</w:t>
      </w:r>
      <w:r>
        <w:rPr>
          <w:rFonts w:ascii="Arial" w:cs="Arial" w:eastAsia="Arial" w:hAnsi="Arial"/>
          <w:sz w:val="17"/>
          <w:szCs w:val="17"/>
          <w:color w:val="auto"/>
        </w:rPr>
        <w:t>. Notwithstanding anything herein to the contrary, the Lien and security interest granted to the Collateral Agent pursuant to or in connection with this Security Agreement, and the exercise of any right or remedy by the Collateral Agent hereunder are subject to the provisions of the Intercreditor Agreement. In the event of any conflict between the terms of the Intercreditor Agreement and this Agreement, the terms of the Intercreditor Agreement shall control. For so long as the Intercreditor Agreement remains in effect, the delivery of any Collateral to the Term Loan Agent as required by the Intercreditor Agreement shall satisfy any delivery requirement with respect to such Collateral hereunder. The provisions of this Security Agreement shall be deemed to be amended, waived or modified with respect to the Collateral to the extent any such amendment, waiver or modification is effected automatically under (and in accordance with the terms of) Section 6.2 of the Intercreditor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Sending Notices</w:t>
      </w:r>
      <w:r>
        <w:rPr>
          <w:rFonts w:ascii="Arial" w:cs="Arial" w:eastAsia="Arial" w:hAnsi="Arial"/>
          <w:sz w:val="18"/>
          <w:szCs w:val="18"/>
          <w:color w:val="auto"/>
        </w:rPr>
        <w:t>. All notices, requests and other communications to any party hereunder (or, if applicable, to the Administrative Agent) shall be given in the manner prescribed in Section 11.02 of the Credit Agreement (a) with respect to the Collateral Agent or the Administrative Agent, at its notice address therein and (b) with respect to any Grantor, in the care of Weatherford International, LLC, as provided and at the notice address set forth in the Credit Agreement, or in each case such other address or telecopy number as such party may hereafter specify for such purpose in accordance with the provisions of Section 11.02 of the Credit Agreement. Any notice delivered to WIL-Ireland or any Borrower on behalf of the Grantors shall be deemed to have been delivered to all of the Grantors.</w:t>
      </w:r>
    </w:p>
    <w:p>
      <w:pPr>
        <w:spacing w:after="0" w:line="193"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Change in Address for Notices</w:t>
      </w:r>
      <w:r>
        <w:rPr>
          <w:rFonts w:ascii="Arial" w:cs="Arial" w:eastAsia="Arial" w:hAnsi="Arial"/>
          <w:sz w:val="18"/>
          <w:szCs w:val="18"/>
          <w:color w:val="auto"/>
        </w:rPr>
        <w:t>. Any party hereto may change its address or telecopy number for notices and other communications hereunder by notice to the other parties 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COLLATERAL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Morgan Stanley Senior Funding, Inc., has been appointed Collateral Agent for the Secured Parties hereunder pursuant to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of the Credit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Agreement. It is expressly understood and agreed by the parties to this Security Agreement that any authority conferred upon the Collateral Agent hereunder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subject to the terms of the delegation of authority made by the Administrative Agent to the Collateral Agent pursuant to the Credit Agreement, and that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Collateral Agent has agreed to act (and any successor Collateral Agent shall act) as such hereunder only on the express conditions contained in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Any successor Collateral Agent appointed pursuant to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of the Credit Agreement shall be entitled to all the rights, interests and benefits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Agent hereunder.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Pages Follow</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each of the Grantors, the Administrative Agent, and the Collateral Agent have executed this Security Agreement as of the date first above written.</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GRANTORS: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WEUS HOLDING, LLC</w:t>
      </w:r>
    </w:p>
    <w:p>
      <w:pPr>
        <w:spacing w:after="0" w:line="200" w:lineRule="exact"/>
        <w:rPr>
          <w:sz w:val="20"/>
          <w:szCs w:val="20"/>
          <w:color w:val="auto"/>
        </w:rPr>
      </w:pPr>
    </w:p>
    <w:p>
      <w:pPr>
        <w:spacing w:after="0" w:line="241"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 Silverman</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Joshua S. Silverman</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Assistant Treasurer</w:t>
            </w:r>
          </w:p>
        </w:tc>
      </w:tr>
    </w:tbl>
    <w:p>
      <w:pPr>
        <w:sectPr>
          <w:pgSz w:w="11900" w:h="16838" w:orient="portrait"/>
          <w:cols w:equalWidth="0" w:num="1">
            <w:col w:w="11420"/>
          </w:cols>
          <w:pgMar w:left="240" w:top="125" w:right="239" w:bottom="0" w:gutter="0" w:footer="0" w:header="0"/>
        </w:sectPr>
      </w:pPr>
    </w:p>
    <w:bookmarkStart w:id="221" w:name="page222"/>
    <w:bookmarkEnd w:id="221"/>
    <w:p>
      <w:pPr>
        <w:ind w:left="5960"/>
        <w:spacing w:after="0"/>
        <w:rPr>
          <w:sz w:val="20"/>
          <w:szCs w:val="20"/>
          <w:color w:val="auto"/>
        </w:rPr>
      </w:pPr>
      <w:r>
        <w:rPr>
          <w:rFonts w:ascii="Arial" w:cs="Arial" w:eastAsia="Arial" w:hAnsi="Arial"/>
          <w:sz w:val="18"/>
          <w:szCs w:val="18"/>
          <w:color w:val="auto"/>
        </w:rPr>
        <w:t>WEATHERFORD ARTIFICIAL LIFT SYSTEMS, LLC</w:t>
      </w:r>
    </w:p>
    <w:p>
      <w:pPr>
        <w:spacing w:after="0" w:line="200" w:lineRule="exact"/>
        <w:rPr>
          <w:sz w:val="20"/>
          <w:szCs w:val="20"/>
          <w:color w:val="auto"/>
        </w:rPr>
      </w:pPr>
    </w:p>
    <w:p>
      <w:pPr>
        <w:spacing w:after="0" w:line="241"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 Silverman</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Joshua S. Silverman</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Assistant Treasurer</w:t>
            </w:r>
          </w:p>
        </w:tc>
      </w:tr>
    </w:tbl>
    <w:p>
      <w:pPr>
        <w:spacing w:after="0" w:line="200" w:lineRule="exact"/>
        <w:rPr>
          <w:sz w:val="20"/>
          <w:szCs w:val="20"/>
          <w:color w:val="auto"/>
        </w:rPr>
      </w:pPr>
    </w:p>
    <w:p>
      <w:pPr>
        <w:spacing w:after="0" w:line="21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PRECISION ENERGY SERVICES, INC.</w:t>
      </w:r>
    </w:p>
    <w:p>
      <w:pPr>
        <w:spacing w:after="0" w:line="200" w:lineRule="exact"/>
        <w:rPr>
          <w:sz w:val="20"/>
          <w:szCs w:val="20"/>
          <w:color w:val="auto"/>
        </w:rPr>
      </w:pPr>
    </w:p>
    <w:p>
      <w:pPr>
        <w:spacing w:after="0" w:line="241"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 Silverman</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Joshua S. Silverman</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Assistant Treasurer</w:t>
            </w:r>
          </w:p>
        </w:tc>
      </w:tr>
      <w:tr>
        <w:trPr>
          <w:trHeight w:val="648"/>
        </w:trPr>
        <w:tc>
          <w:tcPr>
            <w:tcW w:w="5460" w:type="dxa"/>
            <w:vAlign w:val="bottom"/>
            <w:gridSpan w:val="2"/>
          </w:tcPr>
          <w:p>
            <w:pPr>
              <w:spacing w:after="0"/>
              <w:rPr>
                <w:sz w:val="20"/>
                <w:szCs w:val="20"/>
                <w:color w:val="auto"/>
              </w:rPr>
            </w:pPr>
            <w:r>
              <w:rPr>
                <w:rFonts w:ascii="Arial" w:cs="Arial" w:eastAsia="Arial" w:hAnsi="Arial"/>
                <w:sz w:val="18"/>
                <w:szCs w:val="18"/>
                <w:color w:val="auto"/>
              </w:rPr>
              <w:t>WEATHERFORD U.S., L.P.</w:t>
            </w:r>
          </w:p>
        </w:tc>
      </w:tr>
      <w:tr>
        <w:trPr>
          <w:trHeight w:val="648"/>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 Silverman</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Joshua S. Silverman</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Assistant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364-Day Facility U.S.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SENIOR FUNDING, INC., as Collateral Agent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Hanson</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Lisa Hanson</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364-Day Facility U.S.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EXHIBIT </w:t>
      </w:r>
      <w:r>
        <w:rPr>
          <w:rFonts w:ascii="Arial" w:cs="Arial" w:eastAsia="Arial" w:hAnsi="Arial"/>
          <w:sz w:val="17"/>
          <w:szCs w:val="17"/>
          <w:color w:val="auto"/>
        </w:rPr>
        <w:t>“</w:t>
      </w:r>
      <w:r>
        <w:rPr>
          <w:rFonts w:ascii="Arial" w:cs="Arial" w:eastAsia="Arial" w:hAnsi="Arial"/>
          <w:sz w:val="18"/>
          <w:szCs w:val="18"/>
          <w:color w:val="auto"/>
        </w:rPr>
        <w: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3.4, 3.5 and </w:t>
      </w:r>
      <w:r>
        <w:rPr>
          <w:rFonts w:ascii="Arial" w:cs="Arial" w:eastAsia="Arial" w:hAnsi="Arial"/>
          <w:sz w:val="18"/>
          <w:szCs w:val="18"/>
          <w:u w:val="single" w:color="auto"/>
          <w:color w:val="auto"/>
        </w:rPr>
        <w:t>4.1.7</w:t>
      </w:r>
      <w:r>
        <w:rPr>
          <w:rFonts w:ascii="Arial" w:cs="Arial" w:eastAsia="Arial" w:hAnsi="Arial"/>
          <w:sz w:val="18"/>
          <w:szCs w:val="18"/>
          <w:color w:val="auto"/>
        </w:rPr>
        <w:t xml:space="preserve"> of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-19050</wp:posOffset>
            </wp:positionV>
            <wp:extent cx="37147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 names, jurisdiction of formation, place of business (if Grantor has only one place of business), chief executive office (if Grantor has more than one place of business), mergers and mailing address:</w:t>
      </w:r>
    </w:p>
    <w:p>
      <w:pPr>
        <w:spacing w:after="0" w:line="170" w:lineRule="exact"/>
        <w:rPr>
          <w:sz w:val="20"/>
          <w:szCs w:val="20"/>
          <w:color w:val="auto"/>
        </w:rPr>
      </w:pPr>
    </w:p>
    <w:p>
      <w:pPr>
        <w:ind w:left="980" w:right="8360" w:hanging="324"/>
        <w:spacing w:after="0" w:line="279" w:lineRule="auto"/>
        <w:tabs>
          <w:tab w:leader="none" w:pos="98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WEUS Holding, LLC 2000 St. James Place Houston, Texas 77056 Attention: Legal Department</w:t>
      </w:r>
    </w:p>
    <w:p>
      <w:pPr>
        <w:spacing w:after="0" w:line="171"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The following entities have merged into WEUS Holding, LLC:</w:t>
      </w:r>
    </w:p>
    <w:p>
      <w:pPr>
        <w:spacing w:after="0" w:line="225" w:lineRule="exact"/>
        <w:rPr>
          <w:rFonts w:ascii="Arial" w:cs="Arial" w:eastAsia="Arial" w:hAnsi="Arial"/>
          <w:sz w:val="17"/>
          <w:szCs w:val="17"/>
          <w:color w:val="auto"/>
        </w:rPr>
      </w:pPr>
    </w:p>
    <w:p>
      <w:pPr>
        <w:ind w:left="1600" w:hanging="295"/>
        <w:spacing w:after="0"/>
        <w:tabs>
          <w:tab w:leader="none" w:pos="160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Weatherford Intermediate Holdings (KSP) Ltd., merged on June 25, 2015</w:t>
      </w:r>
    </w:p>
    <w:p>
      <w:pPr>
        <w:spacing w:after="0" w:line="23" w:lineRule="exact"/>
        <w:rPr>
          <w:rFonts w:ascii="Arial" w:cs="Arial" w:eastAsia="Arial" w:hAnsi="Arial"/>
          <w:sz w:val="18"/>
          <w:szCs w:val="18"/>
          <w:color w:val="auto"/>
        </w:rPr>
      </w:pPr>
    </w:p>
    <w:p>
      <w:pPr>
        <w:ind w:left="1600" w:hanging="295"/>
        <w:spacing w:after="0"/>
        <w:tabs>
          <w:tab w:leader="none" w:pos="160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Seven Energy LLC, merged on April 27, 2016</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CRC-Evans Automatic Welding, Inc., merged on April 27, 2016</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Tech Line Oil Tools, Inc., merged on March 28, 2018</w:t>
      </w:r>
    </w:p>
    <w:p>
      <w:pPr>
        <w:spacing w:after="0" w:line="210" w:lineRule="exact"/>
        <w:rPr>
          <w:rFonts w:ascii="Arial" w:cs="Arial" w:eastAsia="Arial" w:hAnsi="Arial"/>
          <w:sz w:val="18"/>
          <w:szCs w:val="18"/>
          <w:color w:val="auto"/>
        </w:rPr>
      </w:pPr>
    </w:p>
    <w:p>
      <w:pPr>
        <w:ind w:left="980" w:right="7440" w:hanging="324"/>
        <w:spacing w:after="0" w:line="258" w:lineRule="auto"/>
        <w:tabs>
          <w:tab w:leader="none" w:pos="98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Weatherford Artificial Lift Systems, LLC 2000 St. James Place</w:t>
      </w:r>
    </w:p>
    <w:p>
      <w:pPr>
        <w:spacing w:after="0" w:line="1" w:lineRule="exact"/>
        <w:rPr>
          <w:rFonts w:ascii="Arial" w:cs="Arial" w:eastAsia="Arial" w:hAnsi="Arial"/>
          <w:sz w:val="18"/>
          <w:szCs w:val="18"/>
          <w:color w:val="auto"/>
        </w:rPr>
      </w:pPr>
    </w:p>
    <w:p>
      <w:pPr>
        <w:ind w:left="980" w:right="8360"/>
        <w:spacing w:after="0" w:line="323" w:lineRule="auto"/>
        <w:rPr>
          <w:rFonts w:ascii="Arial" w:cs="Arial" w:eastAsia="Arial" w:hAnsi="Arial"/>
          <w:sz w:val="18"/>
          <w:szCs w:val="18"/>
          <w:color w:val="auto"/>
        </w:rPr>
      </w:pPr>
      <w:r>
        <w:rPr>
          <w:rFonts w:ascii="Arial" w:cs="Arial" w:eastAsia="Arial" w:hAnsi="Arial"/>
          <w:sz w:val="16"/>
          <w:szCs w:val="16"/>
          <w:color w:val="auto"/>
        </w:rPr>
        <w:t>Houston, Texas 77056 Attention: Legal Department</w:t>
      </w:r>
    </w:p>
    <w:p>
      <w:pPr>
        <w:spacing w:after="0" w:line="138"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following entity has merged into Weatherford Artificial Lift Systems, LLC:</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Van der Horst U.S.A., Inc., merged on December 22, 2017</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Weatherford U.S., L.P.</w:t>
      </w:r>
    </w:p>
    <w:p>
      <w:pPr>
        <w:spacing w:after="0" w:line="23" w:lineRule="exact"/>
        <w:rPr>
          <w:rFonts w:ascii="Arial" w:cs="Arial" w:eastAsia="Arial" w:hAnsi="Arial"/>
          <w:sz w:val="18"/>
          <w:szCs w:val="18"/>
          <w:color w:val="auto"/>
        </w:rPr>
      </w:pPr>
    </w:p>
    <w:p>
      <w:pPr>
        <w:ind w:left="980" w:right="8360"/>
        <w:spacing w:after="0" w:line="302" w:lineRule="auto"/>
        <w:rPr>
          <w:rFonts w:ascii="Arial" w:cs="Arial" w:eastAsia="Arial" w:hAnsi="Arial"/>
          <w:sz w:val="18"/>
          <w:szCs w:val="18"/>
          <w:color w:val="auto"/>
        </w:rPr>
      </w:pPr>
      <w:r>
        <w:rPr>
          <w:rFonts w:ascii="Arial" w:cs="Arial" w:eastAsia="Arial" w:hAnsi="Arial"/>
          <w:sz w:val="16"/>
          <w:szCs w:val="16"/>
          <w:color w:val="auto"/>
        </w:rPr>
        <w:t>2000 St. James Place Houston, Texas 77056 Attention: Legal Department</w:t>
      </w:r>
    </w:p>
    <w:p>
      <w:pPr>
        <w:spacing w:after="0" w:line="15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following entities have merged into Weatherford U.S., L.P.:</w:t>
      </w:r>
    </w:p>
    <w:p>
      <w:pPr>
        <w:sectPr>
          <w:pgSz w:w="11900" w:h="16838" w:orient="portrait"/>
          <w:cols w:equalWidth="0" w:num="1">
            <w:col w:w="11420"/>
          </w:cols>
          <w:pgMar w:left="240" w:top="557" w:right="239" w:bottom="0" w:gutter="0" w:footer="0" w:header="0"/>
        </w:sectPr>
      </w:pPr>
    </w:p>
    <w:bookmarkStart w:id="222" w:name="page223"/>
    <w:bookmarkEnd w:id="222"/>
    <w:p>
      <w:pPr>
        <w:ind w:left="1680" w:hanging="375"/>
        <w:spacing w:after="0"/>
        <w:tabs>
          <w:tab w:leader="none" w:pos="168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WellCat Services International, LLC, merged on October 19, 2017</w:t>
      </w:r>
    </w:p>
    <w:p>
      <w:pPr>
        <w:spacing w:after="0" w:line="23" w:lineRule="exact"/>
        <w:rPr>
          <w:rFonts w:ascii="Arial" w:cs="Arial" w:eastAsia="Arial" w:hAnsi="Arial"/>
          <w:sz w:val="18"/>
          <w:szCs w:val="18"/>
          <w:color w:val="auto"/>
        </w:rPr>
      </w:pPr>
    </w:p>
    <w:p>
      <w:pPr>
        <w:ind w:left="1680" w:hanging="375"/>
        <w:spacing w:after="0"/>
        <w:tabs>
          <w:tab w:leader="none" w:pos="168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International Nitrogen Services, LLC, merged on October 19, 2017</w:t>
      </w:r>
    </w:p>
    <w:p>
      <w:pPr>
        <w:spacing w:after="0" w:line="9" w:lineRule="exact"/>
        <w:rPr>
          <w:rFonts w:ascii="Arial" w:cs="Arial" w:eastAsia="Arial" w:hAnsi="Arial"/>
          <w:sz w:val="18"/>
          <w:szCs w:val="18"/>
          <w:color w:val="auto"/>
        </w:rPr>
      </w:pPr>
    </w:p>
    <w:p>
      <w:pPr>
        <w:ind w:left="1680" w:hanging="375"/>
        <w:spacing w:after="0"/>
        <w:tabs>
          <w:tab w:leader="none" w:pos="168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Secure Drilling Holdings L.L.C., merged on October 27, 2017</w:t>
      </w:r>
    </w:p>
    <w:p>
      <w:pPr>
        <w:spacing w:after="0" w:line="9" w:lineRule="exact"/>
        <w:rPr>
          <w:rFonts w:ascii="Arial" w:cs="Arial" w:eastAsia="Arial" w:hAnsi="Arial"/>
          <w:sz w:val="18"/>
          <w:szCs w:val="18"/>
          <w:color w:val="auto"/>
        </w:rPr>
      </w:pPr>
    </w:p>
    <w:p>
      <w:pPr>
        <w:ind w:left="1680" w:hanging="375"/>
        <w:spacing w:after="0"/>
        <w:tabs>
          <w:tab w:leader="none" w:pos="168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Secure Drilling, L.P., merged on November 3, 2017</w:t>
      </w:r>
    </w:p>
    <w:p>
      <w:pPr>
        <w:spacing w:after="0" w:line="210" w:lineRule="exact"/>
        <w:rPr>
          <w:rFonts w:ascii="Arial" w:cs="Arial" w:eastAsia="Arial" w:hAnsi="Arial"/>
          <w:sz w:val="18"/>
          <w:szCs w:val="18"/>
          <w:color w:val="auto"/>
        </w:rPr>
      </w:pPr>
    </w:p>
    <w:p>
      <w:pPr>
        <w:ind w:left="980" w:right="8220" w:hanging="324"/>
        <w:spacing w:after="0" w:line="258" w:lineRule="auto"/>
        <w:tabs>
          <w:tab w:leader="none" w:pos="98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Precision Energy Services, Inc. 500 Winscott Road</w:t>
      </w:r>
    </w:p>
    <w:p>
      <w:pPr>
        <w:spacing w:after="0" w:line="1" w:lineRule="exact"/>
        <w:rPr>
          <w:rFonts w:ascii="Arial" w:cs="Arial" w:eastAsia="Arial" w:hAnsi="Arial"/>
          <w:sz w:val="18"/>
          <w:szCs w:val="18"/>
          <w:color w:val="auto"/>
        </w:rPr>
      </w:pPr>
    </w:p>
    <w:p>
      <w:pPr>
        <w:ind w:left="980" w:right="8400"/>
        <w:spacing w:after="0" w:line="323" w:lineRule="auto"/>
        <w:rPr>
          <w:rFonts w:ascii="Arial" w:cs="Arial" w:eastAsia="Arial" w:hAnsi="Arial"/>
          <w:sz w:val="18"/>
          <w:szCs w:val="18"/>
          <w:color w:val="auto"/>
        </w:rPr>
      </w:pPr>
      <w:r>
        <w:rPr>
          <w:rFonts w:ascii="Arial" w:cs="Arial" w:eastAsia="Arial" w:hAnsi="Arial"/>
          <w:sz w:val="16"/>
          <w:szCs w:val="16"/>
          <w:color w:val="auto"/>
        </w:rPr>
        <w:t>Fort Worth, TX, 76126 Attention: Legal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7267575"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Locations of Inventory the net book value of which exceeds $10,000,000: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Address</w:t>
            </w:r>
          </w:p>
        </w:tc>
        <w:tc>
          <w:tcPr>
            <w:tcW w:w="300" w:type="dxa"/>
            <w:vAlign w:val="bottom"/>
          </w:tcPr>
          <w:p>
            <w:pPr>
              <w:spacing w:after="0"/>
              <w:rPr>
                <w:sz w:val="14"/>
                <w:szCs w:val="14"/>
                <w:color w:val="auto"/>
              </w:rPr>
            </w:pPr>
          </w:p>
        </w:tc>
        <w:tc>
          <w:tcPr>
            <w:tcW w:w="286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City</w:t>
            </w:r>
          </w:p>
        </w:tc>
        <w:tc>
          <w:tcPr>
            <w:tcW w:w="280" w:type="dxa"/>
            <w:vAlign w:val="bottom"/>
          </w:tcPr>
          <w:p>
            <w:pPr>
              <w:spacing w:after="0"/>
              <w:rPr>
                <w:sz w:val="14"/>
                <w:szCs w:val="14"/>
                <w:color w:val="auto"/>
              </w:rPr>
            </w:pPr>
          </w:p>
        </w:tc>
        <w:tc>
          <w:tcPr>
            <w:tcW w:w="11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State</w:t>
            </w:r>
          </w:p>
        </w:tc>
        <w:tc>
          <w:tcPr>
            <w:tcW w:w="2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Owned 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Leased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200 ST NAZAIRE</w:t>
            </w:r>
          </w:p>
        </w:tc>
        <w:tc>
          <w:tcPr>
            <w:tcW w:w="3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BROUSSARD/LAFAYETTE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LA</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3021 WICHITA COURT</w:t>
            </w:r>
          </w:p>
        </w:tc>
        <w:tc>
          <w:tcPr>
            <w:tcW w:w="3160" w:type="dxa"/>
            <w:vAlign w:val="bottom"/>
            <w:gridSpan w:val="2"/>
          </w:tcPr>
          <w:p>
            <w:pPr>
              <w:ind w:left="300"/>
              <w:spacing w:after="0"/>
              <w:rPr>
                <w:sz w:val="20"/>
                <w:szCs w:val="20"/>
                <w:color w:val="auto"/>
              </w:rPr>
            </w:pPr>
            <w:r>
              <w:rPr>
                <w:rFonts w:ascii="Arial" w:cs="Arial" w:eastAsia="Arial" w:hAnsi="Arial"/>
                <w:sz w:val="18"/>
                <w:szCs w:val="18"/>
                <w:color w:val="auto"/>
              </w:rPr>
              <w:t>FORT WORTH</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TX</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Leased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16134 W HARDY RD</w:t>
            </w:r>
          </w:p>
        </w:tc>
        <w:tc>
          <w:tcPr>
            <w:tcW w:w="3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HOUSTON</w:t>
            </w:r>
          </w:p>
        </w:tc>
        <w:tc>
          <w:tcPr>
            <w:tcW w:w="1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TX</w:t>
            </w: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Owned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9600 W GULF BANK ROAD</w:t>
            </w:r>
          </w:p>
        </w:tc>
        <w:tc>
          <w:tcPr>
            <w:tcW w:w="3160" w:type="dxa"/>
            <w:vAlign w:val="bottom"/>
            <w:gridSpan w:val="2"/>
          </w:tcPr>
          <w:p>
            <w:pPr>
              <w:ind w:left="300"/>
              <w:spacing w:after="0"/>
              <w:rPr>
                <w:sz w:val="20"/>
                <w:szCs w:val="20"/>
                <w:color w:val="auto"/>
              </w:rPr>
            </w:pPr>
            <w:r>
              <w:rPr>
                <w:rFonts w:ascii="Arial" w:cs="Arial" w:eastAsia="Arial" w:hAnsi="Arial"/>
                <w:sz w:val="18"/>
                <w:szCs w:val="18"/>
                <w:color w:val="auto"/>
              </w:rPr>
              <w:t>HOUSTON</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TX</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Owned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7587 HWY 75 SOUTH</w:t>
            </w:r>
          </w:p>
        </w:tc>
        <w:tc>
          <w:tcPr>
            <w:tcW w:w="3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HUNTSVILLE</w:t>
            </w:r>
          </w:p>
        </w:tc>
        <w:tc>
          <w:tcPr>
            <w:tcW w:w="1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TX</w:t>
            </w: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Owned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1040 SCHLIPF ROAD</w:t>
            </w:r>
          </w:p>
        </w:tc>
        <w:tc>
          <w:tcPr>
            <w:tcW w:w="3160" w:type="dxa"/>
            <w:vAlign w:val="bottom"/>
            <w:gridSpan w:val="2"/>
          </w:tcPr>
          <w:p>
            <w:pPr>
              <w:ind w:left="300"/>
              <w:spacing w:after="0"/>
              <w:rPr>
                <w:sz w:val="20"/>
                <w:szCs w:val="20"/>
                <w:color w:val="auto"/>
              </w:rPr>
            </w:pPr>
            <w:r>
              <w:rPr>
                <w:rFonts w:ascii="Arial" w:cs="Arial" w:eastAsia="Arial" w:hAnsi="Arial"/>
                <w:sz w:val="18"/>
                <w:szCs w:val="18"/>
                <w:color w:val="auto"/>
              </w:rPr>
              <w:t>KATY</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TX</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Owned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2087 FM 2751</w:t>
            </w:r>
          </w:p>
        </w:tc>
        <w:tc>
          <w:tcPr>
            <w:tcW w:w="3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LONGVIEW</w:t>
            </w:r>
          </w:p>
        </w:tc>
        <w:tc>
          <w:tcPr>
            <w:tcW w:w="1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TX</w:t>
            </w: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Owned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8866 NW LOOP 338</w:t>
            </w:r>
          </w:p>
        </w:tc>
        <w:tc>
          <w:tcPr>
            <w:tcW w:w="3160" w:type="dxa"/>
            <w:vAlign w:val="bottom"/>
            <w:gridSpan w:val="2"/>
          </w:tcPr>
          <w:p>
            <w:pPr>
              <w:ind w:left="300"/>
              <w:spacing w:after="0"/>
              <w:rPr>
                <w:sz w:val="20"/>
                <w:szCs w:val="20"/>
                <w:color w:val="auto"/>
              </w:rPr>
            </w:pPr>
            <w:r>
              <w:rPr>
                <w:rFonts w:ascii="Arial" w:cs="Arial" w:eastAsia="Arial" w:hAnsi="Arial"/>
                <w:sz w:val="18"/>
                <w:szCs w:val="18"/>
                <w:color w:val="auto"/>
              </w:rPr>
              <w:t>ODESSA</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TX</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Owned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905 S GRANDVIEW</w:t>
            </w:r>
          </w:p>
        </w:tc>
        <w:tc>
          <w:tcPr>
            <w:tcW w:w="3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ODESSA</w:t>
            </w:r>
          </w:p>
        </w:tc>
        <w:tc>
          <w:tcPr>
            <w:tcW w:w="1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TX</w:t>
            </w: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Owned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179 WEATHERFORD DR</w:t>
            </w:r>
          </w:p>
        </w:tc>
        <w:tc>
          <w:tcPr>
            <w:tcW w:w="3160" w:type="dxa"/>
            <w:vAlign w:val="bottom"/>
            <w:gridSpan w:val="2"/>
          </w:tcPr>
          <w:p>
            <w:pPr>
              <w:ind w:left="300"/>
              <w:spacing w:after="0"/>
              <w:rPr>
                <w:sz w:val="20"/>
                <w:szCs w:val="20"/>
                <w:color w:val="auto"/>
              </w:rPr>
            </w:pPr>
            <w:r>
              <w:rPr>
                <w:rFonts w:ascii="Arial" w:cs="Arial" w:eastAsia="Arial" w:hAnsi="Arial"/>
                <w:sz w:val="18"/>
                <w:szCs w:val="18"/>
                <w:color w:val="auto"/>
              </w:rPr>
              <w:t>SCHRIEVER/HOUMA</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LA</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Owned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611 37TH AVE SE (AKA 4991 133 DR NW)</w:t>
            </w:r>
          </w:p>
        </w:tc>
        <w:tc>
          <w:tcPr>
            <w:tcW w:w="3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WILLISTON</w:t>
            </w:r>
          </w:p>
        </w:tc>
        <w:tc>
          <w:tcPr>
            <w:tcW w:w="1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ND</w:t>
            </w: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Owned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48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EXHIBIT </w:t>
      </w:r>
      <w:r>
        <w:rPr>
          <w:rFonts w:ascii="Arial" w:cs="Arial" w:eastAsia="Arial" w:hAnsi="Arial"/>
          <w:sz w:val="17"/>
          <w:szCs w:val="17"/>
          <w:color w:val="auto"/>
        </w:rPr>
        <w:t>“</w:t>
      </w:r>
      <w:r>
        <w:rPr>
          <w:rFonts w:ascii="Arial" w:cs="Arial" w:eastAsia="Arial" w:hAnsi="Arial"/>
          <w:sz w:val="18"/>
          <w:szCs w:val="18"/>
          <w:color w:val="auto"/>
        </w:rPr>
        <w:t>B”</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u w:val="single" w:color="auto"/>
          <w:color w:val="auto"/>
        </w:rPr>
        <w:t>Reserved</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EXHIBIT </w:t>
      </w:r>
      <w:r>
        <w:rPr>
          <w:rFonts w:ascii="Arial" w:cs="Arial" w:eastAsia="Arial" w:hAnsi="Arial"/>
          <w:sz w:val="17"/>
          <w:szCs w:val="17"/>
          <w:color w:val="auto"/>
        </w:rPr>
        <w:t>“</w:t>
      </w:r>
      <w:r>
        <w:rPr>
          <w:rFonts w:ascii="Arial" w:cs="Arial" w:eastAsia="Arial" w:hAnsi="Arial"/>
          <w:sz w:val="18"/>
          <w:szCs w:val="18"/>
          <w:color w:val="auto"/>
        </w:rPr>
        <w:t>C”</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u w:val="single" w:color="auto"/>
          <w:color w:val="auto"/>
        </w:rPr>
        <w:t>Reserved</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EXHIBIT </w:t>
      </w:r>
      <w:r>
        <w:rPr>
          <w:rFonts w:ascii="Arial" w:cs="Arial" w:eastAsia="Arial" w:hAnsi="Arial"/>
          <w:sz w:val="17"/>
          <w:szCs w:val="17"/>
          <w:color w:val="auto"/>
        </w:rPr>
        <w:t>“</w:t>
      </w:r>
      <w:r>
        <w:rPr>
          <w:rFonts w:ascii="Arial" w:cs="Arial" w:eastAsia="Arial" w:hAnsi="Arial"/>
          <w:sz w:val="18"/>
          <w:szCs w:val="18"/>
          <w:color w:val="auto"/>
        </w:rPr>
        <w:t>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List of Pledged Securities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of Security Agreement)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STOCKS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w:t>
            </w: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vMerge w:val="restart"/>
          </w:tcPr>
          <w:p>
            <w:pPr>
              <w:jc w:val="center"/>
              <w:ind w:left="284"/>
              <w:spacing w:after="0"/>
              <w:rPr>
                <w:sz w:val="20"/>
                <w:szCs w:val="20"/>
                <w:color w:val="auto"/>
              </w:rPr>
            </w:pPr>
            <w:r>
              <w:rPr>
                <w:rFonts w:ascii="Arial" w:cs="Arial" w:eastAsia="Arial" w:hAnsi="Arial"/>
                <w:sz w:val="14"/>
                <w:szCs w:val="14"/>
                <w:b w:val="1"/>
                <w:bCs w:val="1"/>
                <w:color w:val="auto"/>
                <w:w w:val="96"/>
              </w:rPr>
              <w:t>Certificate</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w w:val="94"/>
              </w:rPr>
              <w:t>Number of</w:t>
            </w: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2020" w:type="dxa"/>
            <w:vAlign w:val="bottom"/>
            <w:gridSpan w:val="2"/>
            <w:vMerge w:val="continue"/>
          </w:tcPr>
          <w:p>
            <w:pPr>
              <w:spacing w:after="0"/>
              <w:rPr>
                <w:sz w:val="12"/>
                <w:szCs w:val="12"/>
                <w:color w:val="auto"/>
              </w:rPr>
            </w:pPr>
          </w:p>
        </w:tc>
        <w:tc>
          <w:tcPr>
            <w:tcW w:w="16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Issuer</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7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9"/>
              </w:rPr>
              <w:t>Class of Stock</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Grantor</w:t>
            </w:r>
          </w:p>
        </w:tc>
        <w:tc>
          <w:tcPr>
            <w:tcW w:w="1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left="284"/>
              <w:spacing w:after="0"/>
              <w:rPr>
                <w:sz w:val="20"/>
                <w:szCs w:val="20"/>
                <w:color w:val="auto"/>
              </w:rPr>
            </w:pPr>
            <w:r>
              <w:rPr>
                <w:rFonts w:ascii="Arial" w:cs="Arial" w:eastAsia="Arial" w:hAnsi="Arial"/>
                <w:sz w:val="14"/>
                <w:szCs w:val="14"/>
                <w:b w:val="1"/>
                <w:bCs w:val="1"/>
                <w:color w:val="auto"/>
                <w:w w:val="94"/>
              </w:rPr>
              <w:t>Number(s)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9"/>
              </w:rPr>
              <w:t>Shares</w:t>
            </w:r>
          </w:p>
        </w:tc>
        <w:tc>
          <w:tcPr>
            <w:tcW w:w="1740" w:type="dxa"/>
            <w:vAlign w:val="bottom"/>
            <w:gridSpan w:val="2"/>
            <w:vMerge w:val="continue"/>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10"/>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None</w:t>
            </w:r>
          </w:p>
        </w:tc>
        <w:tc>
          <w:tcPr>
            <w:tcW w:w="3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8"/>
                <w:szCs w:val="18"/>
                <w:color w:val="auto"/>
                <w:w w:val="96"/>
              </w:rPr>
              <w:t>BONDS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Name of</w:t>
            </w:r>
          </w:p>
        </w:tc>
        <w:tc>
          <w:tcPr>
            <w:tcW w:w="16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Issuer</w:t>
            </w:r>
          </w:p>
        </w:tc>
        <w:tc>
          <w:tcPr>
            <w:tcW w:w="300" w:type="dxa"/>
            <w:vAlign w:val="bottom"/>
          </w:tcPr>
          <w:p>
            <w:pPr>
              <w:spacing w:after="0"/>
              <w:rPr>
                <w:sz w:val="24"/>
                <w:szCs w:val="24"/>
                <w:color w:val="auto"/>
              </w:rPr>
            </w:pPr>
          </w:p>
        </w:tc>
        <w:tc>
          <w:tcPr>
            <w:tcW w:w="1300" w:type="dxa"/>
            <w:vAlign w:val="bottom"/>
            <w:vMerge w:val="restart"/>
          </w:tcPr>
          <w:p>
            <w:pPr>
              <w:jc w:val="center"/>
              <w:ind w:left="264"/>
              <w:spacing w:after="0"/>
              <w:rPr>
                <w:sz w:val="20"/>
                <w:szCs w:val="20"/>
                <w:color w:val="auto"/>
              </w:rPr>
            </w:pPr>
            <w:r>
              <w:rPr>
                <w:rFonts w:ascii="Arial" w:cs="Arial" w:eastAsia="Arial" w:hAnsi="Arial"/>
                <w:sz w:val="14"/>
                <w:szCs w:val="14"/>
                <w:b w:val="1"/>
                <w:bCs w:val="1"/>
                <w:color w:val="auto"/>
                <w:w w:val="98"/>
              </w:rPr>
              <w:t>Number</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w w:val="92"/>
              </w:rPr>
              <w:t>Face Amount</w:t>
            </w:r>
          </w:p>
        </w:tc>
        <w:tc>
          <w:tcPr>
            <w:tcW w:w="17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Coupon Rate</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Grantor</w:t>
            </w:r>
          </w:p>
        </w:tc>
        <w:tc>
          <w:tcPr>
            <w:tcW w:w="1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None</w:t>
            </w:r>
          </w:p>
        </w:tc>
        <w:tc>
          <w:tcPr>
            <w:tcW w:w="3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60" w:type="dxa"/>
            <w:vAlign w:val="bottom"/>
            <w:gridSpan w:val="7"/>
          </w:tcPr>
          <w:p>
            <w:pPr>
              <w:jc w:val="center"/>
              <w:ind w:right="580"/>
              <w:spacing w:after="0"/>
              <w:rPr>
                <w:sz w:val="20"/>
                <w:szCs w:val="20"/>
                <w:color w:val="auto"/>
              </w:rPr>
            </w:pPr>
            <w:r>
              <w:rPr>
                <w:rFonts w:ascii="Arial" w:cs="Arial" w:eastAsia="Arial" w:hAnsi="Arial"/>
                <w:sz w:val="18"/>
                <w:szCs w:val="18"/>
                <w:color w:val="auto"/>
                <w:w w:val="95"/>
              </w:rPr>
              <w:t>GOVERNMENT SECURITIES</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Name of</w:t>
            </w:r>
          </w:p>
        </w:tc>
        <w:tc>
          <w:tcPr>
            <w:tcW w:w="16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Issuer</w:t>
            </w:r>
          </w:p>
        </w:tc>
        <w:tc>
          <w:tcPr>
            <w:tcW w:w="16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24"/>
                <w:szCs w:val="24"/>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Type</w:t>
            </w:r>
          </w:p>
        </w:tc>
        <w:tc>
          <w:tcPr>
            <w:tcW w:w="186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Face Amount</w:t>
            </w:r>
          </w:p>
        </w:tc>
        <w:tc>
          <w:tcPr>
            <w:tcW w:w="174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Coupon Rate</w:t>
            </w:r>
          </w:p>
        </w:tc>
        <w:tc>
          <w:tcPr>
            <w:tcW w:w="16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86"/>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Grantor</w:t>
            </w:r>
          </w:p>
        </w:tc>
        <w:tc>
          <w:tcPr>
            <w:tcW w:w="1660" w:type="dxa"/>
            <w:vAlign w:val="bottom"/>
            <w:vMerge w:val="continue"/>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208280</wp:posOffset>
            </wp:positionV>
            <wp:extent cx="726757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INSTRUMENTS, OTHER SECURITIES OR OTHER INVESTMENT PROPERTY</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(CERTIFICATED AND UNCERTIFICATED)</w:t>
      </w:r>
    </w:p>
    <w:p>
      <w:pPr>
        <w:sectPr>
          <w:pgSz w:w="11900" w:h="16838" w:orient="portrait"/>
          <w:cols w:equalWidth="0" w:num="1">
            <w:col w:w="11460"/>
          </w:cols>
          <w:pgMar w:left="240" w:top="341" w:right="199" w:bottom="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EXHIBIT </w:t>
      </w:r>
      <w:r>
        <w:rPr>
          <w:rFonts w:ascii="Arial" w:cs="Arial" w:eastAsia="Arial" w:hAnsi="Arial"/>
          <w:sz w:val="17"/>
          <w:szCs w:val="17"/>
          <w:color w:val="auto"/>
        </w:rPr>
        <w:t>“</w:t>
      </w:r>
      <w:r>
        <w:rPr>
          <w:rFonts w:ascii="Arial" w:cs="Arial" w:eastAsia="Arial" w:hAnsi="Arial"/>
          <w:sz w:val="18"/>
          <w:szCs w:val="18"/>
          <w:color w:val="auto"/>
        </w:rPr>
        <w:t>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Security Agreement)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OFFICES IN WHICH FINANCING STATEMENTS WILL BE FILED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500" w:type="dxa"/>
            <w:vAlign w:val="bottom"/>
            <w:gridSpan w:val="2"/>
            <w:vMerge w:val="restart"/>
          </w:tcPr>
          <w:p>
            <w:pPr>
              <w:ind w:left="2280"/>
              <w:spacing w:after="0"/>
              <w:rPr>
                <w:sz w:val="20"/>
                <w:szCs w:val="20"/>
                <w:color w:val="auto"/>
              </w:rPr>
            </w:pPr>
            <w:r>
              <w:rPr>
                <w:rFonts w:ascii="Arial" w:cs="Arial" w:eastAsia="Arial" w:hAnsi="Arial"/>
                <w:sz w:val="14"/>
                <w:szCs w:val="14"/>
                <w:b w:val="1"/>
                <w:bCs w:val="1"/>
                <w:color w:val="auto"/>
              </w:rPr>
              <w:t>GRANTOR</w:t>
            </w:r>
          </w:p>
        </w:tc>
        <w:tc>
          <w:tcPr>
            <w:tcW w:w="5140" w:type="dxa"/>
            <w:vAlign w:val="bottom"/>
          </w:tcPr>
          <w:p>
            <w:pPr>
              <w:ind w:left="1180"/>
              <w:spacing w:after="0"/>
              <w:rPr>
                <w:sz w:val="20"/>
                <w:szCs w:val="20"/>
                <w:color w:val="auto"/>
              </w:rPr>
            </w:pPr>
            <w:r>
              <w:rPr>
                <w:rFonts w:ascii="Arial" w:cs="Arial" w:eastAsia="Arial" w:hAnsi="Arial"/>
                <w:sz w:val="14"/>
                <w:szCs w:val="14"/>
                <w:b w:val="1"/>
                <w:bCs w:val="1"/>
                <w:color w:val="auto"/>
              </w:rPr>
              <w:t>JURISDICTION FOR FILING FINANCING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500" w:type="dxa"/>
            <w:vAlign w:val="bottom"/>
            <w:gridSpan w:val="2"/>
            <w:vMerge w:val="continue"/>
          </w:tcPr>
          <w:p>
            <w:pPr>
              <w:spacing w:after="0"/>
              <w:rPr>
                <w:sz w:val="14"/>
                <w:szCs w:val="14"/>
                <w:color w:val="auto"/>
              </w:rPr>
            </w:pPr>
          </w:p>
        </w:tc>
        <w:tc>
          <w:tcPr>
            <w:tcW w:w="5140" w:type="dxa"/>
            <w:vAlign w:val="bottom"/>
          </w:tcPr>
          <w:p>
            <w:pPr>
              <w:ind w:left="1180"/>
              <w:spacing w:after="0"/>
              <w:rPr>
                <w:sz w:val="20"/>
                <w:szCs w:val="20"/>
                <w:color w:val="auto"/>
              </w:rPr>
            </w:pPr>
            <w:r>
              <w:rPr>
                <w:rFonts w:ascii="Arial" w:cs="Arial" w:eastAsia="Arial" w:hAnsi="Arial"/>
                <w:sz w:val="14"/>
                <w:szCs w:val="14"/>
                <w:b w:val="1"/>
                <w:bCs w:val="1"/>
                <w:color w:val="auto"/>
              </w:rPr>
              <w:t>STATEMENT AGAINST SUCH GRANTOR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Borders>
              <w:top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1.</w:t>
            </w:r>
          </w:p>
        </w:tc>
        <w:tc>
          <w:tcPr>
            <w:tcW w:w="320" w:type="dxa"/>
            <w:vAlign w:val="bottom"/>
            <w:tcBorders>
              <w:top w:val="single" w:sz="8" w:color="CCEEFF"/>
            </w:tcBorders>
            <w:shd w:val="clear" w:color="auto" w:fill="CCEEFF"/>
          </w:tcPr>
          <w:p>
            <w:pPr>
              <w:spacing w:after="0"/>
              <w:rPr>
                <w:sz w:val="18"/>
                <w:szCs w:val="18"/>
                <w:color w:val="auto"/>
              </w:rPr>
            </w:pPr>
          </w:p>
        </w:tc>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WEUS Holding, LLC</w:t>
            </w:r>
          </w:p>
        </w:tc>
        <w:tc>
          <w:tcPr>
            <w:tcW w:w="200" w:type="dxa"/>
            <w:vAlign w:val="bottom"/>
            <w:tcBorders>
              <w:top w:val="single" w:sz="8" w:color="CCEEFF"/>
            </w:tcBorders>
            <w:shd w:val="clear" w:color="auto" w:fill="CCEEFF"/>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 Secretary of State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jc w:val="right"/>
              <w:ind w:right="230"/>
              <w:spacing w:after="0"/>
              <w:rPr>
                <w:sz w:val="20"/>
                <w:szCs w:val="20"/>
                <w:color w:val="auto"/>
              </w:rPr>
            </w:pPr>
            <w:r>
              <w:rPr>
                <w:rFonts w:ascii="Arial" w:cs="Arial" w:eastAsia="Arial" w:hAnsi="Arial"/>
                <w:sz w:val="18"/>
                <w:szCs w:val="18"/>
                <w:color w:val="auto"/>
                <w:w w:val="79"/>
              </w:rPr>
              <w:t>2.</w:t>
            </w:r>
          </w:p>
        </w:tc>
        <w:tc>
          <w:tcPr>
            <w:tcW w:w="5820" w:type="dxa"/>
            <w:vAlign w:val="bottom"/>
            <w:gridSpan w:val="3"/>
          </w:tcPr>
          <w:p>
            <w:pPr>
              <w:ind w:left="320"/>
              <w:spacing w:after="0"/>
              <w:rPr>
                <w:sz w:val="20"/>
                <w:szCs w:val="20"/>
                <w:color w:val="auto"/>
              </w:rPr>
            </w:pPr>
            <w:r>
              <w:rPr>
                <w:rFonts w:ascii="Arial" w:cs="Arial" w:eastAsia="Arial" w:hAnsi="Arial"/>
                <w:sz w:val="18"/>
                <w:szCs w:val="18"/>
                <w:color w:val="auto"/>
              </w:rPr>
              <w:t>Weatherford Artificial Lift Systems, LLC</w:t>
            </w:r>
          </w:p>
        </w:tc>
        <w:tc>
          <w:tcPr>
            <w:tcW w:w="5140" w:type="dxa"/>
            <w:vAlign w:val="bottom"/>
          </w:tcPr>
          <w:p>
            <w:pPr>
              <w:spacing w:after="0"/>
              <w:rPr>
                <w:sz w:val="20"/>
                <w:szCs w:val="20"/>
                <w:color w:val="auto"/>
              </w:rPr>
            </w:pPr>
            <w:r>
              <w:rPr>
                <w:rFonts w:ascii="Arial" w:cs="Arial" w:eastAsia="Arial" w:hAnsi="Arial"/>
                <w:sz w:val="18"/>
                <w:szCs w:val="18"/>
                <w:color w:val="auto"/>
              </w:rPr>
              <w:t>Delaware Secretary of State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3.</w:t>
            </w:r>
          </w:p>
        </w:tc>
        <w:tc>
          <w:tcPr>
            <w:tcW w:w="58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Weatherford U.S., L.P.</w:t>
            </w: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Clerk of Court for East Baton Rouge Parish, Louisiana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right"/>
              <w:ind w:right="230"/>
              <w:spacing w:after="0"/>
              <w:rPr>
                <w:sz w:val="20"/>
                <w:szCs w:val="20"/>
                <w:color w:val="auto"/>
              </w:rPr>
            </w:pPr>
            <w:r>
              <w:rPr>
                <w:rFonts w:ascii="Arial" w:cs="Arial" w:eastAsia="Arial" w:hAnsi="Arial"/>
                <w:sz w:val="18"/>
                <w:szCs w:val="18"/>
                <w:color w:val="auto"/>
                <w:w w:val="79"/>
              </w:rPr>
              <w:t>4.</w:t>
            </w:r>
          </w:p>
        </w:tc>
        <w:tc>
          <w:tcPr>
            <w:tcW w:w="5820" w:type="dxa"/>
            <w:vAlign w:val="bottom"/>
            <w:gridSpan w:val="3"/>
          </w:tcPr>
          <w:p>
            <w:pPr>
              <w:ind w:left="320"/>
              <w:spacing w:after="0"/>
              <w:rPr>
                <w:sz w:val="20"/>
                <w:szCs w:val="20"/>
                <w:color w:val="auto"/>
              </w:rPr>
            </w:pPr>
            <w:r>
              <w:rPr>
                <w:rFonts w:ascii="Arial" w:cs="Arial" w:eastAsia="Arial" w:hAnsi="Arial"/>
                <w:sz w:val="18"/>
                <w:szCs w:val="18"/>
                <w:color w:val="auto"/>
              </w:rPr>
              <w:t>Precision Energy Services, Inc.</w:t>
            </w:r>
          </w:p>
        </w:tc>
        <w:tc>
          <w:tcPr>
            <w:tcW w:w="5140" w:type="dxa"/>
            <w:vAlign w:val="bottom"/>
          </w:tcPr>
          <w:p>
            <w:pPr>
              <w:spacing w:after="0"/>
              <w:rPr>
                <w:sz w:val="20"/>
                <w:szCs w:val="20"/>
                <w:color w:val="auto"/>
              </w:rPr>
            </w:pPr>
            <w:r>
              <w:rPr>
                <w:rFonts w:ascii="Arial" w:cs="Arial" w:eastAsia="Arial" w:hAnsi="Arial"/>
                <w:sz w:val="18"/>
                <w:szCs w:val="18"/>
                <w:color w:val="auto"/>
              </w:rPr>
              <w:t>Delaware Secretary of State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4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3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EXHIBIT </w:t>
      </w:r>
      <w:r>
        <w:rPr>
          <w:rFonts w:ascii="Arial" w:cs="Arial" w:eastAsia="Arial" w:hAnsi="Arial"/>
          <w:sz w:val="17"/>
          <w:szCs w:val="17"/>
          <w:color w:val="auto"/>
        </w:rPr>
        <w:t>“</w:t>
      </w:r>
      <w:r>
        <w:rPr>
          <w:rFonts w:ascii="Arial" w:cs="Arial" w:eastAsia="Arial" w:hAnsi="Arial"/>
          <w:sz w:val="18"/>
          <w:szCs w:val="18"/>
          <w:color w:val="auto"/>
        </w:rPr>
        <w:t>F”</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Definition of “Commercial Tort Claims”)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COMMERCIAL TORT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EXHIBIT </w:t>
      </w:r>
      <w:r>
        <w:rPr>
          <w:rFonts w:ascii="Arial" w:cs="Arial" w:eastAsia="Arial" w:hAnsi="Arial"/>
          <w:sz w:val="17"/>
          <w:szCs w:val="17"/>
          <w:color w:val="auto"/>
        </w:rPr>
        <w:t>“</w:t>
      </w:r>
      <w:r>
        <w:rPr>
          <w:rFonts w:ascii="Arial" w:cs="Arial" w:eastAsia="Arial" w:hAnsi="Arial"/>
          <w:sz w:val="18"/>
          <w:szCs w:val="18"/>
          <w:color w:val="auto"/>
        </w:rPr>
        <w:t>G”</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of Security Agreement)</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FEDERAL EMPLOYER IDENTIFICATION NUMBER;</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 ORGANIZATION NUMBER; JURISDICTION OF INCORPORATION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Federal Employer</w:t>
            </w:r>
          </w:p>
        </w:tc>
        <w:tc>
          <w:tcPr>
            <w:tcW w:w="248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Type of</w:t>
            </w: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State of</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State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3980" w:type="dxa"/>
            <w:vAlign w:val="bottom"/>
            <w:gridSpan w:val="2"/>
            <w:vMerge w:val="restart"/>
          </w:tcPr>
          <w:p>
            <w:pPr>
              <w:ind w:left="1520"/>
              <w:spacing w:after="0"/>
              <w:rPr>
                <w:sz w:val="20"/>
                <w:szCs w:val="20"/>
                <w:color w:val="auto"/>
              </w:rPr>
            </w:pPr>
            <w:r>
              <w:rPr>
                <w:rFonts w:ascii="Arial" w:cs="Arial" w:eastAsia="Arial" w:hAnsi="Arial"/>
                <w:sz w:val="14"/>
                <w:szCs w:val="14"/>
                <w:b w:val="1"/>
                <w:bCs w:val="1"/>
                <w:color w:val="auto"/>
              </w:rPr>
              <w:t>GRANTOR</w:t>
            </w:r>
          </w:p>
        </w:tc>
        <w:tc>
          <w:tcPr>
            <w:tcW w:w="1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Identification</w:t>
            </w:r>
          </w:p>
        </w:tc>
        <w:tc>
          <w:tcPr>
            <w:tcW w:w="2480" w:type="dxa"/>
            <w:vAlign w:val="bottom"/>
            <w:gridSpan w:val="2"/>
            <w:vMerge w:val="continue"/>
          </w:tcPr>
          <w:p>
            <w:pPr>
              <w:spacing w:after="0"/>
              <w:rPr>
                <w:sz w:val="12"/>
                <w:szCs w:val="12"/>
                <w:color w:val="auto"/>
              </w:rPr>
            </w:pPr>
          </w:p>
        </w:tc>
        <w:tc>
          <w:tcPr>
            <w:tcW w:w="1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Organization or</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Organization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3980" w:type="dxa"/>
            <w:vAlign w:val="bottom"/>
            <w:gridSpan w:val="2"/>
            <w:vMerge w:val="continue"/>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2480" w:type="dxa"/>
            <w:vAlign w:val="bottom"/>
            <w:gridSpan w:val="2"/>
          </w:tcPr>
          <w:p>
            <w:pPr>
              <w:ind w:left="720"/>
              <w:spacing w:after="0"/>
              <w:rPr>
                <w:sz w:val="20"/>
                <w:szCs w:val="20"/>
                <w:color w:val="auto"/>
              </w:rPr>
            </w:pPr>
            <w:r>
              <w:rPr>
                <w:rFonts w:ascii="Arial" w:cs="Arial" w:eastAsia="Arial" w:hAnsi="Arial"/>
                <w:sz w:val="14"/>
                <w:szCs w:val="14"/>
                <w:b w:val="1"/>
                <w:bCs w:val="1"/>
                <w:color w:val="auto"/>
              </w:rPr>
              <w:t>Organization</w:t>
            </w: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Incorporation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 w:type="dxa"/>
            <w:vAlign w:val="bottom"/>
            <w:tcBorders>
              <w:top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1.</w:t>
            </w:r>
          </w:p>
        </w:tc>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WEUS Holding, LLC</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418"/>
              <w:spacing w:after="0"/>
              <w:rPr>
                <w:sz w:val="20"/>
                <w:szCs w:val="20"/>
                <w:color w:val="auto"/>
              </w:rPr>
            </w:pPr>
            <w:r>
              <w:rPr>
                <w:rFonts w:ascii="Arial" w:cs="Arial" w:eastAsia="Arial" w:hAnsi="Arial"/>
                <w:sz w:val="18"/>
                <w:szCs w:val="18"/>
                <w:color w:val="auto"/>
                <w:w w:val="89"/>
              </w:rPr>
              <w:t>74-1837821</w:t>
            </w:r>
          </w:p>
        </w:tc>
        <w:tc>
          <w:tcPr>
            <w:tcW w:w="2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Limited liability company</w:t>
            </w: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810939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jc w:val="right"/>
              <w:ind w:right="450"/>
              <w:spacing w:after="0"/>
              <w:rPr>
                <w:sz w:val="20"/>
                <w:szCs w:val="20"/>
                <w:color w:val="auto"/>
              </w:rPr>
            </w:pPr>
            <w:r>
              <w:rPr>
                <w:rFonts w:ascii="Arial" w:cs="Arial" w:eastAsia="Arial" w:hAnsi="Arial"/>
                <w:sz w:val="18"/>
                <w:szCs w:val="18"/>
                <w:color w:val="auto"/>
                <w:w w:val="79"/>
              </w:rPr>
              <w:t>2.</w:t>
            </w:r>
          </w:p>
        </w:tc>
        <w:tc>
          <w:tcPr>
            <w:tcW w:w="3980" w:type="dxa"/>
            <w:vAlign w:val="bottom"/>
            <w:gridSpan w:val="2"/>
          </w:tcPr>
          <w:p>
            <w:pPr>
              <w:spacing w:after="0"/>
              <w:rPr>
                <w:sz w:val="20"/>
                <w:szCs w:val="20"/>
                <w:color w:val="auto"/>
              </w:rPr>
            </w:pPr>
            <w:r>
              <w:rPr>
                <w:rFonts w:ascii="Arial" w:cs="Arial" w:eastAsia="Arial" w:hAnsi="Arial"/>
                <w:sz w:val="18"/>
                <w:szCs w:val="18"/>
                <w:color w:val="auto"/>
              </w:rPr>
              <w:t>Weatherford Artificial Lift Systems, LLC</w:t>
            </w:r>
          </w:p>
        </w:tc>
        <w:tc>
          <w:tcPr>
            <w:tcW w:w="1380" w:type="dxa"/>
            <w:vAlign w:val="bottom"/>
          </w:tcPr>
          <w:p>
            <w:pPr>
              <w:jc w:val="right"/>
              <w:ind w:right="418"/>
              <w:spacing w:after="0"/>
              <w:rPr>
                <w:sz w:val="20"/>
                <w:szCs w:val="20"/>
                <w:color w:val="auto"/>
              </w:rPr>
            </w:pPr>
            <w:r>
              <w:rPr>
                <w:rFonts w:ascii="Arial" w:cs="Arial" w:eastAsia="Arial" w:hAnsi="Arial"/>
                <w:sz w:val="18"/>
                <w:szCs w:val="18"/>
                <w:color w:val="auto"/>
                <w:w w:val="89"/>
              </w:rPr>
              <w:t>75-2204250</w:t>
            </w:r>
          </w:p>
        </w:tc>
        <w:tc>
          <w:tcPr>
            <w:tcW w:w="20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Limited liability company</w:t>
            </w:r>
          </w:p>
        </w:tc>
        <w:tc>
          <w:tcPr>
            <w:tcW w:w="15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140" w:type="dxa"/>
            <w:vAlign w:val="bottom"/>
          </w:tcPr>
          <w:p>
            <w:pPr>
              <w:spacing w:after="0"/>
              <w:rPr>
                <w:sz w:val="20"/>
                <w:szCs w:val="20"/>
                <w:color w:val="auto"/>
              </w:rPr>
            </w:pPr>
            <w:r>
              <w:rPr>
                <w:rFonts w:ascii="Arial" w:cs="Arial" w:eastAsia="Arial" w:hAnsi="Arial"/>
                <w:sz w:val="18"/>
                <w:szCs w:val="18"/>
                <w:color w:val="auto"/>
              </w:rPr>
              <w:t>2308484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3.</w:t>
            </w: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U.S., L.P.</w:t>
            </w:r>
          </w:p>
        </w:tc>
        <w:tc>
          <w:tcPr>
            <w:tcW w:w="138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w w:val="89"/>
              </w:rPr>
              <w:t>76-0486916</w:t>
            </w:r>
          </w:p>
        </w:tc>
        <w:tc>
          <w:tcPr>
            <w:tcW w:w="20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partnership</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Louisiana</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34514328J</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jc w:val="right"/>
              <w:ind w:right="450"/>
              <w:spacing w:after="0"/>
              <w:rPr>
                <w:sz w:val="20"/>
                <w:szCs w:val="20"/>
                <w:color w:val="auto"/>
              </w:rPr>
            </w:pPr>
            <w:r>
              <w:rPr>
                <w:rFonts w:ascii="Arial" w:cs="Arial" w:eastAsia="Arial" w:hAnsi="Arial"/>
                <w:sz w:val="18"/>
                <w:szCs w:val="18"/>
                <w:color w:val="auto"/>
                <w:w w:val="79"/>
              </w:rPr>
              <w:t>4.</w:t>
            </w:r>
          </w:p>
        </w:tc>
        <w:tc>
          <w:tcPr>
            <w:tcW w:w="3980" w:type="dxa"/>
            <w:vAlign w:val="bottom"/>
            <w:gridSpan w:val="2"/>
          </w:tcPr>
          <w:p>
            <w:pPr>
              <w:spacing w:after="0"/>
              <w:rPr>
                <w:sz w:val="20"/>
                <w:szCs w:val="20"/>
                <w:color w:val="auto"/>
              </w:rPr>
            </w:pPr>
            <w:r>
              <w:rPr>
                <w:rFonts w:ascii="Arial" w:cs="Arial" w:eastAsia="Arial" w:hAnsi="Arial"/>
                <w:sz w:val="18"/>
                <w:szCs w:val="18"/>
                <w:color w:val="auto"/>
              </w:rPr>
              <w:t>Precision Energy Services, Inc.</w:t>
            </w:r>
          </w:p>
        </w:tc>
        <w:tc>
          <w:tcPr>
            <w:tcW w:w="1380" w:type="dxa"/>
            <w:vAlign w:val="bottom"/>
          </w:tcPr>
          <w:p>
            <w:pPr>
              <w:jc w:val="right"/>
              <w:ind w:right="418"/>
              <w:spacing w:after="0"/>
              <w:rPr>
                <w:sz w:val="20"/>
                <w:szCs w:val="20"/>
                <w:color w:val="auto"/>
              </w:rPr>
            </w:pPr>
            <w:r>
              <w:rPr>
                <w:rFonts w:ascii="Arial" w:cs="Arial" w:eastAsia="Arial" w:hAnsi="Arial"/>
                <w:sz w:val="18"/>
                <w:szCs w:val="18"/>
                <w:color w:val="auto"/>
                <w:w w:val="89"/>
              </w:rPr>
              <w:t>76-0224331</w:t>
            </w:r>
          </w:p>
        </w:tc>
        <w:tc>
          <w:tcPr>
            <w:tcW w:w="200" w:type="dxa"/>
            <w:vAlign w:val="bottom"/>
          </w:tcPr>
          <w:p>
            <w:pPr>
              <w:spacing w:after="0"/>
              <w:rPr>
                <w:sz w:val="20"/>
                <w:szCs w:val="20"/>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15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140" w:type="dxa"/>
            <w:vAlign w:val="bottom"/>
          </w:tcPr>
          <w:p>
            <w:pPr>
              <w:spacing w:after="0"/>
              <w:rPr>
                <w:sz w:val="20"/>
                <w:szCs w:val="20"/>
                <w:color w:val="auto"/>
              </w:rPr>
            </w:pPr>
            <w:r>
              <w:rPr>
                <w:rFonts w:ascii="Arial" w:cs="Arial" w:eastAsia="Arial" w:hAnsi="Arial"/>
                <w:sz w:val="18"/>
                <w:szCs w:val="18"/>
                <w:color w:val="auto"/>
              </w:rPr>
              <w:t>2129688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680" w:type="dxa"/>
            <w:vAlign w:val="bottom"/>
            <w:tcBorders>
              <w:bottom w:val="single" w:sz="8" w:color="808080"/>
            </w:tcBorders>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EXHIBIT </w:t>
      </w:r>
      <w:r>
        <w:rPr>
          <w:rFonts w:ascii="Arial" w:cs="Arial" w:eastAsia="Arial" w:hAnsi="Arial"/>
          <w:sz w:val="17"/>
          <w:szCs w:val="17"/>
          <w:color w:val="auto"/>
        </w:rPr>
        <w:t>“</w:t>
      </w:r>
      <w:r>
        <w:rPr>
          <w:rFonts w:ascii="Arial" w:cs="Arial" w:eastAsia="Arial" w:hAnsi="Arial"/>
          <w:sz w:val="18"/>
          <w:szCs w:val="18"/>
          <w:color w:val="auto"/>
        </w:rPr>
        <w:t>H”</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of Security Agreement)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SPECIFIED DEPOSIT ACCOUNTS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Legal Entity Name</w:t>
            </w:r>
          </w:p>
        </w:tc>
        <w:tc>
          <w:tcPr>
            <w:tcW w:w="580" w:type="dxa"/>
            <w:vAlign w:val="bottom"/>
          </w:tcPr>
          <w:p>
            <w:pPr>
              <w:spacing w:after="0"/>
              <w:rPr>
                <w:sz w:val="14"/>
                <w:szCs w:val="14"/>
                <w:color w:val="auto"/>
              </w:rPr>
            </w:pPr>
          </w:p>
        </w:tc>
        <w:tc>
          <w:tcPr>
            <w:tcW w:w="29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2"/>
              </w:rPr>
              <w:t>Account No.</w:t>
            </w:r>
          </w:p>
        </w:tc>
        <w:tc>
          <w:tcPr>
            <w:tcW w:w="388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Bank Name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7"/>
              </w:rPr>
              <w:t>(IBAN Noif Europe)</w:t>
            </w:r>
          </w:p>
        </w:tc>
        <w:tc>
          <w:tcPr>
            <w:tcW w:w="38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Precision Energy Services, Inc.</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Wells Fargo Bank, National Association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Precision Energy Services, Inc.</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Wells Fargo Bank, National Association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Artificial Lift Systems, LLC</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Weatherford U.S., L.P.</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JPMorgan Chase Bank, 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U.S., L.P.</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Weatherford U.S., L.P.</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JPMorgan Chase Bank, 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U.S., L.P.</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Weatherford U.S., L.P.</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JPMorgan Chase Bank, 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U.S., L.P.</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Weatherford U.S., L.P.</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JPMorgan Chase Bank, 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WEUS Holding, LLC</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 London Branch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WEUS Holding, LLC</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JPMorgan Chase Bank, 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WEUS Holding, LLC</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WEUS Holding, LLC</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JPMorgan Chase Bank, 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WEUS Holding, LLC</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WEUS Holding, LLC</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JPMorgan Chase Bank, N.A.</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3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SECURITIES ACCOUNTS</w:t>
      </w:r>
    </w:p>
    <w:p>
      <w:pPr>
        <w:sectPr>
          <w:pgSz w:w="11900" w:h="16838" w:orient="portrait"/>
          <w:cols w:equalWidth="0" w:num="1">
            <w:col w:w="11460"/>
          </w:cols>
          <w:pgMar w:left="240" w:top="125" w:right="199" w:bottom="0" w:gutter="0" w:footer="0" w:header="0"/>
        </w:sectPr>
      </w:pPr>
    </w:p>
    <w:p>
      <w:pPr>
        <w:spacing w:after="0" w:line="217" w:lineRule="exact"/>
        <w:rPr>
          <w:sz w:val="20"/>
          <w:szCs w:val="20"/>
          <w:color w:val="auto"/>
        </w:rPr>
      </w:pPr>
    </w:p>
    <w:p>
      <w:pPr>
        <w:spacing w:after="0"/>
        <w:tabs>
          <w:tab w:leader="none" w:pos="5100" w:val="left"/>
          <w:tab w:leader="none" w:pos="9040" w:val="left"/>
        </w:tabs>
        <w:rPr>
          <w:sz w:val="20"/>
          <w:szCs w:val="20"/>
          <w:color w:val="auto"/>
        </w:rPr>
      </w:pPr>
      <w:r>
        <w:rPr>
          <w:rFonts w:ascii="Arial" w:cs="Arial" w:eastAsia="Arial" w:hAnsi="Arial"/>
          <w:sz w:val="14"/>
          <w:szCs w:val="14"/>
          <w:b w:val="1"/>
          <w:bCs w:val="1"/>
          <w:color w:val="auto"/>
        </w:rPr>
        <w:t>Name of Grantor</w:t>
      </w:r>
      <w:r>
        <w:rPr>
          <w:sz w:val="20"/>
          <w:szCs w:val="20"/>
          <w:color w:val="auto"/>
        </w:rPr>
        <w:tab/>
      </w:r>
      <w:r>
        <w:rPr>
          <w:rFonts w:ascii="Arial" w:cs="Arial" w:eastAsia="Arial" w:hAnsi="Arial"/>
          <w:sz w:val="14"/>
          <w:szCs w:val="14"/>
          <w:b w:val="1"/>
          <w:bCs w:val="1"/>
          <w:color w:val="auto"/>
        </w:rPr>
        <w:t>Name of Institution</w:t>
      </w:r>
      <w:r>
        <w:rPr>
          <w:sz w:val="20"/>
          <w:szCs w:val="20"/>
          <w:color w:val="auto"/>
        </w:rPr>
        <w:tab/>
      </w:r>
      <w:r>
        <w:rPr>
          <w:rFonts w:ascii="Arial" w:cs="Arial" w:eastAsia="Arial" w:hAnsi="Arial"/>
          <w:sz w:val="13"/>
          <w:szCs w:val="13"/>
          <w:b w:val="1"/>
          <w:bCs w:val="1"/>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5270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46620" cy="5270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224" w:name="page225"/>
    <w:bookmarkEnd w:id="224"/>
    <w:p>
      <w:pPr>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ANNEX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SECURITY AGREEMENT SUPPLEMENT</w:t>
      </w:r>
    </w:p>
    <w:p>
      <w:pPr>
        <w:spacing w:after="0" w:line="225" w:lineRule="exact"/>
        <w:rPr>
          <w:sz w:val="20"/>
          <w:szCs w:val="20"/>
          <w:color w:val="auto"/>
        </w:rPr>
      </w:pPr>
    </w:p>
    <w:p>
      <w:pPr>
        <w:ind w:right="180" w:firstLine="1297"/>
        <w:spacing w:after="0" w:line="312" w:lineRule="auto"/>
        <w:rPr>
          <w:sz w:val="20"/>
          <w:szCs w:val="20"/>
          <w:color w:val="auto"/>
        </w:rPr>
      </w:pPr>
      <w:r>
        <w:rPr>
          <w:rFonts w:ascii="Arial" w:cs="Arial" w:eastAsia="Arial" w:hAnsi="Arial"/>
          <w:sz w:val="16"/>
          <w:szCs w:val="16"/>
          <w:color w:val="auto"/>
        </w:rPr>
        <w:t xml:space="preserve">Reference is hereby made to the 364-Day Facility U.S. Pledge and Security Agreement (as amended, restated, supplemented or otherwise modified from time to time, the </w:t>
      </w:r>
      <w:r>
        <w:rPr>
          <w:rFonts w:ascii="Arial" w:cs="Arial" w:eastAsia="Arial" w:hAnsi="Arial"/>
          <w:sz w:val="15"/>
          <w:szCs w:val="15"/>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August 16, 2018, among the Grantors (as defined therein), and Morgan Stanley Senior Funding, Inc., as the Collateral Agent. Capitalized terms used herein and not defined herein shall have the meanings given to them in the Agreement.</w:t>
      </w:r>
    </w:p>
    <w:p>
      <w:pPr>
        <w:spacing w:after="0" w:line="143"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 xml:space="preserve">By its execution below, the undersigned, </w:t>
      </w:r>
      <w:r>
        <w:rPr>
          <w:rFonts w:ascii="Arial" w:cs="Arial" w:eastAsia="Arial" w:hAnsi="Arial"/>
          <w:sz w:val="18"/>
          <w:szCs w:val="18"/>
          <w:b w:val="1"/>
          <w:bCs w:val="1"/>
          <w:color w:val="auto"/>
        </w:rPr>
        <w:t>[</w:t>
      </w:r>
      <w:r>
        <w:rPr>
          <w:rFonts w:ascii="Arial" w:cs="Arial" w:eastAsia="Arial" w:hAnsi="Arial"/>
          <w:sz w:val="18"/>
          <w:szCs w:val="18"/>
          <w:color w:val="auto"/>
        </w:rPr>
        <w:t>NAME OF NEW GRANTOR</w:t>
      </w:r>
      <w:r>
        <w:rPr>
          <w:rFonts w:ascii="Arial" w:cs="Arial" w:eastAsia="Arial" w:hAnsi="Arial"/>
          <w:sz w:val="18"/>
          <w:szCs w:val="18"/>
          <w:b w:val="1"/>
          <w:bCs w:val="1"/>
          <w:color w:val="auto"/>
        </w:rPr>
        <w:t>]</w:t>
      </w:r>
      <w:r>
        <w:rPr>
          <w:rFonts w:ascii="Arial" w:cs="Arial" w:eastAsia="Arial" w:hAnsi="Arial"/>
          <w:sz w:val="18"/>
          <w:szCs w:val="18"/>
          <w:color w:val="auto"/>
        </w:rPr>
        <w:t xml:space="preserve">, a </w:t>
      </w:r>
      <w:r>
        <w:rPr>
          <w:rFonts w:ascii="Arial" w:cs="Arial" w:eastAsia="Arial" w:hAnsi="Arial"/>
          <w:sz w:val="18"/>
          <w:szCs w:val="18"/>
          <w:b w:val="1"/>
          <w:bCs w:val="1"/>
          <w:color w:val="auto"/>
        </w:rPr>
        <w:t>[ ] [</w:t>
      </w:r>
      <w:r>
        <w:rPr>
          <w:rFonts w:ascii="Arial" w:cs="Arial" w:eastAsia="Arial" w:hAnsi="Arial"/>
          <w:sz w:val="18"/>
          <w:szCs w:val="18"/>
          <w:color w:val="auto"/>
        </w:rPr>
        <w:t>corporation/limited liability company/limited partnership</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New Grantor</w:t>
      </w:r>
      <w:r>
        <w:rPr>
          <w:rFonts w:ascii="Arial" w:cs="Arial" w:eastAsia="Arial" w:hAnsi="Arial"/>
          <w:sz w:val="18"/>
          <w:szCs w:val="18"/>
          <w:color w:val="auto"/>
        </w:rPr>
        <w:t>”) agrees to become, and does hereby become, a Grantor under the Agreement and agrees to be bound by the Agreement as if originally a party thereto. The New Grantor hereby collaterally assigns and pledges to the Collateral Agent for the benefit of the Secured Parties, and grants to the Collateral Agent for the benefit of the Secured Parties, a security interest in all of the New Grantor’s right, title and interest in and to the Collateral, whether now owned or existing or hereafter acquired, to secure the prompt and complete payment and performance of the Secured Obligations; provided, that, notwithstanding anything to the contrary in this Agreement or in any Loan Document, in no event shall the Collateral include or consist of, or the security interest or Lien granted under the Security Agreement attach to, any Excluded Property (nor shall any Excluded Property in any event constitute, or be deemed to constitute, Collateral). For the avoidance of doubt, the grant of a security interest herein shall not be deemed to be an assignment of intellectual property rights owned by the New Grantor.</w:t>
      </w:r>
    </w:p>
    <w:p>
      <w:pPr>
        <w:spacing w:after="0" w:line="193"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By its execution below, the undersigned represents and warrants as to itself that all of the representations and warranties contained in the Agreement are true and correct in all material respects as of the date hereof. The New Grantor represents and warrants that the supplements to the Exhibits to the Agreement attached hereto are true and correct in all material respects and that such supplements set forth all information required to be scheduled under the Agreement with respect to the New Grantor. The New Grantor shall take all steps necessary and required under the Agreement to perfect, in favor of the Collateral Agent, a security interest in and lien against the New Grantor</w:t>
      </w:r>
      <w:r>
        <w:rPr>
          <w:rFonts w:ascii="Arial" w:cs="Arial" w:eastAsia="Arial" w:hAnsi="Arial"/>
          <w:sz w:val="16"/>
          <w:szCs w:val="16"/>
          <w:color w:val="auto"/>
        </w:rPr>
        <w:t>’</w:t>
      </w:r>
      <w:r>
        <w:rPr>
          <w:rFonts w:ascii="Arial" w:cs="Arial" w:eastAsia="Arial" w:hAnsi="Arial"/>
          <w:sz w:val="17"/>
          <w:szCs w:val="17"/>
          <w:color w:val="auto"/>
        </w:rPr>
        <w:t>s Collateral.</w:t>
      </w:r>
    </w:p>
    <w:p>
      <w:pPr>
        <w:spacing w:after="0" w:line="169"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b w:val="1"/>
          <w:bCs w:val="1"/>
          <w:color w:val="auto"/>
        </w:rPr>
        <w:t>THIS AGREEMENT SHALL BE CONSTRUED IN ACCORDANCE WITH AND GOVERNED BY THE LAW OF THE STATE OF NEW YORK.</w:t>
      </w:r>
    </w:p>
    <w:p>
      <w:pPr>
        <w:spacing w:after="0" w:line="166" w:lineRule="exact"/>
        <w:rPr>
          <w:sz w:val="20"/>
          <w:szCs w:val="20"/>
          <w:color w:val="auto"/>
        </w:rPr>
      </w:pPr>
    </w:p>
    <w:p>
      <w:pPr>
        <w:ind w:left="1300"/>
        <w:spacing w:after="0"/>
        <w:tabs>
          <w:tab w:leader="none" w:pos="10780" w:val="left"/>
        </w:tabs>
        <w:rPr>
          <w:sz w:val="20"/>
          <w:szCs w:val="20"/>
          <w:color w:val="auto"/>
        </w:rPr>
      </w:pPr>
      <w:r>
        <w:rPr>
          <w:rFonts w:ascii="Arial" w:cs="Arial" w:eastAsia="Arial" w:hAnsi="Arial"/>
          <w:sz w:val="18"/>
          <w:szCs w:val="18"/>
          <w:color w:val="auto"/>
        </w:rPr>
        <w:t>IN WITNESS WHEREOF, the New Grantor has executed and delivered this Security Agreement Supplement as of this</w:t>
      </w:r>
      <w:r>
        <w:rPr>
          <w:sz w:val="20"/>
          <w:szCs w:val="20"/>
          <w:color w:val="auto"/>
        </w:rPr>
        <w:tab/>
      </w:r>
      <w:r>
        <w:rPr>
          <w:rFonts w:ascii="Arial" w:cs="Arial" w:eastAsia="Arial" w:hAnsi="Arial"/>
          <w:sz w:val="16"/>
          <w:szCs w:val="16"/>
          <w:color w:val="auto"/>
        </w:rPr>
        <w:t>day of</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20 .</w:t>
      </w:r>
    </w:p>
    <w:p>
      <w:pPr>
        <w:spacing w:after="0" w:line="207"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NAME OF NEW GRANTOR</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5715</wp:posOffset>
            </wp:positionV>
            <wp:extent cx="30441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0441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-130810</wp:posOffset>
            </wp:positionV>
            <wp:extent cx="30441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04419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225" w:name="page226"/>
    <w:bookmarkEnd w:id="225"/>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AFFILIATE GUARANTY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AFFILIATE GUARANTY (as the same may be amended, restated, supplemented or otherwise modified from time to time, this “</w:t>
      </w:r>
      <w:r>
        <w:rPr>
          <w:rFonts w:ascii="Arial" w:cs="Arial" w:eastAsia="Arial" w:hAnsi="Arial"/>
          <w:sz w:val="16"/>
          <w:szCs w:val="16"/>
          <w:u w:val="single" w:color="auto"/>
          <w:color w:val="auto"/>
        </w:rPr>
        <w:t>Guaranty</w:t>
      </w:r>
      <w:r>
        <w:rPr>
          <w:rFonts w:ascii="Arial" w:cs="Arial" w:eastAsia="Arial" w:hAnsi="Arial"/>
          <w:sz w:val="16"/>
          <w:szCs w:val="16"/>
          <w:color w:val="auto"/>
        </w:rPr>
        <w:t>”) 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made as of August 16, 2018 by and among Weatherford International plc, an Irish public limited company (the “</w:t>
      </w:r>
      <w:r>
        <w:rPr>
          <w:rFonts w:ascii="Arial" w:cs="Arial" w:eastAsia="Arial" w:hAnsi="Arial"/>
          <w:sz w:val="16"/>
          <w:szCs w:val="16"/>
          <w:u w:val="single" w:color="auto"/>
          <w:color w:val="auto"/>
        </w:rPr>
        <w:t>Parent</w:t>
      </w:r>
      <w:r>
        <w:rPr>
          <w:rFonts w:ascii="Arial" w:cs="Arial" w:eastAsia="Arial" w:hAnsi="Arial"/>
          <w:sz w:val="16"/>
          <w:szCs w:val="16"/>
          <w:color w:val="auto"/>
        </w:rPr>
        <w:t>”) and each of the Subsidiaries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Parent listed on the signature pages hereto (the Parent and each such listed Subsidiary, each an “</w:t>
      </w:r>
      <w:r>
        <w:rPr>
          <w:rFonts w:ascii="Arial" w:cs="Arial" w:eastAsia="Arial" w:hAnsi="Arial"/>
          <w:sz w:val="16"/>
          <w:szCs w:val="16"/>
          <w:u w:val="single" w:color="auto"/>
          <w:color w:val="auto"/>
        </w:rPr>
        <w:t>Initial Guarantor</w:t>
      </w:r>
      <w:r>
        <w:rPr>
          <w:rFonts w:ascii="Arial" w:cs="Arial" w:eastAsia="Arial" w:hAnsi="Arial"/>
          <w:sz w:val="16"/>
          <w:szCs w:val="16"/>
          <w:color w:val="auto"/>
        </w:rPr>
        <w:t>”) and those additional Subsidiaries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Parent that become parties to this Guaranty by executing a supplement hereto (a “</w:t>
      </w:r>
      <w:r>
        <w:rPr>
          <w:rFonts w:ascii="Arial" w:cs="Arial" w:eastAsia="Arial" w:hAnsi="Arial"/>
          <w:sz w:val="17"/>
          <w:szCs w:val="17"/>
          <w:u w:val="single" w:color="auto"/>
          <w:color w:val="auto"/>
        </w:rPr>
        <w:t>Guaranty Supplement</w:t>
      </w:r>
      <w:r>
        <w:rPr>
          <w:rFonts w:ascii="Arial" w:cs="Arial" w:eastAsia="Arial" w:hAnsi="Arial"/>
          <w:sz w:val="17"/>
          <w:szCs w:val="17"/>
          <w:color w:val="auto"/>
        </w:rPr>
        <w:t xml:space="preserve">”) in the form attached hereto as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additional Subsidiaries, together with the Initial Guarantors, the “</w:t>
      </w:r>
      <w:r>
        <w:rPr>
          <w:rFonts w:ascii="Arial" w:cs="Arial" w:eastAsia="Arial" w:hAnsi="Arial"/>
          <w:sz w:val="17"/>
          <w:szCs w:val="17"/>
          <w:u w:val="single" w:color="auto"/>
          <w:color w:val="auto"/>
        </w:rPr>
        <w:t>Guarantors</w:t>
      </w:r>
      <w:r>
        <w:rPr>
          <w:rFonts w:ascii="Arial" w:cs="Arial" w:eastAsia="Arial" w:hAnsi="Arial"/>
          <w:sz w:val="17"/>
          <w:szCs w:val="17"/>
          <w:color w:val="auto"/>
        </w:rPr>
        <w:t>”), in favor of JPMorgan Chase Bank, N.A., as Administrative Agent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benefit of itself and the other holders of the Guaranteed Obligations (as defined below) (all such holders, the “</w:t>
      </w:r>
      <w:r>
        <w:rPr>
          <w:rFonts w:ascii="Arial" w:cs="Arial" w:eastAsia="Arial" w:hAnsi="Arial"/>
          <w:sz w:val="16"/>
          <w:szCs w:val="16"/>
          <w:u w:val="single" w:color="auto"/>
          <w:color w:val="auto"/>
        </w:rPr>
        <w:t>Guaranteed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Parties</w:t>
      </w:r>
      <w:r>
        <w:rPr>
          <w:rFonts w:ascii="Arial" w:cs="Arial" w:eastAsia="Arial" w:hAnsi="Arial"/>
          <w:sz w:val="16"/>
          <w:szCs w:val="16"/>
          <w:color w:val="auto"/>
        </w:rPr>
        <w:t>”). Unless otherwise defined herein, capitalized terms used herein and not defined herein shall have the respective meanings ascribed to such terms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(as defined below).</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WHEREAS, Weatherford International Ltd., a Bermuda exempted company (“</w:t>
      </w:r>
      <w:r>
        <w:rPr>
          <w:rFonts w:ascii="Arial" w:cs="Arial" w:eastAsia="Arial" w:hAnsi="Arial"/>
          <w:sz w:val="17"/>
          <w:szCs w:val="17"/>
          <w:u w:val="single" w:color="auto"/>
          <w:color w:val="auto"/>
        </w:rPr>
        <w:t>WIL-Bermuda</w:t>
      </w:r>
      <w:r>
        <w:rPr>
          <w:rFonts w:ascii="Arial" w:cs="Arial" w:eastAsia="Arial" w:hAnsi="Arial"/>
          <w:sz w:val="17"/>
          <w:szCs w:val="17"/>
          <w:color w:val="auto"/>
        </w:rPr>
        <w:t>”), the other Subsidiaries of the Parent from time to time party thereto as Borrowers (together with WIL-Bermuda, collectively, the “</w:t>
      </w:r>
      <w:r>
        <w:rPr>
          <w:rFonts w:ascii="Arial" w:cs="Arial" w:eastAsia="Arial" w:hAnsi="Arial"/>
          <w:sz w:val="17"/>
          <w:szCs w:val="17"/>
          <w:u w:val="single" w:color="auto"/>
          <w:color w:val="auto"/>
        </w:rPr>
        <w:t>Borrowers</w:t>
      </w:r>
      <w:r>
        <w:rPr>
          <w:rFonts w:ascii="Arial" w:cs="Arial" w:eastAsia="Arial" w:hAnsi="Arial"/>
          <w:sz w:val="17"/>
          <w:szCs w:val="17"/>
          <w:color w:val="auto"/>
        </w:rPr>
        <w:t>”), the Parent, the financial institutions from time to time party thereto as Lenders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 Swingline Lender and the Administrative Agent and Morgan Stanley Senior Funding, Inc., as Collateral Agent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have entered into that certain 364-Day Revolving Credit Agreement dated as of August 16, 2018 (as the same may be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which provides, subject to the terms and conditions thereof, for extensions of credit to be made by the Lenders to or for the benefit of the Borrowers;</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WHEREAS, it is a condition precedent to the Effective Date under the Credit Agreement and to the extensions of credit by the Lenders thereunder on the terms therein that each of the Guarantors execute and deliver this Guaranty, whereby each of the Guarantors, without limitation and with full recourse, shall guarantee the payment and performance when due of all Guaranteed Obligations;</w:t>
      </w:r>
    </w:p>
    <w:p>
      <w:pPr>
        <w:spacing w:after="0" w:line="18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WHEREAS, without limitation or prejudice to any and all rights and remedies available to any Guaranteed Party against any Guarantor hereunder (or under any other Loan Document) on a joint and several liability basis, as fully set forth in the Loan Documents, the Guaranteed Parties acknowledge that the guarantee of the Guaranteed Obligations by the Parent, the publicly-traded parent company and direct and indirect owner of all the WIL-Ireland Group’s assets and operations, provides the greatest economic protection to the Guaranteed Parties in the case of an Event of Default; and</w:t>
      </w:r>
    </w:p>
    <w:p>
      <w:pPr>
        <w:spacing w:after="0" w:line="15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WHEREAS, in consideration of the direct and indirect financial and other support and benefits that the Borrowers have provided, and such direct and indirect financial and other support and benefits as the Borrowers may in the future provide, to the Guarantors, and in consideration for the increased ability of each Guarantor, as an Affiliate of each Borrower, to benefit from borrowings made by the Borrowers pursuant to the Credit Agreement and the flexibility provided by the Credit Agreement for each Guarantor to do so, and in order to induce the Lenders, each Swingline Lender, the Administrative Agent and the other parties party thereto from time to time to enter into the Credit Agreement, and to induce the Lenders and each Swingline Lender to make Loans to the Borrowers on the terms described in the Credit Agreement, each of the Guarantors is willing to guarantee the Guaranteed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NOW, THEREFORE, in consideration of the foregoing premises and other good and valuable consideration, the receipt and sufficiency of which are hereby acknowledged, the parties hereto agree as follows:</w:t>
      </w:r>
    </w:p>
    <w:p>
      <w:pPr>
        <w:spacing w:after="0" w:line="170"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Representations, Warranties and Covenants</w:t>
      </w:r>
      <w:r>
        <w:rPr>
          <w:rFonts w:ascii="Arial" w:cs="Arial" w:eastAsia="Arial" w:hAnsi="Arial"/>
          <w:sz w:val="17"/>
          <w:szCs w:val="17"/>
          <w:color w:val="auto"/>
        </w:rPr>
        <w:t xml:space="preserve">. Each of the Guarantors represents and warrants to each Lender (including any Swingline Lender) and the Administrative Agent as of the date of this Guaranty, giving effect to the consummation of the transactions contemplated by the Loan Documents on the Effective Date, and thereafter on each date as required by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of the Credit Agreement that:</w:t>
      </w:r>
    </w:p>
    <w:p>
      <w:pPr>
        <w:spacing w:after="0" w:line="166" w:lineRule="exact"/>
        <w:rPr>
          <w:sz w:val="20"/>
          <w:szCs w:val="20"/>
          <w:color w:val="auto"/>
        </w:rPr>
      </w:pPr>
    </w:p>
    <w:p>
      <w:pPr>
        <w:ind w:firstLine="656"/>
        <w:spacing w:after="0" w:line="255" w:lineRule="auto"/>
        <w:tabs>
          <w:tab w:leader="none" w:pos="1343" w:val="left"/>
        </w:tabs>
        <w:numPr>
          <w:ilvl w:val="0"/>
          <w:numId w:val="533"/>
        </w:numPr>
        <w:rPr>
          <w:rFonts w:ascii="Arial" w:cs="Arial" w:eastAsia="Arial" w:hAnsi="Arial"/>
          <w:sz w:val="18"/>
          <w:szCs w:val="18"/>
          <w:color w:val="auto"/>
        </w:rPr>
      </w:pPr>
      <w:r>
        <w:rPr>
          <w:rFonts w:ascii="Arial" w:cs="Arial" w:eastAsia="Arial" w:hAnsi="Arial"/>
          <w:sz w:val="18"/>
          <w:szCs w:val="18"/>
          <w:color w:val="auto"/>
        </w:rPr>
        <w:t>Such Guarantor (i) is a company, corporation, partnership, unlimited liability company or entity having limited liability that is duly organized (or in the case of any English, Irish, Australian, British Virgin Islands or Bermuda Guarantor, duly incorporated) or formed, validly existing and, to the extent applicable, in good standing under the laws of the jurisdiction of its incorporation or formation, (ii) has the corporate, partnership or other power and authority to own its property and to carry on its business as now conducted and (iii) is duly qualified as a foreign corporation or other foreign entity to do business and is in good standing in every jurisdiction in which the failure to be so qualified would, together with all such other failures of the Guarantors to be so qualified or in good standing, have a Material Adverse Effect.</w:t>
      </w:r>
    </w:p>
    <w:p>
      <w:pPr>
        <w:spacing w:after="0" w:line="193" w:lineRule="exact"/>
        <w:rPr>
          <w:rFonts w:ascii="Arial" w:cs="Arial" w:eastAsia="Arial" w:hAnsi="Arial"/>
          <w:sz w:val="18"/>
          <w:szCs w:val="18"/>
          <w:color w:val="auto"/>
        </w:rPr>
      </w:pPr>
    </w:p>
    <w:p>
      <w:pPr>
        <w:ind w:right="20" w:firstLine="656"/>
        <w:spacing w:after="0" w:line="270" w:lineRule="auto"/>
        <w:tabs>
          <w:tab w:leader="none" w:pos="1353" w:val="left"/>
        </w:tabs>
        <w:numPr>
          <w:ilvl w:val="0"/>
          <w:numId w:val="533"/>
        </w:numPr>
        <w:rPr>
          <w:rFonts w:ascii="Arial" w:cs="Arial" w:eastAsia="Arial" w:hAnsi="Arial"/>
          <w:sz w:val="17"/>
          <w:szCs w:val="17"/>
          <w:color w:val="auto"/>
        </w:rPr>
      </w:pPr>
      <w:r>
        <w:rPr>
          <w:rFonts w:ascii="Arial" w:cs="Arial" w:eastAsia="Arial" w:hAnsi="Arial"/>
          <w:sz w:val="17"/>
          <w:szCs w:val="17"/>
          <w:color w:val="auto"/>
        </w:rPr>
        <w:t>Such Guarantor has the corporate or other power and authority to execute, deliver and perform its obligations hereunder and under the other Loan Documents to which it is a party and to consummate the Transactions, and all such action has been duly authorized by all necessary corporate, partnership or other proceedings on its part or on its behalf. Each Loan Document to which it is a party has been duly and validly executed and delivered by or on behalf of such Guarantor and constitutes valid and legally binding agreements of such Guarantor enforceable against such Guarantor in accordance with the terms hereof, and the Loan Documents to which such Guarantor is a party, when duly executed and delivered by or on behalf of such Guarantor, shall constitute valid and legally binding obligations of such Guarantor enforceable in accordance with the respective terms thereof and of this Guaranty, except, in each case (a) as may be limited by bankruptcy, insolvency, examinership, administration,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177" w:lineRule="exact"/>
        <w:rPr>
          <w:rFonts w:ascii="Arial" w:cs="Arial" w:eastAsia="Arial" w:hAnsi="Arial"/>
          <w:sz w:val="17"/>
          <w:szCs w:val="17"/>
          <w:color w:val="auto"/>
        </w:rPr>
      </w:pPr>
    </w:p>
    <w:p>
      <w:pPr>
        <w:ind w:right="340" w:firstLine="656"/>
        <w:spacing w:after="0" w:line="257" w:lineRule="auto"/>
        <w:tabs>
          <w:tab w:leader="none" w:pos="1343" w:val="left"/>
        </w:tabs>
        <w:numPr>
          <w:ilvl w:val="0"/>
          <w:numId w:val="533"/>
        </w:numPr>
        <w:rPr>
          <w:rFonts w:ascii="Arial" w:cs="Arial" w:eastAsia="Arial" w:hAnsi="Arial"/>
          <w:sz w:val="18"/>
          <w:szCs w:val="18"/>
          <w:color w:val="auto"/>
        </w:rPr>
      </w:pPr>
      <w:r>
        <w:rPr>
          <w:rFonts w:ascii="Arial" w:cs="Arial" w:eastAsia="Arial" w:hAnsi="Arial"/>
          <w:sz w:val="18"/>
          <w:szCs w:val="18"/>
          <w:color w:val="auto"/>
        </w:rPr>
        <w:t>No authorization, consent, approval, license or exemption of, or filing or registration with, any Governmental Authority is necessary to have been made or obtained by such Guarantor for the valid execution, delivery and performance by such Guarantor of this Guaranty or any other Loan Document to which it is a party or the consummation of the Transactions, except those that have been obtained and are in full force and effect and such matters relating to performance as would ordinarily be done in the ordinary course of business after the Effective Date or any other date on which such Guarantor becomes a party hereto, as applicable.</w:t>
      </w:r>
    </w:p>
    <w:p>
      <w:pPr>
        <w:spacing w:after="0" w:line="188" w:lineRule="exact"/>
        <w:rPr>
          <w:rFonts w:ascii="Arial" w:cs="Arial" w:eastAsia="Arial" w:hAnsi="Arial"/>
          <w:sz w:val="18"/>
          <w:szCs w:val="18"/>
          <w:color w:val="auto"/>
        </w:rPr>
      </w:pPr>
    </w:p>
    <w:p>
      <w:pPr>
        <w:ind w:right="280" w:firstLine="656"/>
        <w:spacing w:after="0" w:line="342" w:lineRule="auto"/>
        <w:tabs>
          <w:tab w:leader="none" w:pos="1353" w:val="left"/>
        </w:tabs>
        <w:numPr>
          <w:ilvl w:val="0"/>
          <w:numId w:val="533"/>
        </w:numPr>
        <w:rPr>
          <w:rFonts w:ascii="Arial" w:cs="Arial" w:eastAsia="Arial" w:hAnsi="Arial"/>
          <w:sz w:val="16"/>
          <w:szCs w:val="16"/>
          <w:color w:val="auto"/>
        </w:rPr>
      </w:pPr>
      <w:r>
        <w:rPr>
          <w:rFonts w:ascii="Arial" w:cs="Arial" w:eastAsia="Arial" w:hAnsi="Arial"/>
          <w:sz w:val="16"/>
          <w:szCs w:val="16"/>
          <w:color w:val="auto"/>
        </w:rPr>
        <w:t>Neither the execution, delivery and performance by such Guarantor of this Guaranty or the other Loan Documents to which it is a party, nor compliance with the terms and provisions thereof, nor the extensions of credit contemplated by the Loan Documents, nor the consummation of the</w:t>
      </w:r>
    </w:p>
    <w:p>
      <w:pPr>
        <w:sectPr>
          <w:pgSz w:w="11900" w:h="16908" w:orient="portrait"/>
          <w:cols w:equalWidth="0" w:num="1">
            <w:col w:w="11420"/>
          </w:cols>
          <w:pgMar w:left="240" w:top="121" w:right="239" w:bottom="0" w:gutter="0" w:footer="0" w:header="0"/>
        </w:sectPr>
      </w:pPr>
    </w:p>
    <w:bookmarkStart w:id="226" w:name="page227"/>
    <w:bookmarkEnd w:id="226"/>
    <w:p>
      <w:pPr>
        <w:spacing w:after="0" w:line="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Transactions (i) will breach or violate any applicable Requirement of Law, (ii) will result in any breach or violation of, or constitute a default under, or result in the creation or imposition of (or the obligation to create or impose) any Lien prohibited under the Credit Agreement upon any of its property or assets pursuant to the terms of, (x) the Existing Senior Notes or any Existing Senior Notes Indenture or (y) 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indenture, agreement or other instrument to which it or any of its Restricted Subsidiaries is party or by which any property or asset of it or any of its Restricted Subsidiaries is bound or to which it is subject, except for breaches, violations and defaults under clauses (d)(i) and (d)(ii)(y) that collectively for the Guarantors would not have a Material Adverse Effect, or (v) will violate any provision of the organizational and/or constitutional documents or by-laws of such Guarantor.</w:t>
      </w:r>
    </w:p>
    <w:p>
      <w:pPr>
        <w:spacing w:after="0" w:line="187" w:lineRule="exact"/>
        <w:rPr>
          <w:sz w:val="20"/>
          <w:szCs w:val="20"/>
          <w:color w:val="auto"/>
        </w:rPr>
      </w:pPr>
    </w:p>
    <w:p>
      <w:pPr>
        <w:ind w:right="300" w:firstLine="656"/>
        <w:spacing w:after="0" w:line="277" w:lineRule="auto"/>
        <w:tabs>
          <w:tab w:leader="none" w:pos="1343" w:val="left"/>
        </w:tabs>
        <w:numPr>
          <w:ilvl w:val="0"/>
          <w:numId w:val="534"/>
        </w:numPr>
        <w:rPr>
          <w:rFonts w:ascii="Arial" w:cs="Arial" w:eastAsia="Arial" w:hAnsi="Arial"/>
          <w:sz w:val="18"/>
          <w:szCs w:val="18"/>
          <w:color w:val="auto"/>
        </w:rPr>
      </w:pPr>
      <w:r>
        <w:rPr>
          <w:rFonts w:ascii="Arial" w:cs="Arial" w:eastAsia="Arial" w:hAnsi="Arial"/>
          <w:sz w:val="18"/>
          <w:szCs w:val="18"/>
          <w:color w:val="auto"/>
        </w:rPr>
        <w:t>In the case of any Guarantor incorporated from time to time in a member state of the European Union in relation to which the European Insolvency Regulation applies (an “</w:t>
      </w:r>
      <w:r>
        <w:rPr>
          <w:rFonts w:ascii="Arial" w:cs="Arial" w:eastAsia="Arial" w:hAnsi="Arial"/>
          <w:sz w:val="18"/>
          <w:szCs w:val="18"/>
          <w:u w:val="single" w:color="auto"/>
          <w:color w:val="auto"/>
        </w:rPr>
        <w:t>EIR Guarantor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380" w:firstLine="645"/>
        <w:spacing w:after="0" w:line="277" w:lineRule="auto"/>
        <w:tabs>
          <w:tab w:leader="none" w:pos="2018" w:val="left"/>
        </w:tabs>
        <w:numPr>
          <w:ilvl w:val="1"/>
          <w:numId w:val="534"/>
        </w:numPr>
        <w:rPr>
          <w:rFonts w:ascii="Arial" w:cs="Arial" w:eastAsia="Arial" w:hAnsi="Arial"/>
          <w:sz w:val="18"/>
          <w:szCs w:val="18"/>
          <w:color w:val="auto"/>
        </w:rPr>
      </w:pPr>
      <w:r>
        <w:rPr>
          <w:rFonts w:ascii="Arial" w:cs="Arial" w:eastAsia="Arial" w:hAnsi="Arial"/>
          <w:sz w:val="18"/>
          <w:szCs w:val="18"/>
          <w:color w:val="auto"/>
        </w:rPr>
        <w:t>such EIR Guarantor’s “centre of main interest” (as that term is used in Article 3(1) of the European Insolvency Regulation) is situated in its jurisdiction of incorporation; and</w:t>
      </w:r>
    </w:p>
    <w:p>
      <w:pPr>
        <w:spacing w:after="0" w:line="170" w:lineRule="exact"/>
        <w:rPr>
          <w:rFonts w:ascii="Arial" w:cs="Arial" w:eastAsia="Arial" w:hAnsi="Arial"/>
          <w:sz w:val="18"/>
          <w:szCs w:val="18"/>
          <w:color w:val="auto"/>
        </w:rPr>
      </w:pPr>
    </w:p>
    <w:p>
      <w:pPr>
        <w:ind w:left="660" w:right="60" w:firstLine="645"/>
        <w:spacing w:after="0" w:line="277" w:lineRule="auto"/>
        <w:tabs>
          <w:tab w:leader="none" w:pos="2023" w:val="left"/>
        </w:tabs>
        <w:numPr>
          <w:ilvl w:val="1"/>
          <w:numId w:val="534"/>
        </w:numPr>
        <w:rPr>
          <w:rFonts w:ascii="Arial" w:cs="Arial" w:eastAsia="Arial" w:hAnsi="Arial"/>
          <w:sz w:val="18"/>
          <w:szCs w:val="18"/>
          <w:color w:val="auto"/>
        </w:rPr>
      </w:pPr>
      <w:r>
        <w:rPr>
          <w:rFonts w:ascii="Arial" w:cs="Arial" w:eastAsia="Arial" w:hAnsi="Arial"/>
          <w:sz w:val="18"/>
          <w:szCs w:val="18"/>
          <w:color w:val="auto"/>
        </w:rPr>
        <w:t>such EIR Guarantor covenants that it shall not, without the prior written consent of the Administrative Agent, take any action that shall cause its “centre of main interests” to be situated outside its jurisdiction of incorporation.</w:t>
      </w:r>
    </w:p>
    <w:p>
      <w:pPr>
        <w:spacing w:after="0" w:line="170" w:lineRule="exact"/>
        <w:rPr>
          <w:rFonts w:ascii="Arial" w:cs="Arial" w:eastAsia="Arial" w:hAnsi="Arial"/>
          <w:sz w:val="18"/>
          <w:szCs w:val="18"/>
          <w:color w:val="auto"/>
        </w:rPr>
      </w:pPr>
    </w:p>
    <w:p>
      <w:pPr>
        <w:ind w:right="180" w:firstLine="656"/>
        <w:spacing w:after="0" w:line="259" w:lineRule="auto"/>
        <w:tabs>
          <w:tab w:leader="none" w:pos="1368" w:val="left"/>
        </w:tabs>
        <w:numPr>
          <w:ilvl w:val="0"/>
          <w:numId w:val="534"/>
        </w:numPr>
        <w:rPr>
          <w:rFonts w:ascii="Arial" w:cs="Arial" w:eastAsia="Arial" w:hAnsi="Arial"/>
          <w:sz w:val="18"/>
          <w:szCs w:val="18"/>
          <w:color w:val="auto"/>
        </w:rPr>
      </w:pPr>
      <w:r>
        <w:rPr>
          <w:rFonts w:ascii="Arial" w:cs="Arial" w:eastAsia="Arial" w:hAnsi="Arial"/>
          <w:sz w:val="18"/>
          <w:szCs w:val="18"/>
          <w:color w:val="auto"/>
        </w:rPr>
        <w:t xml:space="preserve">In the case of Weatherford Australia Pty Limited (ACN 008 947 395) only (i) it is a wholly owned subsidiary of the Parent, (ii) it is not party to any other Loan Document as trustee and does not hold any property as trustee, (iii) it is Solvent and it is not presumed to be or taken to be insolvent under applicable law, and (iv) it is not prevented by Chapter 2E or Part 2J or other provision of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 of Australia from entering into and performing any of the Loan Documents.</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In the case of any Guarantor incorporated under the laws of Luxembourg (a “</w:t>
      </w:r>
      <w:r>
        <w:rPr>
          <w:rFonts w:ascii="Arial" w:cs="Arial" w:eastAsia="Arial" w:hAnsi="Arial"/>
          <w:sz w:val="18"/>
          <w:szCs w:val="18"/>
          <w:u w:val="single" w:color="auto"/>
          <w:color w:val="auto"/>
        </w:rPr>
        <w:t>Luxembourg Guarantor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340" w:firstLine="645"/>
        <w:spacing w:after="0" w:line="264" w:lineRule="auto"/>
        <w:tabs>
          <w:tab w:leader="none" w:pos="2018" w:val="left"/>
        </w:tabs>
        <w:numPr>
          <w:ilvl w:val="1"/>
          <w:numId w:val="534"/>
        </w:numPr>
        <w:rPr>
          <w:rFonts w:ascii="Arial" w:cs="Arial" w:eastAsia="Arial" w:hAnsi="Arial"/>
          <w:sz w:val="18"/>
          <w:szCs w:val="18"/>
          <w:color w:val="auto"/>
        </w:rPr>
      </w:pPr>
      <w:r>
        <w:rPr>
          <w:rFonts w:ascii="Arial" w:cs="Arial" w:eastAsia="Arial" w:hAnsi="Arial"/>
          <w:sz w:val="18"/>
          <w:szCs w:val="18"/>
          <w:color w:val="auto"/>
        </w:rPr>
        <w:t>such Luxembourg Guarantor’s head office (</w:t>
      </w:r>
      <w:r>
        <w:rPr>
          <w:rFonts w:ascii="Arial" w:cs="Arial" w:eastAsia="Arial" w:hAnsi="Arial"/>
          <w:sz w:val="18"/>
          <w:szCs w:val="18"/>
          <w:i w:val="1"/>
          <w:iCs w:val="1"/>
          <w:color w:val="auto"/>
        </w:rPr>
        <w:t>administration centrale</w:t>
      </w:r>
      <w:r>
        <w:rPr>
          <w:rFonts w:ascii="Arial" w:cs="Arial" w:eastAsia="Arial" w:hAnsi="Arial"/>
          <w:sz w:val="18"/>
          <w:szCs w:val="18"/>
          <w:color w:val="auto"/>
        </w:rPr>
        <w:t>), the place of its effective management (</w:t>
      </w:r>
      <w:r>
        <w:rPr>
          <w:rFonts w:ascii="Arial" w:cs="Arial" w:eastAsia="Arial" w:hAnsi="Arial"/>
          <w:sz w:val="18"/>
          <w:szCs w:val="18"/>
          <w:i w:val="1"/>
          <w:iCs w:val="1"/>
          <w:color w:val="auto"/>
        </w:rPr>
        <w:t>siège de direction</w:t>
      </w:r>
      <w:r>
        <w:rPr>
          <w:rFonts w:ascii="Arial" w:cs="Arial" w:eastAsia="Arial" w:hAnsi="Arial"/>
          <w:sz w:val="18"/>
          <w:szCs w:val="18"/>
          <w:color w:val="auto"/>
        </w:rPr>
        <w:t xml:space="preserve"> </w:t>
      </w:r>
      <w:r>
        <w:rPr>
          <w:rFonts w:ascii="Arial" w:cs="Arial" w:eastAsia="Arial" w:hAnsi="Arial"/>
          <w:sz w:val="18"/>
          <w:szCs w:val="18"/>
          <w:i w:val="1"/>
          <w:iCs w:val="1"/>
          <w:color w:val="auto"/>
        </w:rPr>
        <w:t>effective</w:t>
      </w:r>
      <w:r>
        <w:rPr>
          <w:rFonts w:ascii="Arial" w:cs="Arial" w:eastAsia="Arial" w:hAnsi="Arial"/>
          <w:sz w:val="18"/>
          <w:szCs w:val="18"/>
          <w:color w:val="auto"/>
        </w:rPr>
        <w:t>) and (for the purposes of the European Insolvency Regulation) (as defined below) the centre of its main interests (</w:t>
      </w:r>
      <w:r>
        <w:rPr>
          <w:rFonts w:ascii="Arial" w:cs="Arial" w:eastAsia="Arial" w:hAnsi="Arial"/>
          <w:sz w:val="18"/>
          <w:szCs w:val="18"/>
          <w:i w:val="1"/>
          <w:iCs w:val="1"/>
          <w:color w:val="auto"/>
        </w:rPr>
        <w:t>centre des intérêts principaux</w:t>
      </w:r>
      <w:r>
        <w:rPr>
          <w:rFonts w:ascii="Arial" w:cs="Arial" w:eastAsia="Arial" w:hAnsi="Arial"/>
          <w:sz w:val="18"/>
          <w:szCs w:val="18"/>
          <w:color w:val="auto"/>
        </w:rPr>
        <w:t>) are located at the place of its registered office (</w:t>
      </w:r>
      <w:r>
        <w:rPr>
          <w:rFonts w:ascii="Arial" w:cs="Arial" w:eastAsia="Arial" w:hAnsi="Arial"/>
          <w:sz w:val="18"/>
          <w:szCs w:val="18"/>
          <w:i w:val="1"/>
          <w:iCs w:val="1"/>
          <w:color w:val="auto"/>
        </w:rPr>
        <w:t>siège statutaire</w:t>
      </w:r>
      <w:r>
        <w:rPr>
          <w:rFonts w:ascii="Arial" w:cs="Arial" w:eastAsia="Arial" w:hAnsi="Arial"/>
          <w:sz w:val="18"/>
          <w:szCs w:val="18"/>
          <w:color w:val="auto"/>
        </w:rPr>
        <w:t>) in Luxembourg;</w:t>
      </w:r>
    </w:p>
    <w:p>
      <w:pPr>
        <w:spacing w:after="0" w:line="181" w:lineRule="exact"/>
        <w:rPr>
          <w:rFonts w:ascii="Arial" w:cs="Arial" w:eastAsia="Arial" w:hAnsi="Arial"/>
          <w:sz w:val="18"/>
          <w:szCs w:val="18"/>
          <w:color w:val="auto"/>
        </w:rPr>
      </w:pPr>
    </w:p>
    <w:p>
      <w:pPr>
        <w:jc w:val="both"/>
        <w:ind w:left="660" w:right="80" w:firstLine="645"/>
        <w:spacing w:after="0" w:line="279" w:lineRule="auto"/>
        <w:tabs>
          <w:tab w:leader="none" w:pos="2023" w:val="left"/>
        </w:tabs>
        <w:numPr>
          <w:ilvl w:val="1"/>
          <w:numId w:val="534"/>
        </w:numPr>
        <w:rPr>
          <w:rFonts w:ascii="Arial" w:cs="Arial" w:eastAsia="Arial" w:hAnsi="Arial"/>
          <w:sz w:val="17"/>
          <w:szCs w:val="17"/>
          <w:color w:val="auto"/>
        </w:rPr>
      </w:pPr>
      <w:r>
        <w:rPr>
          <w:rFonts w:ascii="Arial" w:cs="Arial" w:eastAsia="Arial" w:hAnsi="Arial"/>
          <w:sz w:val="17"/>
          <w:szCs w:val="17"/>
          <w:color w:val="auto"/>
        </w:rPr>
        <w:t>such Luxembourg Guarantor is not subject to insolvency proceedings such as bankruptcy (</w:t>
      </w:r>
      <w:r>
        <w:rPr>
          <w:rFonts w:ascii="Arial" w:cs="Arial" w:eastAsia="Arial" w:hAnsi="Arial"/>
          <w:sz w:val="17"/>
          <w:szCs w:val="17"/>
          <w:i w:val="1"/>
          <w:iCs w:val="1"/>
          <w:color w:val="auto"/>
        </w:rPr>
        <w:t>faillite</w:t>
      </w:r>
      <w:r>
        <w:rPr>
          <w:rFonts w:ascii="Arial" w:cs="Arial" w:eastAsia="Arial" w:hAnsi="Arial"/>
          <w:sz w:val="17"/>
          <w:szCs w:val="17"/>
          <w:color w:val="auto"/>
        </w:rPr>
        <w:t>), insolvency, winding-up, liquidation, moratorium, controlled management (</w:t>
      </w:r>
      <w:r>
        <w:rPr>
          <w:rFonts w:ascii="Arial" w:cs="Arial" w:eastAsia="Arial" w:hAnsi="Arial"/>
          <w:sz w:val="17"/>
          <w:szCs w:val="17"/>
          <w:i w:val="1"/>
          <w:iCs w:val="1"/>
          <w:color w:val="auto"/>
        </w:rPr>
        <w:t>gestion contrôlée</w:t>
      </w:r>
      <w:r>
        <w:rPr>
          <w:rFonts w:ascii="Arial" w:cs="Arial" w:eastAsia="Arial" w:hAnsi="Arial"/>
          <w:sz w:val="17"/>
          <w:szCs w:val="17"/>
          <w:color w:val="auto"/>
        </w:rPr>
        <w:t>), suspension of payment (</w:t>
      </w:r>
      <w:r>
        <w:rPr>
          <w:rFonts w:ascii="Arial" w:cs="Arial" w:eastAsia="Arial" w:hAnsi="Arial"/>
          <w:sz w:val="17"/>
          <w:szCs w:val="17"/>
          <w:i w:val="1"/>
          <w:iCs w:val="1"/>
          <w:color w:val="auto"/>
        </w:rPr>
        <w:t>sursis de paiement</w:t>
      </w:r>
      <w:r>
        <w:rPr>
          <w:rFonts w:ascii="Arial" w:cs="Arial" w:eastAsia="Arial" w:hAnsi="Arial"/>
          <w:sz w:val="17"/>
          <w:szCs w:val="17"/>
          <w:color w:val="auto"/>
        </w:rPr>
        <w:t>), voluntary arrangement with creditors (</w:t>
      </w:r>
      <w:r>
        <w:rPr>
          <w:rFonts w:ascii="Arial" w:cs="Arial" w:eastAsia="Arial" w:hAnsi="Arial"/>
          <w:sz w:val="17"/>
          <w:szCs w:val="17"/>
          <w:i w:val="1"/>
          <w:iCs w:val="1"/>
          <w:color w:val="auto"/>
        </w:rPr>
        <w:t>concordat préventif de la faillite</w:t>
      </w:r>
      <w:r>
        <w:rPr>
          <w:rFonts w:ascii="Arial" w:cs="Arial" w:eastAsia="Arial" w:hAnsi="Arial"/>
          <w:sz w:val="17"/>
          <w:szCs w:val="17"/>
          <w:color w:val="auto"/>
        </w:rPr>
        <w:t>), fraudulent conveyance, general settlement with creditors, reorganization or similar order or proceedings affecting the rights of creditors generally and any proceedings in jurisdictions other than Luxembourg having similar effects; and</w:t>
      </w:r>
    </w:p>
    <w:p>
      <w:pPr>
        <w:spacing w:after="0" w:line="171" w:lineRule="exact"/>
        <w:rPr>
          <w:rFonts w:ascii="Arial" w:cs="Arial" w:eastAsia="Arial" w:hAnsi="Arial"/>
          <w:sz w:val="17"/>
          <w:szCs w:val="17"/>
          <w:color w:val="auto"/>
        </w:rPr>
      </w:pPr>
    </w:p>
    <w:p>
      <w:pPr>
        <w:ind w:left="660" w:right="640" w:firstLine="645"/>
        <w:spacing w:after="0" w:line="277" w:lineRule="auto"/>
        <w:tabs>
          <w:tab w:leader="none" w:pos="2028" w:val="left"/>
        </w:tabs>
        <w:numPr>
          <w:ilvl w:val="1"/>
          <w:numId w:val="534"/>
        </w:numPr>
        <w:rPr>
          <w:rFonts w:ascii="Arial" w:cs="Arial" w:eastAsia="Arial" w:hAnsi="Arial"/>
          <w:sz w:val="18"/>
          <w:szCs w:val="18"/>
          <w:color w:val="auto"/>
        </w:rPr>
      </w:pPr>
      <w:r>
        <w:rPr>
          <w:rFonts w:ascii="Arial" w:cs="Arial" w:eastAsia="Arial" w:hAnsi="Arial"/>
          <w:sz w:val="18"/>
          <w:szCs w:val="18"/>
          <w:color w:val="auto"/>
        </w:rPr>
        <w:t>all legal requirements of the Luxembourg law of 31 May 1999 on domiciliation of the companies, as amended, have been complied with by such Luxembourg Guarantor.</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In the case of Weatherford Netherlands B.V. (the “</w:t>
      </w:r>
      <w:r>
        <w:rPr>
          <w:rFonts w:ascii="Arial" w:cs="Arial" w:eastAsia="Arial" w:hAnsi="Arial"/>
          <w:sz w:val="18"/>
          <w:szCs w:val="18"/>
          <w:u w:val="single" w:color="auto"/>
          <w:color w:val="auto"/>
        </w:rPr>
        <w:t>Specified Dutch Guarantor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40" w:firstLine="645"/>
        <w:spacing w:after="0" w:line="277" w:lineRule="auto"/>
        <w:tabs>
          <w:tab w:leader="none" w:pos="2018" w:val="left"/>
        </w:tabs>
        <w:numPr>
          <w:ilvl w:val="1"/>
          <w:numId w:val="534"/>
        </w:numPr>
        <w:rPr>
          <w:rFonts w:ascii="Arial" w:cs="Arial" w:eastAsia="Arial" w:hAnsi="Arial"/>
          <w:sz w:val="18"/>
          <w:szCs w:val="18"/>
          <w:color w:val="auto"/>
        </w:rPr>
      </w:pPr>
      <w:r>
        <w:rPr>
          <w:rFonts w:ascii="Arial" w:cs="Arial" w:eastAsia="Arial" w:hAnsi="Arial"/>
          <w:sz w:val="18"/>
          <w:szCs w:val="18"/>
          <w:color w:val="auto"/>
        </w:rPr>
        <w:t>the “centre of main interests” (as such term is used in article 3(1) of the European Insolvency Regulation) of the Specified Dutch Guarantor is situated in the Netherlands;</w:t>
      </w:r>
    </w:p>
    <w:p>
      <w:pPr>
        <w:spacing w:after="0" w:line="170" w:lineRule="exact"/>
        <w:rPr>
          <w:rFonts w:ascii="Arial" w:cs="Arial" w:eastAsia="Arial" w:hAnsi="Arial"/>
          <w:sz w:val="18"/>
          <w:szCs w:val="18"/>
          <w:color w:val="auto"/>
        </w:rPr>
      </w:pPr>
    </w:p>
    <w:p>
      <w:pPr>
        <w:ind w:left="660" w:right="160" w:firstLine="645"/>
        <w:spacing w:after="0" w:line="277" w:lineRule="auto"/>
        <w:tabs>
          <w:tab w:leader="none" w:pos="2023" w:val="left"/>
        </w:tabs>
        <w:numPr>
          <w:ilvl w:val="1"/>
          <w:numId w:val="534"/>
        </w:numPr>
        <w:rPr>
          <w:rFonts w:ascii="Arial" w:cs="Arial" w:eastAsia="Arial" w:hAnsi="Arial"/>
          <w:sz w:val="18"/>
          <w:szCs w:val="18"/>
          <w:color w:val="auto"/>
        </w:rPr>
      </w:pPr>
      <w:r>
        <w:rPr>
          <w:rFonts w:ascii="Arial" w:cs="Arial" w:eastAsia="Arial" w:hAnsi="Arial"/>
          <w:sz w:val="18"/>
          <w:szCs w:val="18"/>
          <w:color w:val="auto"/>
        </w:rPr>
        <w:t>the Specified Dutch Guarantor does not have an “establishment” (as such term is used in article 2(h) of the European Insolvency Regulation) situated outside the Netherlands; and</w:t>
      </w:r>
    </w:p>
    <w:p>
      <w:pPr>
        <w:spacing w:after="0" w:line="170"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in each case, the Specified Dutch Guarantor shall not, without the prior written consent of the Administrative Agent, take any action that shall cause its “centre of main interests” to be situated outside the Netherlands, or cause it to have an “establishment” situated outside the Netherlands.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addition to the foregoing, each of the Guarantors covenants that, until Payment in Full, it will, and, if necessary and permitted under applicable law, will cause (to the extent it can so cause) the Parent and each Borrower to, fully comply with those covenants and agreements of the Parent and the Borrowers applicable to such Guarantor set forth in the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1, the following term shall have the following meaning:</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Insolvency Regulation</w:t>
      </w:r>
      <w:r>
        <w:rPr>
          <w:rFonts w:ascii="Arial" w:cs="Arial" w:eastAsia="Arial" w:hAnsi="Arial"/>
          <w:sz w:val="18"/>
          <w:szCs w:val="18"/>
          <w:color w:val="auto"/>
        </w:rPr>
        <w:t>” shall mean The Council of the European Union Regulation No 2015/848 of 20 May 2015 on insolvency proceedings (recast).</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The Guaranty</w:t>
      </w:r>
      <w:r>
        <w:rPr>
          <w:rFonts w:ascii="Arial" w:cs="Arial" w:eastAsia="Arial" w:hAnsi="Arial"/>
          <w:sz w:val="16"/>
          <w:szCs w:val="16"/>
          <w:color w:val="auto"/>
        </w:rPr>
        <w:t>. Each of the Guarantors hereby irrevocably and unconditionally guarantees, jointly and severally with the other Guarantors, the full and punctual payment and performance when due (whether at stated maturity, upon acceleration or otherwise) of (a) the Obligations (under and as defined in the Credit Agreement), which include, without limitation, (i) the principal of and interest on each Loan made to any Borrower pursuant to the Credit Agreement and (ii) all other amounts payable by the Borrowers under the Credit Agreement and the other Loan Documents, and (b) all Swap Obligations and Banking Services Obligations owing to one or more Lenders or their respective Affiliates (for purposes of this Guaranty, all such obligations described in the foregoing clauses (a) and (b) being referred to as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provided, however, (1) that the Guaranteed Obligations shall not include or create any guarantee by any Guarantor of (or grant of security by any Guarantor to support, if applicable) any Excluded Swap Obligations of such Guarantor and (2) that notwithstanding anything to the contrary herein, the liability of WOFS Assurance Limited, a Bermuda exempted company (“</w:t>
      </w:r>
      <w:r>
        <w:rPr>
          <w:rFonts w:ascii="Arial" w:cs="Arial" w:eastAsia="Arial" w:hAnsi="Arial"/>
          <w:sz w:val="16"/>
          <w:szCs w:val="16"/>
          <w:u w:val="single" w:color="auto"/>
          <w:color w:val="auto"/>
        </w:rPr>
        <w:t>WOFS Assurance</w:t>
      </w:r>
      <w:r>
        <w:rPr>
          <w:rFonts w:ascii="Arial" w:cs="Arial" w:eastAsia="Arial" w:hAnsi="Arial"/>
          <w:sz w:val="16"/>
          <w:szCs w:val="16"/>
          <w:color w:val="auto"/>
        </w:rPr>
        <w:t>”), with respect to the Guaranteed Obligations shall be limited or extinguished, as applicable, to the extent necessary to ensure that WOFS Assurance, at all times, meets its minimum solvency margin and liquidity ratio pursuant to the Insurance Act 1978 of Bermuda and the regulations thereunder (the “</w:t>
      </w:r>
      <w:r>
        <w:rPr>
          <w:rFonts w:ascii="Arial" w:cs="Arial" w:eastAsia="Arial" w:hAnsi="Arial"/>
          <w:sz w:val="16"/>
          <w:szCs w:val="16"/>
          <w:u w:val="single" w:color="auto"/>
          <w:color w:val="auto"/>
        </w:rPr>
        <w:t>Insurance Act</w:t>
      </w:r>
      <w:r>
        <w:rPr>
          <w:rFonts w:ascii="Arial" w:cs="Arial" w:eastAsia="Arial" w:hAnsi="Arial"/>
          <w:sz w:val="16"/>
          <w:szCs w:val="16"/>
          <w:color w:val="auto"/>
        </w:rPr>
        <w:t>”) and sections 31A through 31C of the Insurance Act. Upon the failure by any Borrower to pay punctually any</w:t>
      </w:r>
    </w:p>
    <w:p>
      <w:pPr>
        <w:sectPr>
          <w:pgSz w:w="11900" w:h="16926" w:orient="portrait"/>
          <w:cols w:equalWidth="0" w:num="1">
            <w:col w:w="11420"/>
          </w:cols>
          <w:pgMar w:left="240" w:top="125" w:right="239" w:bottom="0" w:gutter="0" w:footer="0" w:header="0"/>
        </w:sectPr>
      </w:pPr>
    </w:p>
    <w:bookmarkStart w:id="227" w:name="page228"/>
    <w:bookmarkEnd w:id="227"/>
    <w:p>
      <w:pPr>
        <w:spacing w:after="0" w:line="13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such amount or perform such obligation, subject to any applicable grace or notice and cure period, each of the Guarantors agrees that it shall forthwith on demand pay such amount or perform such obligation at the place and in the manner specified in the Credit Agreement or the relevant other Loan Document, Swap Agreement evidencing Swap Obligations or any agreement evidencing Banking Services Obligations (a “</w:t>
      </w:r>
      <w:r>
        <w:rPr>
          <w:rFonts w:ascii="Arial" w:cs="Arial" w:eastAsia="Arial" w:hAnsi="Arial"/>
          <w:sz w:val="18"/>
          <w:szCs w:val="18"/>
          <w:u w:val="single" w:color="auto"/>
          <w:color w:val="auto"/>
        </w:rPr>
        <w:t>Banking Services Agreement</w:t>
      </w:r>
      <w:r>
        <w:rPr>
          <w:rFonts w:ascii="Arial" w:cs="Arial" w:eastAsia="Arial" w:hAnsi="Arial"/>
          <w:sz w:val="18"/>
          <w:szCs w:val="18"/>
          <w:color w:val="auto"/>
        </w:rPr>
        <w:t>”) as the case may be. Each of the Guarantors hereby agrees that this Guaranty is an absolute, irrevocable and unconditional guaranty of payment and is not a guaranty of collection.</w:t>
      </w:r>
    </w:p>
    <w:p>
      <w:pPr>
        <w:spacing w:after="0" w:line="18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Guaranty Unconditional</w:t>
      </w:r>
      <w:r>
        <w:rPr>
          <w:rFonts w:ascii="Arial" w:cs="Arial" w:eastAsia="Arial" w:hAnsi="Arial"/>
          <w:sz w:val="18"/>
          <w:szCs w:val="18"/>
          <w:color w:val="auto"/>
        </w:rPr>
        <w:t xml:space="preserve">. The obligations of each of the Guarantors hereunder shall be unconditional and absolute and, without limiting the generality of the foregoing, shall not be released, discharged (save where such release and discharge is expressly contemplated by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 or otherwise affected by:</w:t>
      </w:r>
    </w:p>
    <w:p>
      <w:pPr>
        <w:spacing w:after="0" w:line="181" w:lineRule="exact"/>
        <w:rPr>
          <w:sz w:val="20"/>
          <w:szCs w:val="20"/>
          <w:color w:val="auto"/>
        </w:rPr>
      </w:pPr>
    </w:p>
    <w:p>
      <w:pPr>
        <w:ind w:left="660" w:right="20" w:firstLine="645"/>
        <w:spacing w:after="0" w:line="257" w:lineRule="auto"/>
        <w:tabs>
          <w:tab w:leader="none" w:pos="2018" w:val="left"/>
        </w:tabs>
        <w:numPr>
          <w:ilvl w:val="0"/>
          <w:numId w:val="535"/>
        </w:numPr>
        <w:rPr>
          <w:rFonts w:ascii="Arial" w:cs="Arial" w:eastAsia="Arial" w:hAnsi="Arial"/>
          <w:sz w:val="18"/>
          <w:szCs w:val="18"/>
          <w:color w:val="auto"/>
        </w:rPr>
      </w:pPr>
      <w:r>
        <w:rPr>
          <w:rFonts w:ascii="Arial" w:cs="Arial" w:eastAsia="Arial" w:hAnsi="Arial"/>
          <w:sz w:val="18"/>
          <w:szCs w:val="18"/>
          <w:color w:val="auto"/>
        </w:rPr>
        <w:t>any extension, renewal, settlement, indulgence, compromise, waiver or release of or with respect to the Guaranteed Obligations or any part thereof or any agreement relating thereto, or with respect to any obligation of any other Guarantor or any other guarantor of any of the Guaranteed Obligations, whether (in any such case) by operation of law or otherwise, or any failure or omission to enforce any right, power or remedy with respect to the Guaranteed Obligations or any part thereof or any agreement relating thereto, or with respect to any obligation of any other Guarantor or any other guarantor of any of the Guaranteed Obligations;</w:t>
      </w:r>
    </w:p>
    <w:p>
      <w:pPr>
        <w:spacing w:after="0" w:line="188" w:lineRule="exact"/>
        <w:rPr>
          <w:rFonts w:ascii="Arial" w:cs="Arial" w:eastAsia="Arial" w:hAnsi="Arial"/>
          <w:sz w:val="18"/>
          <w:szCs w:val="18"/>
          <w:color w:val="auto"/>
        </w:rPr>
      </w:pPr>
    </w:p>
    <w:p>
      <w:pPr>
        <w:ind w:left="660" w:firstLine="645"/>
        <w:spacing w:after="0" w:line="264" w:lineRule="auto"/>
        <w:tabs>
          <w:tab w:leader="none" w:pos="2023" w:val="left"/>
        </w:tabs>
        <w:numPr>
          <w:ilvl w:val="0"/>
          <w:numId w:val="535"/>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the Credit Agreement, any Swap Agreement evidencing Swap Obligations, Banking Services Agreement or any other Loan Document, including, without limitation, any such amendment which may increase the amount of, or the interest rates applicable to, any of the Guaranteed Obligations guaranteed hereby;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firstLine="645"/>
        <w:spacing w:after="0" w:line="264" w:lineRule="auto"/>
        <w:tabs>
          <w:tab w:leader="none" w:pos="2028" w:val="left"/>
        </w:tabs>
        <w:numPr>
          <w:ilvl w:val="0"/>
          <w:numId w:val="536"/>
        </w:numPr>
        <w:rPr>
          <w:rFonts w:ascii="Arial" w:cs="Arial" w:eastAsia="Arial" w:hAnsi="Arial"/>
          <w:sz w:val="18"/>
          <w:szCs w:val="18"/>
          <w:color w:val="auto"/>
        </w:rPr>
      </w:pPr>
      <w:r>
        <w:rPr>
          <w:rFonts w:ascii="Arial" w:cs="Arial" w:eastAsia="Arial" w:hAnsi="Arial"/>
          <w:sz w:val="18"/>
          <w:szCs w:val="18"/>
          <w:color w:val="auto"/>
        </w:rPr>
        <w:t>any release, surrender, compromise, settlement, waiver, subordination or modification, with or without consideration, of any other guaranties with respect to the Guaranteed Obligations or any part thereof, or any other obligation of any Person or entity with respect to the Guaranteed Obligations or any part thereof;</w:t>
      </w:r>
    </w:p>
    <w:p>
      <w:pPr>
        <w:spacing w:after="0" w:line="181" w:lineRule="exact"/>
        <w:rPr>
          <w:rFonts w:ascii="Arial" w:cs="Arial" w:eastAsia="Arial" w:hAnsi="Arial"/>
          <w:sz w:val="18"/>
          <w:szCs w:val="18"/>
          <w:color w:val="auto"/>
        </w:rPr>
      </w:pPr>
    </w:p>
    <w:p>
      <w:pPr>
        <w:ind w:left="660" w:right="140" w:firstLine="645"/>
        <w:spacing w:after="0" w:line="257" w:lineRule="auto"/>
        <w:tabs>
          <w:tab w:leader="none" w:pos="2018" w:val="left"/>
        </w:tabs>
        <w:numPr>
          <w:ilvl w:val="0"/>
          <w:numId w:val="536"/>
        </w:numPr>
        <w:rPr>
          <w:rFonts w:ascii="Arial" w:cs="Arial" w:eastAsia="Arial" w:hAnsi="Arial"/>
          <w:sz w:val="18"/>
          <w:szCs w:val="18"/>
          <w:color w:val="auto"/>
        </w:rPr>
      </w:pPr>
      <w:r>
        <w:rPr>
          <w:rFonts w:ascii="Arial" w:cs="Arial" w:eastAsia="Arial" w:hAnsi="Arial"/>
          <w:sz w:val="18"/>
          <w:szCs w:val="18"/>
          <w:color w:val="auto"/>
        </w:rPr>
        <w:t>any change in the corporate, partnership, limited liability company or other existence, structure or ownership of any Borrower or any other Guarantor or any other guarantor of any of the Guaranteed Obligations, or any insolvency, bankruptcy, receivership, examinership, administration, liquidation, reorganization or other similar proceeding in any jurisdiction affecting any Borrower or any other guarantor of the Guaranteed Obligations, or any of their respective assets or any resulting release or discharge of any obligation of any Borrower or any other guarantor of any of the Guaranteed Obligations;</w:t>
      </w:r>
    </w:p>
    <w:p>
      <w:pPr>
        <w:spacing w:after="0" w:line="188" w:lineRule="exact"/>
        <w:rPr>
          <w:rFonts w:ascii="Arial" w:cs="Arial" w:eastAsia="Arial" w:hAnsi="Arial"/>
          <w:sz w:val="18"/>
          <w:szCs w:val="18"/>
          <w:color w:val="auto"/>
        </w:rPr>
      </w:pPr>
    </w:p>
    <w:p>
      <w:pPr>
        <w:ind w:left="660" w:right="60" w:firstLine="645"/>
        <w:spacing w:after="0" w:line="259" w:lineRule="auto"/>
        <w:tabs>
          <w:tab w:leader="none" w:pos="2013" w:val="left"/>
        </w:tabs>
        <w:numPr>
          <w:ilvl w:val="0"/>
          <w:numId w:val="536"/>
        </w:numPr>
        <w:rPr>
          <w:rFonts w:ascii="Arial" w:cs="Arial" w:eastAsia="Arial" w:hAnsi="Arial"/>
          <w:sz w:val="18"/>
          <w:szCs w:val="18"/>
          <w:color w:val="auto"/>
        </w:rPr>
      </w:pPr>
      <w:r>
        <w:rPr>
          <w:rFonts w:ascii="Arial" w:cs="Arial" w:eastAsia="Arial" w:hAnsi="Arial"/>
          <w:sz w:val="18"/>
          <w:szCs w:val="18"/>
          <w:color w:val="auto"/>
        </w:rPr>
        <w:t xml:space="preserve">the existence of any claim, setoff or other rights which such Guarantor may have at any time against any Borrower, any other Guarantor or any other guarantor of any of the Guaranteed Obligations, the Administrative Agent, any other Guaranteed Party or any other Person, whether in connection herewith or in connection with any unrelated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prevent the assertion of any such claim by separate suit or compulsory counterclaim;</w:t>
      </w:r>
    </w:p>
    <w:p>
      <w:pPr>
        <w:spacing w:after="0" w:line="186" w:lineRule="exact"/>
        <w:rPr>
          <w:rFonts w:ascii="Arial" w:cs="Arial" w:eastAsia="Arial" w:hAnsi="Arial"/>
          <w:sz w:val="18"/>
          <w:szCs w:val="18"/>
          <w:color w:val="auto"/>
        </w:rPr>
      </w:pPr>
    </w:p>
    <w:p>
      <w:pPr>
        <w:ind w:left="660" w:right="60" w:firstLine="645"/>
        <w:spacing w:after="0" w:line="273" w:lineRule="auto"/>
        <w:tabs>
          <w:tab w:leader="none" w:pos="2018" w:val="left"/>
        </w:tabs>
        <w:numPr>
          <w:ilvl w:val="0"/>
          <w:numId w:val="536"/>
        </w:numPr>
        <w:rPr>
          <w:rFonts w:ascii="Arial" w:cs="Arial" w:eastAsia="Arial" w:hAnsi="Arial"/>
          <w:sz w:val="17"/>
          <w:szCs w:val="17"/>
          <w:color w:val="auto"/>
        </w:rPr>
      </w:pPr>
      <w:r>
        <w:rPr>
          <w:rFonts w:ascii="Arial" w:cs="Arial" w:eastAsia="Arial" w:hAnsi="Arial"/>
          <w:sz w:val="17"/>
          <w:szCs w:val="17"/>
          <w:color w:val="auto"/>
        </w:rPr>
        <w:t>the enforceability or validity of the Guaranteed Obligations or any part thereof or the genuineness, enforceability or validity of any agreement relating thereto, or any other invalidity or unenforceability relating to or against any Borrower, any other Guarantor or any other guarantor of any of the Guaranteed Obligations, for any reason related to the Credit Agreement, any Swap Agreement evidencing Swap Obligations, any Banking Services Agreement or any other Loan Document, or any provision of applicable law, decree, order or regulation purporting to prohibit the payment by any Borrower, any other Guarantor or any other guarantor of the Guaranteed Obligations, of any of the Guaranteed Obligations or otherwise affecting any term of any of the Guaranteed Obligations;</w:t>
      </w:r>
    </w:p>
    <w:p>
      <w:pPr>
        <w:spacing w:after="0" w:line="178" w:lineRule="exact"/>
        <w:rPr>
          <w:rFonts w:ascii="Arial" w:cs="Arial" w:eastAsia="Arial" w:hAnsi="Arial"/>
          <w:sz w:val="17"/>
          <w:szCs w:val="17"/>
          <w:color w:val="auto"/>
        </w:rPr>
      </w:pPr>
    </w:p>
    <w:p>
      <w:pPr>
        <w:ind w:left="660" w:right="500" w:firstLine="645"/>
        <w:spacing w:after="0" w:line="264" w:lineRule="auto"/>
        <w:tabs>
          <w:tab w:leader="none" w:pos="2023"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enforceability or validity of this Guaranty or any part thereof with respect to any other Guarantor, or any provision of applicable law, decree, order or regulation purporting to prohibit the payment by any other Guarantor or any other guarantor of the Guaranteed Obligations, or any of the Guaranteed Obligations;</w:t>
      </w:r>
    </w:p>
    <w:p>
      <w:pPr>
        <w:spacing w:after="0" w:line="181" w:lineRule="exact"/>
        <w:rPr>
          <w:rFonts w:ascii="Arial" w:cs="Arial" w:eastAsia="Arial" w:hAnsi="Arial"/>
          <w:sz w:val="18"/>
          <w:szCs w:val="18"/>
          <w:color w:val="auto"/>
        </w:rPr>
      </w:pPr>
    </w:p>
    <w:p>
      <w:pPr>
        <w:ind w:left="660" w:right="100" w:firstLine="645"/>
        <w:spacing w:after="0" w:line="286" w:lineRule="auto"/>
        <w:tabs>
          <w:tab w:leader="none" w:pos="2028" w:val="left"/>
        </w:tabs>
        <w:numPr>
          <w:ilvl w:val="0"/>
          <w:numId w:val="536"/>
        </w:numPr>
        <w:rPr>
          <w:rFonts w:ascii="Arial" w:cs="Arial" w:eastAsia="Arial" w:hAnsi="Arial"/>
          <w:sz w:val="17"/>
          <w:szCs w:val="17"/>
          <w:color w:val="auto"/>
        </w:rPr>
      </w:pPr>
      <w:r>
        <w:rPr>
          <w:rFonts w:ascii="Arial" w:cs="Arial" w:eastAsia="Arial" w:hAnsi="Arial"/>
          <w:sz w:val="17"/>
          <w:szCs w:val="17"/>
          <w:color w:val="auto"/>
        </w:rPr>
        <w:t>the election by, or on behalf of, any one or more of the Guaranteed Parties, in any proceeding instituted under Chapter 11 of Title 11 of the United States Code (11 U.S.C. 101 et seq.) (or any successor statute, the “</w:t>
      </w:r>
      <w:r>
        <w:rPr>
          <w:rFonts w:ascii="Arial" w:cs="Arial" w:eastAsia="Arial" w:hAnsi="Arial"/>
          <w:sz w:val="17"/>
          <w:szCs w:val="17"/>
          <w:u w:val="single" w:color="auto"/>
          <w:color w:val="auto"/>
        </w:rPr>
        <w:t>Bankruptcy Code</w:t>
      </w:r>
      <w:r>
        <w:rPr>
          <w:rFonts w:ascii="Arial" w:cs="Arial" w:eastAsia="Arial" w:hAnsi="Arial"/>
          <w:sz w:val="17"/>
          <w:szCs w:val="17"/>
          <w:color w:val="auto"/>
        </w:rPr>
        <w:t>”), of the application of Section 1111(b)(2) of the Bankruptcy Code or any other applicable federal, state, provincial, municipal, local or foreign law relating to such matters;</w:t>
      </w:r>
    </w:p>
    <w:p>
      <w:pPr>
        <w:spacing w:after="0" w:line="165" w:lineRule="exact"/>
        <w:rPr>
          <w:rFonts w:ascii="Arial" w:cs="Arial" w:eastAsia="Arial" w:hAnsi="Arial"/>
          <w:sz w:val="17"/>
          <w:szCs w:val="17"/>
          <w:color w:val="auto"/>
        </w:rPr>
      </w:pPr>
    </w:p>
    <w:p>
      <w:pPr>
        <w:ind w:left="660" w:right="40" w:firstLine="645"/>
        <w:spacing w:after="0" w:line="277" w:lineRule="auto"/>
        <w:tabs>
          <w:tab w:leader="none" w:pos="2018" w:val="left"/>
        </w:tabs>
        <w:numPr>
          <w:ilvl w:val="0"/>
          <w:numId w:val="536"/>
        </w:numPr>
        <w:rPr>
          <w:rFonts w:ascii="Arial" w:cs="Arial" w:eastAsia="Arial" w:hAnsi="Arial"/>
          <w:sz w:val="18"/>
          <w:szCs w:val="18"/>
          <w:color w:val="auto"/>
        </w:rPr>
      </w:pPr>
      <w:r>
        <w:rPr>
          <w:rFonts w:ascii="Arial" w:cs="Arial" w:eastAsia="Arial" w:hAnsi="Arial"/>
          <w:sz w:val="18"/>
          <w:szCs w:val="18"/>
          <w:color w:val="auto"/>
        </w:rPr>
        <w:t>any borrowing or grant of a security interest by any Borrower, as debtor-in-possession, under Section 364 of the Bankruptcy Code or any other applicable federal, state, provincial, municipal, local or foreign law relating to such matters;</w:t>
      </w:r>
    </w:p>
    <w:p>
      <w:pPr>
        <w:spacing w:after="0" w:line="170" w:lineRule="exact"/>
        <w:rPr>
          <w:rFonts w:ascii="Arial" w:cs="Arial" w:eastAsia="Arial" w:hAnsi="Arial"/>
          <w:sz w:val="18"/>
          <w:szCs w:val="18"/>
          <w:color w:val="auto"/>
        </w:rPr>
      </w:pPr>
    </w:p>
    <w:p>
      <w:pPr>
        <w:ind w:left="660" w:right="100" w:firstLine="645"/>
        <w:spacing w:after="0" w:line="264" w:lineRule="auto"/>
        <w:tabs>
          <w:tab w:leader="none" w:pos="2013"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disallowance, under Section 502 of the Bankruptcy Code or any other applicable federal, state, provincial, municipal, local or foreign law relating to such matters, of all or any portion of the claims of the Administrative Agent or any of the other Guaranteed Parties for repayment of all or any part of the Guaranteed Obligations;</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failure of any other Guarantor to sign or become party to this Guaranty or 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amendment, change, or reaffirmation hereof; or</w:t>
      </w:r>
    </w:p>
    <w:p>
      <w:pPr>
        <w:spacing w:after="0" w:line="225" w:lineRule="exact"/>
        <w:rPr>
          <w:sz w:val="20"/>
          <w:szCs w:val="20"/>
          <w:color w:val="auto"/>
        </w:rPr>
      </w:pPr>
    </w:p>
    <w:p>
      <w:pPr>
        <w:ind w:left="660" w:right="360" w:firstLine="645"/>
        <w:spacing w:after="0" w:line="259" w:lineRule="auto"/>
        <w:tabs>
          <w:tab w:leader="none" w:pos="2023" w:val="left"/>
        </w:tabs>
        <w:numPr>
          <w:ilvl w:val="0"/>
          <w:numId w:val="537"/>
        </w:numPr>
        <w:rPr>
          <w:rFonts w:ascii="Arial" w:cs="Arial" w:eastAsia="Arial" w:hAnsi="Arial"/>
          <w:sz w:val="18"/>
          <w:szCs w:val="18"/>
          <w:color w:val="auto"/>
        </w:rPr>
      </w:pPr>
      <w:r>
        <w:rPr>
          <w:rFonts w:ascii="Arial" w:cs="Arial" w:eastAsia="Arial" w:hAnsi="Arial"/>
          <w:sz w:val="18"/>
          <w:szCs w:val="18"/>
          <w:color w:val="auto"/>
        </w:rPr>
        <w:t xml:space="preserve">any other act or omission to act or delay of any kind by the Borrower, any other Guarantor or any other guarantor of the Guaranteed Obligations, the Administrative Agent, any other Guaranteed Party or any other Person or any other circumstance whatsoever which might, but for the provisions of this </w:t>
      </w:r>
      <w:r>
        <w:rPr>
          <w:rFonts w:ascii="Arial" w:cs="Arial" w:eastAsia="Arial" w:hAnsi="Arial"/>
          <w:sz w:val="18"/>
          <w:szCs w:val="18"/>
          <w:u w:val="single" w:color="auto"/>
          <w:color w:val="auto"/>
        </w:rPr>
        <w:t>Section 3</w:t>
      </w:r>
      <w:r>
        <w:rPr>
          <w:rFonts w:ascii="Arial" w:cs="Arial" w:eastAsia="Arial" w:hAnsi="Arial"/>
          <w:sz w:val="18"/>
          <w:szCs w:val="18"/>
          <w:color w:val="auto"/>
        </w:rPr>
        <w:t>, constitute a legal or equitable discharge or limitation of any Guarantor’s obligations hereunder or otherwise reduce, release, prejudice or extinguish its liability under this Guaranty.</w:t>
      </w:r>
    </w:p>
    <w:p>
      <w:pPr>
        <w:spacing w:after="0" w:line="18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Continuing Guarantee; Discharge Only Upon Payment In Full; Reinstatement In Certain Circumstances</w:t>
      </w:r>
      <w:r>
        <w:rPr>
          <w:rFonts w:ascii="Arial" w:cs="Arial" w:eastAsia="Arial" w:hAnsi="Arial"/>
          <w:sz w:val="16"/>
          <w:szCs w:val="16"/>
          <w:color w:val="auto"/>
        </w:rPr>
        <w:t>. Each of the Guarantors’ obligations hereunder shall constitute a continuing and irrevocable guarantee of all Guaranteed Obligations now or hereafter existing and shall remain in full</w:t>
      </w:r>
    </w:p>
    <w:p>
      <w:pPr>
        <w:sectPr>
          <w:pgSz w:w="11900" w:h="16975" w:orient="portrait"/>
          <w:cols w:equalWidth="0" w:num="1">
            <w:col w:w="11420"/>
          </w:cols>
          <w:pgMar w:left="240" w:top="125" w:right="239" w:bottom="0" w:gutter="0" w:footer="0" w:header="0"/>
        </w:sectPr>
      </w:pPr>
    </w:p>
    <w:bookmarkStart w:id="228" w:name="page229"/>
    <w:bookmarkEnd w:id="228"/>
    <w:p>
      <w:pPr>
        <w:spacing w:after="0" w:line="13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force and effect until Payment in Full, at which time, subject to all the foregoing conditions, the guarantees made hereunder shall automatically terminate. Without limiting the foregoing and notwithstanding anything herein or in any other Loan Document to the contrary, the obligations of any individual Guarantor under this Guaranty shall automatically terminate to the extent provided in and in accordance with Sections 11.01(e) and 11.22 of the Credit Agreement. In connection with the foregoing, the Administrative Agent shall execute and deliver to such Guarantor or such Guarantor’s designee, at such Guarantor’s expense, any documents or instruments that such Guarantor shall reasonably request from time to time to evidence such termination. If at any time any payment of the principal of or interest on any Loan, other Guaranteed Obligation or any other amount payable by any Borrower or by the Parent or any Restricted Subsidiary under the Credit Agreement, any Swap Agreement evidencing Swap Obligations, any Banking Services Agreement or any other Loan Document (including a payment effected through exercise of a right of setoff) is rescinded, or is or must be otherwise restored or returned upon the insolvency, bankruptcy, receivership, examinership, administration, liquidation or reorganization of any Borrower or otherwise (including pursuant to any settlement entered into by a Guaranteed Party in its discretion), each of the Guarantors’ obligations hereunder with respect to such payment shall be reinstated as though such payment had been due but not made at such time. The parties hereto acknowledge and agree that each of the Guaranteed Obligations shall be due and payable in the same currency as such Guaranteed Obligation is denominated, but if currency control or exchange regulations are imposed in the country that issues such currency with the result that such currency (the “</w:t>
      </w:r>
      <w:r>
        <w:rPr>
          <w:rFonts w:ascii="Arial" w:cs="Arial" w:eastAsia="Arial" w:hAnsi="Arial"/>
          <w:sz w:val="16"/>
          <w:szCs w:val="16"/>
          <w:u w:val="single" w:color="auto"/>
          <w:color w:val="auto"/>
        </w:rPr>
        <w:t>Original Currency</w:t>
      </w:r>
      <w:r>
        <w:rPr>
          <w:rFonts w:ascii="Arial" w:cs="Arial" w:eastAsia="Arial" w:hAnsi="Arial"/>
          <w:sz w:val="16"/>
          <w:szCs w:val="16"/>
          <w:color w:val="auto"/>
        </w:rPr>
        <w:t>”) no longer exists or the relevant Guarantor is not able to make payment in such Original Currency, then all payments to be made by such Guarantor hereunder in such currency shall instead be made when due in Dollars in an amount equal to the Dollar Equivalent (as of the date of payment) of such payment due, it being the intention of the parties hereto that each Guarantor takes all risks of the imposition of any such currency control or exchange regulations.</w:t>
      </w:r>
    </w:p>
    <w:p>
      <w:pPr>
        <w:spacing w:after="0" w:line="17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General Waivers; Additional Waivers</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59" w:lineRule="auto"/>
        <w:tabs>
          <w:tab w:leader="none" w:pos="1343" w:val="left"/>
        </w:tabs>
        <w:numPr>
          <w:ilvl w:val="0"/>
          <w:numId w:val="538"/>
        </w:numPr>
        <w:rPr>
          <w:rFonts w:ascii="Arial" w:cs="Arial" w:eastAsia="Arial" w:hAnsi="Arial"/>
          <w:sz w:val="18"/>
          <w:szCs w:val="18"/>
          <w:color w:val="auto"/>
        </w:rPr>
      </w:pPr>
      <w:r>
        <w:rPr>
          <w:rFonts w:ascii="Arial" w:cs="Arial" w:eastAsia="Arial" w:hAnsi="Arial"/>
          <w:sz w:val="18"/>
          <w:szCs w:val="18"/>
          <w:u w:val="single" w:color="auto"/>
          <w:color w:val="auto"/>
        </w:rPr>
        <w:t>General Waivers</w:t>
      </w:r>
      <w:r>
        <w:rPr>
          <w:rFonts w:ascii="Arial" w:cs="Arial" w:eastAsia="Arial" w:hAnsi="Arial"/>
          <w:sz w:val="18"/>
          <w:szCs w:val="18"/>
          <w:color w:val="auto"/>
        </w:rPr>
        <w:t>. Each of the Guarantors irrevocably waives acceptance hereof, presentment, demand or action on delinquency, protest, the benefit of any statutes of limitations and, to the fullest extent permitted by law, any notice not provided for herein or under the other Loan Documents, as well as any requirement that at any time any action be taken by any Person against any Borrower, any other guarantor of the Guaranteed Obligations, or any other Person.</w:t>
      </w:r>
    </w:p>
    <w:p>
      <w:pPr>
        <w:spacing w:after="0" w:line="186" w:lineRule="exact"/>
        <w:rPr>
          <w:rFonts w:ascii="Arial" w:cs="Arial" w:eastAsia="Arial" w:hAnsi="Arial"/>
          <w:sz w:val="18"/>
          <w:szCs w:val="18"/>
          <w:color w:val="auto"/>
        </w:rPr>
      </w:pPr>
    </w:p>
    <w:p>
      <w:pPr>
        <w:ind w:right="760" w:firstLine="656"/>
        <w:spacing w:after="0" w:line="277" w:lineRule="auto"/>
        <w:tabs>
          <w:tab w:leader="none" w:pos="1353" w:val="left"/>
        </w:tabs>
        <w:numPr>
          <w:ilvl w:val="0"/>
          <w:numId w:val="538"/>
        </w:numPr>
        <w:rPr>
          <w:rFonts w:ascii="Arial" w:cs="Arial" w:eastAsia="Arial" w:hAnsi="Arial"/>
          <w:sz w:val="18"/>
          <w:szCs w:val="18"/>
          <w:color w:val="auto"/>
        </w:rPr>
      </w:pPr>
      <w:r>
        <w:rPr>
          <w:rFonts w:ascii="Arial" w:cs="Arial" w:eastAsia="Arial" w:hAnsi="Arial"/>
          <w:sz w:val="18"/>
          <w:szCs w:val="18"/>
          <w:u w:val="single" w:color="auto"/>
          <w:color w:val="auto"/>
        </w:rPr>
        <w:t>Additional Waivers</w:t>
      </w:r>
      <w:r>
        <w:rPr>
          <w:rFonts w:ascii="Arial" w:cs="Arial" w:eastAsia="Arial" w:hAnsi="Arial"/>
          <w:sz w:val="18"/>
          <w:szCs w:val="18"/>
          <w:color w:val="auto"/>
        </w:rPr>
        <w:t>. Notwithstanding anything herein to the contrary, each of the Guarantors hereby absolutely, unconditionally, knowingly, and expressly waives, to the fullest extent permitted by law:</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any right it may have to revoke this Guaranty as to future indebtedness or notice of acceptance hereof;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91" w:lineRule="auto"/>
        <w:tabs>
          <w:tab w:leader="none" w:pos="2023" w:val="left"/>
        </w:tabs>
        <w:numPr>
          <w:ilvl w:val="0"/>
          <w:numId w:val="539"/>
        </w:numPr>
        <w:rPr>
          <w:rFonts w:ascii="Arial" w:cs="Arial" w:eastAsia="Arial" w:hAnsi="Arial"/>
          <w:sz w:val="16"/>
          <w:szCs w:val="16"/>
          <w:color w:val="auto"/>
        </w:rPr>
      </w:pPr>
      <w:r>
        <w:rPr>
          <w:rFonts w:ascii="Arial" w:cs="Arial" w:eastAsia="Arial" w:hAnsi="Arial"/>
          <w:sz w:val="16"/>
          <w:szCs w:val="16"/>
          <w:color w:val="auto"/>
        </w:rPr>
        <w:t>(1) notice of acceptance hereof; (2) notice of any Loans or other financial accommodations made or extended under the Loan Documents or the creation or existence of any Guaranteed Obligations; (3) notice of the amount of the Guaranteed Obligations, subject, however, to each Guarantor’s right to make inquiry of the Administrative Agent and the other Guaranteed Parties to ascertain the amount of the Guaranteed Obligations at any reasonable time; (4) notice of any adverse change in the financial condition of any Borrower or of any other fact that might increase such Guarantor’s risk hereunder; (5) notice of presentment for payment, demand, protest, and notice thereof as to any instruments among the Loan Documents; (6) notice of any Default or Event of Default; and (7) all other notices (except if such notice is specifically required to be given to such Guarantor hereunder or under the Loan Documents) and demands to which each Guarantor might otherwise be entitled;</w:t>
      </w:r>
    </w:p>
    <w:p>
      <w:pPr>
        <w:spacing w:after="0" w:line="167" w:lineRule="exact"/>
        <w:rPr>
          <w:rFonts w:ascii="Arial" w:cs="Arial" w:eastAsia="Arial" w:hAnsi="Arial"/>
          <w:sz w:val="16"/>
          <w:szCs w:val="16"/>
          <w:color w:val="auto"/>
        </w:rPr>
      </w:pPr>
    </w:p>
    <w:p>
      <w:pPr>
        <w:ind w:left="660" w:right="20" w:firstLine="645"/>
        <w:spacing w:after="0" w:line="276" w:lineRule="auto"/>
        <w:tabs>
          <w:tab w:leader="none" w:pos="2028" w:val="left"/>
        </w:tabs>
        <w:numPr>
          <w:ilvl w:val="0"/>
          <w:numId w:val="539"/>
        </w:numPr>
        <w:rPr>
          <w:rFonts w:ascii="Arial" w:cs="Arial" w:eastAsia="Arial" w:hAnsi="Arial"/>
          <w:sz w:val="17"/>
          <w:szCs w:val="17"/>
          <w:color w:val="auto"/>
        </w:rPr>
      </w:pPr>
      <w:r>
        <w:rPr>
          <w:rFonts w:ascii="Arial" w:cs="Arial" w:eastAsia="Arial" w:hAnsi="Arial"/>
          <w:sz w:val="17"/>
          <w:szCs w:val="17"/>
          <w:color w:val="auto"/>
        </w:rPr>
        <w:t>its right, if any, to require the Administrative Agent and the other Guaranteed Parties to institute suit against, or to exhaust any rights and remedies which the Administrative Agent and the other Guaranteed Parties have or may have against, the other Guarantors or any third party, or against any collateral provided by any Person pursuant to any other Loan Document; and each Guarantor further waives any defense arising by reason of any disability or other defense (other than the defense that Payment in Full has occurred) of the other Guarantors or by reason of the cessation from any cause whatsoever of the liability of the other Guarantors in respect thereof;</w:t>
      </w:r>
    </w:p>
    <w:p>
      <w:pPr>
        <w:spacing w:after="0" w:line="172" w:lineRule="exact"/>
        <w:rPr>
          <w:rFonts w:ascii="Arial" w:cs="Arial" w:eastAsia="Arial" w:hAnsi="Arial"/>
          <w:sz w:val="17"/>
          <w:szCs w:val="17"/>
          <w:color w:val="auto"/>
        </w:rPr>
      </w:pPr>
    </w:p>
    <w:p>
      <w:pPr>
        <w:ind w:left="660" w:right="20" w:firstLine="645"/>
        <w:spacing w:after="0" w:line="287" w:lineRule="auto"/>
        <w:tabs>
          <w:tab w:leader="none" w:pos="2018" w:val="left"/>
        </w:tabs>
        <w:numPr>
          <w:ilvl w:val="0"/>
          <w:numId w:val="539"/>
        </w:numPr>
        <w:rPr>
          <w:rFonts w:ascii="Arial" w:cs="Arial" w:eastAsia="Arial" w:hAnsi="Arial"/>
          <w:sz w:val="16"/>
          <w:szCs w:val="16"/>
          <w:color w:val="auto"/>
        </w:rPr>
      </w:pPr>
      <w:r>
        <w:rPr>
          <w:rFonts w:ascii="Arial" w:cs="Arial" w:eastAsia="Arial" w:hAnsi="Arial"/>
          <w:sz w:val="16"/>
          <w:szCs w:val="16"/>
          <w:color w:val="auto"/>
        </w:rPr>
        <w:t>(a) any rights to assert against the Administrative Agent and the other Guaranteed Parties any defense (legal or equitable), set-off, counterclaim, or claim which such Guarantor may now or at any time hereafter have against the other Guarantors or any other party liable to the Administrative Agent and the other Guaranteed Parties; (b) any defense, set-off, counterclaim, or claim, of any kind or nature, arising directly or indirectly from the present or future lack of sufficiency, validity, or enforceability of the Guaranteed Obligations; (c) any defense such Guarantor has to performance hereunder, and any right such Guarantor has to be exonerated, arising by reason of: (1) the impairment or suspension of the Administrative Agent’s and the other Guaranteed Parties’ rights or remedies against the other guarantor of the Guaranteed Obligations; (2) the alteration by the Administrative Agent and the other Guaranteed Parties of the Guaranteed Obligations; (3) any discharge of the other Guarantors’ obligations to the Administrative Agent and the other Guaranteed Parties by operation of law as a result of the Administrative Agent’s and the other Guaranteed Parties’ intervention or omission; or (4) the acceptance by the Administrative Agent and the other Guaranteed Parties of anything in partial satisfaction of the Guaranteed Obligations; and (d) the benefit of any statute of limitations affecting such Guarantor’s liability hereunder or the enforcement thereof, and any act which shall defer or delay the operation of any statute of limitations applicable to the Guaranteed Obligations shall similarly operate to defer or delay the operation of such statute of limitations applicable to such Guarantor’s liability hereunder; and</w:t>
      </w:r>
    </w:p>
    <w:p>
      <w:pPr>
        <w:spacing w:after="0" w:line="168" w:lineRule="exact"/>
        <w:rPr>
          <w:rFonts w:ascii="Arial" w:cs="Arial" w:eastAsia="Arial" w:hAnsi="Arial"/>
          <w:sz w:val="16"/>
          <w:szCs w:val="16"/>
          <w:color w:val="auto"/>
        </w:rPr>
      </w:pPr>
    </w:p>
    <w:p>
      <w:pPr>
        <w:ind w:left="660" w:right="160" w:firstLine="645"/>
        <w:spacing w:after="0" w:line="264" w:lineRule="auto"/>
        <w:tabs>
          <w:tab w:leader="none" w:pos="2013" w:val="left"/>
        </w:tabs>
        <w:numPr>
          <w:ilvl w:val="0"/>
          <w:numId w:val="539"/>
        </w:numPr>
        <w:rPr>
          <w:rFonts w:ascii="Arial" w:cs="Arial" w:eastAsia="Arial" w:hAnsi="Arial"/>
          <w:sz w:val="18"/>
          <w:szCs w:val="18"/>
          <w:color w:val="auto"/>
        </w:rPr>
      </w:pPr>
      <w:r>
        <w:rPr>
          <w:rFonts w:ascii="Arial" w:cs="Arial" w:eastAsia="Arial" w:hAnsi="Arial"/>
          <w:sz w:val="18"/>
          <w:szCs w:val="18"/>
          <w:color w:val="auto"/>
        </w:rPr>
        <w:t>any defense arising by reason of or deriving from (a) any claim or defense based upon an election of remedies by the Administrative Agent and the other Guaranteed Parties; or (b) any election by the Administrative Agent and the other Guaranteed Parties under the Bankruptcy Code, to limit the amount of its claim against the Guarantors.</w:t>
      </w:r>
    </w:p>
    <w:p>
      <w:pPr>
        <w:spacing w:after="0" w:line="181" w:lineRule="exact"/>
        <w:rPr>
          <w:sz w:val="20"/>
          <w:szCs w:val="20"/>
          <w:color w:val="auto"/>
        </w:rPr>
      </w:pPr>
    </w:p>
    <w:p>
      <w:pPr>
        <w:ind w:firstLine="656"/>
        <w:spacing w:after="0" w:line="264" w:lineRule="auto"/>
        <w:tabs>
          <w:tab w:leader="none" w:pos="1343" w:val="left"/>
        </w:tabs>
        <w:numPr>
          <w:ilvl w:val="0"/>
          <w:numId w:val="540"/>
        </w:numPr>
        <w:rPr>
          <w:rFonts w:ascii="Arial" w:cs="Arial" w:eastAsia="Arial" w:hAnsi="Arial"/>
          <w:sz w:val="18"/>
          <w:szCs w:val="18"/>
          <w:color w:val="auto"/>
        </w:rPr>
      </w:pPr>
      <w:r>
        <w:rPr>
          <w:rFonts w:ascii="Arial" w:cs="Arial" w:eastAsia="Arial" w:hAnsi="Arial"/>
          <w:sz w:val="18"/>
          <w:szCs w:val="18"/>
          <w:u w:val="single" w:color="auto"/>
          <w:color w:val="auto"/>
        </w:rPr>
        <w:t>Texas Waivers</w:t>
      </w:r>
      <w:r>
        <w:rPr>
          <w:rFonts w:ascii="Arial" w:cs="Arial" w:eastAsia="Arial" w:hAnsi="Arial"/>
          <w:sz w:val="18"/>
          <w:szCs w:val="18"/>
          <w:color w:val="auto"/>
        </w:rPr>
        <w:t>. Without limiting any other waiver or provision, each Guarantor hereby expressly waives, to the maximum extent permitted by applicable law, each and every right to which it may be entitled by virtue of the suretyship laws of the State of Texas or any other state in which it may be located, including any and all rights it may have pursuant to Rule 31 of the Texas Rules of Civil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Procedure and Section 17.001, Section 43.002 and Section 43.003 of the Texas Civil Practice and Remedies Code.</w:t>
      </w:r>
    </w:p>
    <w:p>
      <w:pPr>
        <w:spacing w:after="0" w:line="225" w:lineRule="exact"/>
        <w:rPr>
          <w:sz w:val="20"/>
          <w:szCs w:val="20"/>
          <w:color w:val="auto"/>
        </w:rPr>
      </w:pPr>
    </w:p>
    <w:p>
      <w:pPr>
        <w:ind w:right="160" w:firstLine="656"/>
        <w:spacing w:after="0" w:line="342" w:lineRule="auto"/>
        <w:tabs>
          <w:tab w:leader="none" w:pos="1353" w:val="left"/>
        </w:tabs>
        <w:numPr>
          <w:ilvl w:val="0"/>
          <w:numId w:val="541"/>
        </w:numPr>
        <w:rPr>
          <w:rFonts w:ascii="Arial" w:cs="Arial" w:eastAsia="Arial" w:hAnsi="Arial"/>
          <w:sz w:val="16"/>
          <w:szCs w:val="16"/>
          <w:color w:val="auto"/>
        </w:rPr>
      </w:pPr>
      <w:r>
        <w:rPr>
          <w:rFonts w:ascii="Arial" w:cs="Arial" w:eastAsia="Arial" w:hAnsi="Arial"/>
          <w:sz w:val="16"/>
          <w:szCs w:val="16"/>
          <w:u w:val="single" w:color="auto"/>
          <w:color w:val="auto"/>
        </w:rPr>
        <w:t>California Waivers</w:t>
      </w:r>
      <w:r>
        <w:rPr>
          <w:rFonts w:ascii="Arial" w:cs="Arial" w:eastAsia="Arial" w:hAnsi="Arial"/>
          <w:sz w:val="16"/>
          <w:szCs w:val="16"/>
          <w:color w:val="auto"/>
        </w:rPr>
        <w:t>. Without limiting any other waiver or provision, each Guarantor waives, to the maximum extent permitted by law, all benefits or defenses directly or indirectly arising under California Civil Code §§ 2787, 2799, 2808, 2815, 2819, 2820, 2821, 2822, 2838, 2839, 2847, 2848,</w:t>
      </w:r>
    </w:p>
    <w:p>
      <w:pPr>
        <w:sectPr>
          <w:pgSz w:w="11900" w:h="16976" w:orient="portrait"/>
          <w:cols w:equalWidth="0" w:num="1">
            <w:col w:w="11400"/>
          </w:cols>
          <w:pgMar w:left="240" w:top="125" w:right="259" w:bottom="0" w:gutter="0" w:footer="0" w:header="0"/>
        </w:sectPr>
      </w:pPr>
    </w:p>
    <w:bookmarkStart w:id="229" w:name="page230"/>
    <w:bookmarkEnd w:id="229"/>
    <w:p>
      <w:pPr>
        <w:ind w:right="120"/>
        <w:spacing w:after="0" w:line="264" w:lineRule="auto"/>
        <w:rPr>
          <w:sz w:val="20"/>
          <w:szCs w:val="20"/>
          <w:color w:val="auto"/>
        </w:rPr>
      </w:pPr>
      <w:r>
        <w:rPr>
          <w:rFonts w:ascii="Arial" w:cs="Arial" w:eastAsia="Arial" w:hAnsi="Arial"/>
          <w:sz w:val="18"/>
          <w:szCs w:val="18"/>
          <w:color w:val="auto"/>
        </w:rPr>
        <w:t>and 2855, Chapter 2 of Title 14 of the California Civil Code, and California Code of Civil Procedure §§ 580a, 580b, 580c, 580d, and 726 or any similar laws of any other applicable jurisdiction. The reference to certain provisions of California law is not intended to imply any application of California law to this Guaranty.</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Subordination of Subrogation</w:t>
      </w:r>
      <w:r>
        <w:rPr>
          <w:rFonts w:ascii="Arial" w:cs="Arial" w:eastAsia="Arial" w:hAnsi="Arial"/>
          <w:sz w:val="16"/>
          <w:szCs w:val="16"/>
          <w:color w:val="auto"/>
        </w:rPr>
        <w:t xml:space="preserve">. Until Payment in Full, the Guarantors (a) shall have no right of subrogation with respect to such Guaranteed Obligations and (b) waive any right to enforce any remedy which the Administrative Agent or any of the other Guaranteed Parties now have or may hereafter have against any Borrower, any endorser or any guarantor of all or any part of the Guaranteed Obligations or any other Person and until such time the Guarantors waive any benefit of, and any right to participate in, any security or other collateral given to the Guaranteed Parties to secure the payment and/or performance of any other liability of any Borrower to the Guaranteed Parties. Should any Guarantor have the right, notwithstanding the foregoing, to exercise its subrogation rights prior to Payment in Full, each Guarantor hereby expressly and irrevocably (i) subordinates any and all rights at law or in equity to subrogation, reimbursement, exoneration, contribution, indemnification or set off that such Guarantor may have to the payment in full in cash of the Guaranteed Obligations until Payment in Full and (ii) waives any and all defenses available to a surety, guarantor or accommodation co-obligor until Payment in Full. Each Guarantor acknowledges and agrees that this subordination is intended to benefit the Administrative Agent and the other Guaranteed Parties and shall not limit or otherwise affect such Guarantor’s liability hereunder or the enforceability of this Guaranty (or any rights and obligations among or against any other Guarantor or the Borrowers upon Payment in Full), and that the Administrative Agent, the other Guaranteed Parties and their respective successors and assigns are intended third party beneficiaries of the waivers and agreements set forth in this </w:t>
      </w:r>
      <w:r>
        <w:rPr>
          <w:rFonts w:ascii="Arial" w:cs="Arial" w:eastAsia="Arial" w:hAnsi="Arial"/>
          <w:sz w:val="16"/>
          <w:szCs w:val="16"/>
          <w:u w:val="single" w:color="auto"/>
          <w:color w:val="auto"/>
        </w:rPr>
        <w:t>Section 6</w:t>
      </w:r>
      <w:r>
        <w:rPr>
          <w:rFonts w:ascii="Arial" w:cs="Arial" w:eastAsia="Arial" w:hAnsi="Arial"/>
          <w:sz w:val="16"/>
          <w:szCs w:val="16"/>
          <w:color w:val="auto"/>
        </w:rPr>
        <w:t>.</w:t>
      </w:r>
    </w:p>
    <w:p>
      <w:pPr>
        <w:spacing w:after="0" w:line="16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Contribution with Respect to Guaranteed Obligations</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64" w:lineRule="auto"/>
        <w:tabs>
          <w:tab w:leader="none" w:pos="1343"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To the extent that any Guarantor shall make a Guarantor Payment and in the absence of any other express written agreement among one or more Obligors then, following Payment in Full, such Guarantor shall be entitled to receive contribution and indemnification payments from, and be reimbursed by:</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1"/>
          <w:numId w:val="542"/>
        </w:numPr>
        <w:rPr>
          <w:rFonts w:ascii="Arial" w:cs="Arial" w:eastAsia="Arial" w:hAnsi="Arial"/>
          <w:sz w:val="18"/>
          <w:szCs w:val="18"/>
          <w:color w:val="auto"/>
        </w:rPr>
      </w:pPr>
      <w:r>
        <w:rPr>
          <w:rFonts w:ascii="Arial" w:cs="Arial" w:eastAsia="Arial" w:hAnsi="Arial"/>
          <w:sz w:val="18"/>
          <w:szCs w:val="18"/>
          <w:color w:val="auto"/>
        </w:rPr>
        <w:t>WIL-Ireland within sixty (60) days after written demand by the Guarantor for its Guaranty Loss Amount; then</w:t>
      </w:r>
    </w:p>
    <w:p>
      <w:pPr>
        <w:spacing w:after="0" w:line="225" w:lineRule="exact"/>
        <w:rPr>
          <w:rFonts w:ascii="Arial" w:cs="Arial" w:eastAsia="Arial" w:hAnsi="Arial"/>
          <w:sz w:val="18"/>
          <w:szCs w:val="18"/>
          <w:color w:val="auto"/>
        </w:rPr>
      </w:pPr>
    </w:p>
    <w:p>
      <w:pPr>
        <w:ind w:left="660" w:right="140" w:firstLine="645"/>
        <w:spacing w:after="0" w:line="264" w:lineRule="auto"/>
        <w:tabs>
          <w:tab w:leader="none" w:pos="2023" w:val="left"/>
        </w:tabs>
        <w:numPr>
          <w:ilvl w:val="1"/>
          <w:numId w:val="542"/>
        </w:numPr>
        <w:rPr>
          <w:rFonts w:ascii="Arial" w:cs="Arial" w:eastAsia="Arial" w:hAnsi="Arial"/>
          <w:sz w:val="18"/>
          <w:szCs w:val="18"/>
          <w:color w:val="auto"/>
        </w:rPr>
      </w:pPr>
      <w:r>
        <w:rPr>
          <w:rFonts w:ascii="Arial" w:cs="Arial" w:eastAsia="Arial" w:hAnsi="Arial"/>
          <w:sz w:val="18"/>
          <w:szCs w:val="18"/>
          <w:color w:val="auto"/>
        </w:rPr>
        <w:t>if WIL-Ireland fails to satisfy its obligations, in whole or in part, under (i) above, Weatherford Worldwide Holdings GmbH, a Switzerland limited liability company (“</w:t>
      </w:r>
      <w:r>
        <w:rPr>
          <w:rFonts w:ascii="Arial" w:cs="Arial" w:eastAsia="Arial" w:hAnsi="Arial"/>
          <w:sz w:val="18"/>
          <w:szCs w:val="18"/>
          <w:u w:val="single" w:color="auto"/>
          <w:color w:val="auto"/>
        </w:rPr>
        <w:t>WWH</w:t>
      </w:r>
      <w:r>
        <w:rPr>
          <w:rFonts w:ascii="Arial" w:cs="Arial" w:eastAsia="Arial" w:hAnsi="Arial"/>
          <w:sz w:val="18"/>
          <w:szCs w:val="18"/>
          <w:color w:val="auto"/>
        </w:rPr>
        <w:t>”) within thirty (30) days after written demand by the Guarantor for its Guaranty Loss Amount (such demand only being made after the time period in (i) above has elapsed); then</w:t>
      </w:r>
    </w:p>
    <w:p>
      <w:pPr>
        <w:spacing w:after="0" w:line="181" w:lineRule="exact"/>
        <w:rPr>
          <w:rFonts w:ascii="Arial" w:cs="Arial" w:eastAsia="Arial" w:hAnsi="Arial"/>
          <w:sz w:val="18"/>
          <w:szCs w:val="18"/>
          <w:color w:val="auto"/>
        </w:rPr>
      </w:pPr>
    </w:p>
    <w:p>
      <w:pPr>
        <w:jc w:val="both"/>
        <w:ind w:left="660" w:right="140" w:firstLine="645"/>
        <w:spacing w:after="0" w:line="259" w:lineRule="auto"/>
        <w:tabs>
          <w:tab w:leader="none" w:pos="2028" w:val="left"/>
        </w:tabs>
        <w:numPr>
          <w:ilvl w:val="1"/>
          <w:numId w:val="542"/>
        </w:numPr>
        <w:rPr>
          <w:rFonts w:ascii="Arial" w:cs="Arial" w:eastAsia="Arial" w:hAnsi="Arial"/>
          <w:sz w:val="18"/>
          <w:szCs w:val="18"/>
          <w:color w:val="auto"/>
        </w:rPr>
      </w:pPr>
      <w:r>
        <w:rPr>
          <w:rFonts w:ascii="Arial" w:cs="Arial" w:eastAsia="Arial" w:hAnsi="Arial"/>
          <w:sz w:val="18"/>
          <w:szCs w:val="18"/>
          <w:color w:val="auto"/>
        </w:rPr>
        <w:t>to the extent WIL-Ireland and WWH fail to satisfy their obligations, in whole or in part, under (i) and (ii) above, each Specified Guarantor, based upon the ratio of each such other Specified Guarantor’s Allocable Amount to the aggregate of all Specified Guarantors’ Allocable Amounts, within fifteen (15) days after written demand by the Specified Guarantor for its Guaranty Loss Amount (such demand only being made after the time periods in (i) and (ii) above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have elapsed) after, for such calculation purposes, netting amounts that would otherwise be payable by and among any two Specified Guarantors.</w:t>
      </w:r>
    </w:p>
    <w:p>
      <w:pPr>
        <w:spacing w:after="0" w:line="248"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 xml:space="preserve">It is the intent of the parties that WIL-Ireland and WWH will fully satisfy their obligations if called upon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and both WIL-Ireland and WWH hereby agree to take all reasonable actions to do so including, without limitation, selling assets, liquidating subsidiaries and otherwise obtaining funding (to the extent available). If a Guarantor fails to satisfy its respective obligation, in whole or in part, in the time period prescribed, for the benefit of the other Guarantors, the provisions of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will be applied eliminating, in whole or in part, the nonperforming Guarantor. For the avoidance of doubt, no Guarantor shall be relieved of any obligations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in the event it fails to satisfy its respective obligations to any other Guarantor; rather, each such Guarantor that makes a contribution and indemnification payment shall be entitled to seek recovery from any other Guarantors that failed to fulfill their obligations hereunder; provided, however, (i) WIL-Ireland shall not have a claim for a Guaranty Loss Amount against any other Guarantor,</w:t>
      </w:r>
    </w:p>
    <w:p>
      <w:pPr>
        <w:spacing w:after="0" w:line="3" w:lineRule="exact"/>
        <w:rPr>
          <w:sz w:val="20"/>
          <w:szCs w:val="20"/>
          <w:color w:val="auto"/>
        </w:rPr>
      </w:pPr>
    </w:p>
    <w:p>
      <w:pPr>
        <w:ind w:right="140" w:firstLine="8"/>
        <w:spacing w:after="0" w:line="261" w:lineRule="auto"/>
        <w:tabs>
          <w:tab w:leader="none" w:pos="262" w:val="left"/>
        </w:tabs>
        <w:numPr>
          <w:ilvl w:val="0"/>
          <w:numId w:val="543"/>
        </w:numPr>
        <w:rPr>
          <w:rFonts w:ascii="Arial" w:cs="Arial" w:eastAsia="Arial" w:hAnsi="Arial"/>
          <w:sz w:val="18"/>
          <w:szCs w:val="18"/>
          <w:color w:val="auto"/>
        </w:rPr>
      </w:pPr>
      <w:r>
        <w:rPr>
          <w:rFonts w:ascii="Arial" w:cs="Arial" w:eastAsia="Arial" w:hAnsi="Arial"/>
          <w:sz w:val="18"/>
          <w:szCs w:val="18"/>
          <w:color w:val="auto"/>
        </w:rPr>
        <w:t>WWH shall not have a claim for a Guaranty Loss Amount against any Guarantor other than WIL-Ireland, and (iii) a Specified Guarantor shall not have a claim for a Guaranty Loss Amount against any Guarantor other than WIL-Ireland, WWH, or another Specified Guarantor.</w:t>
      </w:r>
    </w:p>
    <w:p>
      <w:pPr>
        <w:spacing w:after="0" w:line="183" w:lineRule="exact"/>
        <w:rPr>
          <w:rFonts w:ascii="Arial" w:cs="Arial" w:eastAsia="Arial" w:hAnsi="Arial"/>
          <w:sz w:val="18"/>
          <w:szCs w:val="18"/>
          <w:color w:val="auto"/>
        </w:rPr>
      </w:pPr>
    </w:p>
    <w:p>
      <w:pPr>
        <w:ind w:left="1360" w:hanging="704"/>
        <w:spacing w:after="0"/>
        <w:tabs>
          <w:tab w:leader="none" w:pos="1360" w:val="left"/>
        </w:tabs>
        <w:numPr>
          <w:ilvl w:val="1"/>
          <w:numId w:val="543"/>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following terms shall have the following meaning:</w:t>
      </w:r>
    </w:p>
    <w:p>
      <w:pPr>
        <w:spacing w:after="0" w:line="225" w:lineRule="exact"/>
        <w:rPr>
          <w:rFonts w:ascii="Arial" w:cs="Arial" w:eastAsia="Arial" w:hAnsi="Arial"/>
          <w:sz w:val="18"/>
          <w:szCs w:val="18"/>
          <w:color w:val="auto"/>
        </w:rPr>
      </w:pPr>
    </w:p>
    <w:p>
      <w:pPr>
        <w:ind w:left="660" w:right="320" w:firstLine="645"/>
        <w:spacing w:after="0" w:line="312" w:lineRule="auto"/>
        <w:tabs>
          <w:tab w:leader="none" w:pos="2018" w:val="left"/>
        </w:tabs>
        <w:numPr>
          <w:ilvl w:val="2"/>
          <w:numId w:val="5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Allocable Amount</w:t>
      </w:r>
      <w:r>
        <w:rPr>
          <w:rFonts w:ascii="Arial" w:cs="Arial" w:eastAsia="Arial" w:hAnsi="Arial"/>
          <w:sz w:val="16"/>
          <w:szCs w:val="16"/>
          <w:color w:val="auto"/>
        </w:rPr>
        <w:t xml:space="preserve">” means, with respect to any Person, the amount equal to the excess of the fair market value of its property over the total liabilities of such Person determined as of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Allocable Amount will be adjusted as and when agreed between the parties to take into account Persons who become or cease to be Specified Guarantors after the Effective Date;</w:t>
      </w:r>
    </w:p>
    <w:p>
      <w:pPr>
        <w:spacing w:after="0" w:line="146" w:lineRule="exact"/>
        <w:rPr>
          <w:rFonts w:ascii="Arial" w:cs="Arial" w:eastAsia="Arial" w:hAnsi="Arial"/>
          <w:sz w:val="16"/>
          <w:szCs w:val="16"/>
          <w:color w:val="auto"/>
        </w:rPr>
      </w:pPr>
    </w:p>
    <w:p>
      <w:pPr>
        <w:ind w:left="660" w:right="180" w:firstLine="645"/>
        <w:spacing w:after="0" w:line="259" w:lineRule="auto"/>
        <w:tabs>
          <w:tab w:leader="none" w:pos="2023" w:val="left"/>
        </w:tabs>
        <w:numPr>
          <w:ilvl w:val="2"/>
          <w:numId w:val="5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 Loss Amount</w:t>
      </w:r>
      <w:r>
        <w:rPr>
          <w:rFonts w:ascii="Arial" w:cs="Arial" w:eastAsia="Arial" w:hAnsi="Arial"/>
          <w:sz w:val="18"/>
          <w:szCs w:val="18"/>
          <w:color w:val="auto"/>
        </w:rPr>
        <w:t xml:space="preserve">” means the monetary value of any and all claims, damages, costs, expenses or other losses (plus arm’s-length interest on such value) incurred or suffered by a Guarantor as a result of making a Guarantor Payment after taking into account any contributions, reimbursements or other payments received from any other Person (including under this </w:t>
      </w:r>
      <w:r>
        <w:rPr>
          <w:rFonts w:ascii="Arial" w:cs="Arial" w:eastAsia="Arial" w:hAnsi="Arial"/>
          <w:sz w:val="18"/>
          <w:szCs w:val="18"/>
          <w:u w:val="single" w:color="auto"/>
          <w:color w:val="auto"/>
        </w:rPr>
        <w:t>Section 7</w:t>
      </w:r>
      <w:r>
        <w:rPr>
          <w:rFonts w:ascii="Arial" w:cs="Arial" w:eastAsia="Arial" w:hAnsi="Arial"/>
          <w:sz w:val="18"/>
          <w:szCs w:val="18"/>
          <w:color w:val="auto"/>
        </w:rPr>
        <w:t>) with respect to such Guarantor Payment;</w:t>
      </w:r>
    </w:p>
    <w:p>
      <w:pPr>
        <w:spacing w:after="0" w:line="186" w:lineRule="exact"/>
        <w:rPr>
          <w:rFonts w:ascii="Arial" w:cs="Arial" w:eastAsia="Arial" w:hAnsi="Arial"/>
          <w:sz w:val="18"/>
          <w:szCs w:val="18"/>
          <w:color w:val="auto"/>
        </w:rPr>
      </w:pPr>
    </w:p>
    <w:p>
      <w:pPr>
        <w:ind w:left="660" w:right="240" w:firstLine="645"/>
        <w:spacing w:after="0" w:line="277" w:lineRule="auto"/>
        <w:tabs>
          <w:tab w:leader="none" w:pos="2028" w:val="left"/>
        </w:tabs>
        <w:numPr>
          <w:ilvl w:val="2"/>
          <w:numId w:val="5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Payment</w:t>
      </w:r>
      <w:r>
        <w:rPr>
          <w:rFonts w:ascii="Arial" w:cs="Arial" w:eastAsia="Arial" w:hAnsi="Arial"/>
          <w:sz w:val="18"/>
          <w:szCs w:val="18"/>
          <w:color w:val="auto"/>
        </w:rPr>
        <w:t xml:space="preserve">” means a payment (which shall include any amounts setoff pursuant to </w:t>
      </w:r>
      <w:r>
        <w:rPr>
          <w:rFonts w:ascii="Arial" w:cs="Arial" w:eastAsia="Arial" w:hAnsi="Arial"/>
          <w:sz w:val="18"/>
          <w:szCs w:val="18"/>
          <w:u w:val="single" w:color="auto"/>
          <w:color w:val="auto"/>
        </w:rPr>
        <w:t>Section 17</w:t>
      </w:r>
      <w:r>
        <w:rPr>
          <w:rFonts w:ascii="Arial" w:cs="Arial" w:eastAsia="Arial" w:hAnsi="Arial"/>
          <w:sz w:val="18"/>
          <w:szCs w:val="18"/>
          <w:color w:val="auto"/>
        </w:rPr>
        <w:t>) under this Guaranty or the taking or use of any Collateral under any other Loan Document; and</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2"/>
          <w:numId w:val="5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Guarantor</w:t>
      </w:r>
      <w:r>
        <w:rPr>
          <w:rFonts w:ascii="Arial" w:cs="Arial" w:eastAsia="Arial" w:hAnsi="Arial"/>
          <w:sz w:val="18"/>
          <w:szCs w:val="18"/>
          <w:color w:val="auto"/>
        </w:rPr>
        <w:t>” means any Guarantor other than WIL-Ireland and WWH.</w:t>
      </w:r>
    </w:p>
    <w:p>
      <w:pPr>
        <w:spacing w:after="0" w:line="225" w:lineRule="exact"/>
        <w:rPr>
          <w:rFonts w:ascii="Arial" w:cs="Arial" w:eastAsia="Arial" w:hAnsi="Arial"/>
          <w:sz w:val="18"/>
          <w:szCs w:val="18"/>
          <w:color w:val="auto"/>
        </w:rPr>
      </w:pPr>
    </w:p>
    <w:p>
      <w:pPr>
        <w:ind w:right="160" w:firstLine="656"/>
        <w:spacing w:after="0" w:line="264" w:lineRule="auto"/>
        <w:tabs>
          <w:tab w:leader="none" w:pos="1343" w:val="left"/>
        </w:tabs>
        <w:numPr>
          <w:ilvl w:val="1"/>
          <w:numId w:val="543"/>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is intended only to define the relative rights of the Guarantors, and nothing set forth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is intended to or shall impair the obligations of the Guarantors, jointly and severally, to pay any amounts as and when the same shall become due and payable in accordance with the terms of this Guaranty.</w:t>
      </w:r>
    </w:p>
    <w:p>
      <w:pPr>
        <w:spacing w:after="0" w:line="181" w:lineRule="exact"/>
        <w:rPr>
          <w:rFonts w:ascii="Arial" w:cs="Arial" w:eastAsia="Arial" w:hAnsi="Arial"/>
          <w:sz w:val="18"/>
          <w:szCs w:val="18"/>
          <w:color w:val="auto"/>
        </w:rPr>
      </w:pPr>
    </w:p>
    <w:p>
      <w:pPr>
        <w:ind w:right="340" w:firstLine="656"/>
        <w:spacing w:after="0" w:line="277" w:lineRule="auto"/>
        <w:tabs>
          <w:tab w:leader="none" w:pos="1353" w:val="left"/>
        </w:tabs>
        <w:numPr>
          <w:ilvl w:val="1"/>
          <w:numId w:val="543"/>
        </w:numPr>
        <w:rPr>
          <w:rFonts w:ascii="Arial" w:cs="Arial" w:eastAsia="Arial" w:hAnsi="Arial"/>
          <w:sz w:val="18"/>
          <w:szCs w:val="18"/>
          <w:color w:val="auto"/>
        </w:rPr>
      </w:pPr>
      <w:r>
        <w:rPr>
          <w:rFonts w:ascii="Arial" w:cs="Arial" w:eastAsia="Arial" w:hAnsi="Arial"/>
          <w:sz w:val="18"/>
          <w:szCs w:val="18"/>
          <w:color w:val="auto"/>
        </w:rPr>
        <w:t>The parties hereto acknowledge that the rights of contribution and indemnification hereunder shall constitute assets of the Guarantor or Guarantors to which such contribution and indemnification is owing.</w:t>
      </w:r>
    </w:p>
    <w:p>
      <w:pPr>
        <w:spacing w:after="0" w:line="170" w:lineRule="exact"/>
        <w:rPr>
          <w:rFonts w:ascii="Arial" w:cs="Arial" w:eastAsia="Arial" w:hAnsi="Arial"/>
          <w:sz w:val="18"/>
          <w:szCs w:val="18"/>
          <w:color w:val="auto"/>
        </w:rPr>
      </w:pPr>
    </w:p>
    <w:p>
      <w:pPr>
        <w:ind w:right="60" w:firstLine="656"/>
        <w:spacing w:after="0" w:line="342" w:lineRule="auto"/>
        <w:tabs>
          <w:tab w:leader="none" w:pos="1343" w:val="left"/>
        </w:tabs>
        <w:numPr>
          <w:ilvl w:val="1"/>
          <w:numId w:val="543"/>
        </w:numPr>
        <w:rPr>
          <w:rFonts w:ascii="Arial" w:cs="Arial" w:eastAsia="Arial" w:hAnsi="Arial"/>
          <w:sz w:val="16"/>
          <w:szCs w:val="16"/>
          <w:color w:val="auto"/>
        </w:rPr>
      </w:pPr>
      <w:r>
        <w:rPr>
          <w:rFonts w:ascii="Arial" w:cs="Arial" w:eastAsia="Arial" w:hAnsi="Arial"/>
          <w:sz w:val="16"/>
          <w:szCs w:val="16"/>
          <w:color w:val="auto"/>
        </w:rPr>
        <w:t xml:space="preserve">The rights of the indemnifying Guarantors against other Guarantors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shall be exercisable upon Payment in Full, and are intended to reflect the concept of indemnity and contribution among guarantors of an obligation that would otherwise exist under New York law. Nothing</w:t>
      </w:r>
    </w:p>
    <w:p>
      <w:pPr>
        <w:sectPr>
          <w:pgSz w:w="11900" w:h="16838" w:orient="portrait"/>
          <w:cols w:equalWidth="0" w:num="1">
            <w:col w:w="11420"/>
          </w:cols>
          <w:pgMar w:left="240" w:top="125" w:right="239" w:bottom="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 this Section 7, however, shall negate or otherwise modify the rights of subrogation of a Guarantor against a Borrower.</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Certain Limitation of Guaranty</w:t>
      </w:r>
      <w:r>
        <w:rPr>
          <w:rFonts w:ascii="Arial" w:cs="Arial" w:eastAsia="Arial" w:hAnsi="Arial"/>
          <w:sz w:val="18"/>
          <w:szCs w:val="18"/>
          <w:color w:val="auto"/>
        </w:rPr>
        <w:t>. Notwithstanding any other provision of this Guaranty to the contrary the amount guaranteed by each Guarantor hereunder shall be limited to the extent, if any, required so that its obligations hereunder shall not be subject to avoidance under Section 548 of the Bankruptcy Code or under any applicable state Uniform Fraudulent Transfer Act, Uniform Fraudulent Conveyance Act or similar statute or common law. In determining the limitations, if any, on the amount of any Guarantor’s obligations hereunder pursuant to the preceding sentence, it is the intention of the parties hereto that any rights of subrogation, indemnification or contribution which such Guarantor may have under this Guaranty, any other agreement or applicable law shall be taken into account.</w:t>
      </w:r>
    </w:p>
    <w:p>
      <w:pPr>
        <w:spacing w:after="0" w:line="193"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Luxembourg Limitations</w:t>
      </w:r>
      <w:r>
        <w:rPr>
          <w:rFonts w:ascii="Arial" w:cs="Arial" w:eastAsia="Arial" w:hAnsi="Arial"/>
          <w:sz w:val="16"/>
          <w:szCs w:val="16"/>
          <w:color w:val="auto"/>
        </w:rPr>
        <w:t>.</w:t>
      </w:r>
    </w:p>
    <w:p>
      <w:pPr>
        <w:spacing w:after="0" w:line="225" w:lineRule="exact"/>
        <w:rPr>
          <w:sz w:val="20"/>
          <w:szCs w:val="20"/>
          <w:color w:val="auto"/>
        </w:rPr>
      </w:pPr>
    </w:p>
    <w:p>
      <w:pPr>
        <w:ind w:right="780" w:firstLine="656"/>
        <w:spacing w:after="0" w:line="308" w:lineRule="auto"/>
        <w:tabs>
          <w:tab w:leader="none" w:pos="1343" w:val="left"/>
        </w:tabs>
        <w:numPr>
          <w:ilvl w:val="0"/>
          <w:numId w:val="544"/>
        </w:numPr>
        <w:rPr>
          <w:rFonts w:ascii="Arial" w:cs="Arial" w:eastAsia="Arial" w:hAnsi="Arial"/>
          <w:sz w:val="17"/>
          <w:szCs w:val="17"/>
          <w:color w:val="auto"/>
        </w:rPr>
      </w:pPr>
      <w:r>
        <w:rPr>
          <w:rFonts w:ascii="Arial" w:cs="Arial" w:eastAsia="Arial" w:hAnsi="Arial"/>
          <w:sz w:val="17"/>
          <w:szCs w:val="17"/>
          <w:color w:val="auto"/>
        </w:rPr>
        <w:t>The payment obligation of any Luxembourg Guarantor for the obligations of any other Guarantor that is not a Subsidiary of such Luxembourg Guarantor, shall be limited at any time, with no double counting, to an aggregate amount not exceeding the higher of:</w:t>
      </w:r>
    </w:p>
    <w:p>
      <w:pPr>
        <w:spacing w:after="0" w:line="146" w:lineRule="exact"/>
        <w:rPr>
          <w:rFonts w:ascii="Arial" w:cs="Arial" w:eastAsia="Arial" w:hAnsi="Arial"/>
          <w:sz w:val="17"/>
          <w:szCs w:val="17"/>
          <w:color w:val="auto"/>
        </w:rPr>
      </w:pPr>
    </w:p>
    <w:p>
      <w:pPr>
        <w:ind w:left="660" w:right="420" w:firstLine="645"/>
        <w:spacing w:after="0" w:line="297" w:lineRule="auto"/>
        <w:tabs>
          <w:tab w:leader="none" w:pos="2018" w:val="left"/>
        </w:tabs>
        <w:numPr>
          <w:ilvl w:val="1"/>
          <w:numId w:val="544"/>
        </w:numPr>
        <w:rPr>
          <w:rFonts w:ascii="Arial" w:cs="Arial" w:eastAsia="Arial" w:hAnsi="Arial"/>
          <w:sz w:val="16"/>
          <w:szCs w:val="16"/>
          <w:color w:val="auto"/>
        </w:rPr>
      </w:pPr>
      <w:r>
        <w:rPr>
          <w:rFonts w:ascii="Arial" w:cs="Arial" w:eastAsia="Arial" w:hAnsi="Arial"/>
          <w:sz w:val="16"/>
          <w:szCs w:val="16"/>
          <w:color w:val="auto"/>
        </w:rPr>
        <w:t>ninety five per cent. (95%) of the Luxembourg Guarantor’s own funds (</w:t>
      </w:r>
      <w:r>
        <w:rPr>
          <w:rFonts w:ascii="Arial" w:cs="Arial" w:eastAsia="Arial" w:hAnsi="Arial"/>
          <w:sz w:val="16"/>
          <w:szCs w:val="16"/>
          <w:i w:val="1"/>
          <w:iCs w:val="1"/>
          <w:color w:val="auto"/>
        </w:rPr>
        <w:t>capitaux propres</w:t>
      </w:r>
      <w:r>
        <w:rPr>
          <w:rFonts w:ascii="Arial" w:cs="Arial" w:eastAsia="Arial" w:hAnsi="Arial"/>
          <w:sz w:val="16"/>
          <w:szCs w:val="16"/>
          <w:color w:val="auto"/>
        </w:rPr>
        <w:t>) (as referred to in Annex 1 of the Luxembourg regulation dated 18 December 2015 defining the form and the content of the balance sheet and profit and loss account layouts (the “</w:t>
      </w:r>
      <w:r>
        <w:rPr>
          <w:rFonts w:ascii="Arial" w:cs="Arial" w:eastAsia="Arial" w:hAnsi="Arial"/>
          <w:sz w:val="16"/>
          <w:szCs w:val="16"/>
          <w:u w:val="single" w:color="auto"/>
          <w:color w:val="auto"/>
        </w:rPr>
        <w:t>Regulation</w:t>
      </w:r>
      <w:r>
        <w:rPr>
          <w:rFonts w:ascii="Arial" w:cs="Arial" w:eastAsia="Arial" w:hAnsi="Arial"/>
          <w:sz w:val="16"/>
          <w:szCs w:val="16"/>
          <w:color w:val="auto"/>
        </w:rPr>
        <w:t>”) and implementing among others article 34 of the Luxembourg law dated 19 December 2002 concerning the trade and companies register and the accounting and annual accounts of undertakings, as amended (the “</w:t>
      </w:r>
      <w:r>
        <w:rPr>
          <w:rFonts w:ascii="Arial" w:cs="Arial" w:eastAsia="Arial" w:hAnsi="Arial"/>
          <w:sz w:val="16"/>
          <w:szCs w:val="16"/>
          <w:u w:val="single" w:color="auto"/>
          <w:color w:val="auto"/>
        </w:rPr>
        <w:t>2002 Law</w:t>
      </w:r>
      <w:r>
        <w:rPr>
          <w:rFonts w:ascii="Arial" w:cs="Arial" w:eastAsia="Arial" w:hAnsi="Arial"/>
          <w:sz w:val="16"/>
          <w:szCs w:val="16"/>
          <w:color w:val="auto"/>
        </w:rPr>
        <w:t>”)) and subordinated debt (</w:t>
      </w:r>
      <w:r>
        <w:rPr>
          <w:rFonts w:ascii="Arial" w:cs="Arial" w:eastAsia="Arial" w:hAnsi="Arial"/>
          <w:sz w:val="16"/>
          <w:szCs w:val="16"/>
          <w:i w:val="1"/>
          <w:iCs w:val="1"/>
          <w:color w:val="auto"/>
        </w:rPr>
        <w:t>dette subordonnée</w:t>
      </w:r>
      <w:r>
        <w:rPr>
          <w:rFonts w:ascii="Arial" w:cs="Arial" w:eastAsia="Arial" w:hAnsi="Arial"/>
          <w:sz w:val="16"/>
          <w:szCs w:val="16"/>
          <w:color w:val="auto"/>
        </w:rPr>
        <w:t>) (excluding, however, any amounts borrowed by such Luxembourg Guarantor as per section (b) below), as at the date of this Guaranty; and</w:t>
      </w:r>
    </w:p>
    <w:p>
      <w:pPr>
        <w:spacing w:after="0" w:line="158" w:lineRule="exact"/>
        <w:rPr>
          <w:rFonts w:ascii="Arial" w:cs="Arial" w:eastAsia="Arial" w:hAnsi="Arial"/>
          <w:sz w:val="16"/>
          <w:szCs w:val="16"/>
          <w:color w:val="auto"/>
        </w:rPr>
      </w:pPr>
    </w:p>
    <w:p>
      <w:pPr>
        <w:ind w:left="660" w:right="260" w:firstLine="645"/>
        <w:spacing w:after="0" w:line="286" w:lineRule="auto"/>
        <w:tabs>
          <w:tab w:leader="none" w:pos="2023" w:val="left"/>
        </w:tabs>
        <w:numPr>
          <w:ilvl w:val="1"/>
          <w:numId w:val="544"/>
        </w:numPr>
        <w:rPr>
          <w:rFonts w:ascii="Arial" w:cs="Arial" w:eastAsia="Arial" w:hAnsi="Arial"/>
          <w:sz w:val="17"/>
          <w:szCs w:val="17"/>
          <w:color w:val="auto"/>
        </w:rPr>
      </w:pPr>
      <w:r>
        <w:rPr>
          <w:rFonts w:ascii="Arial" w:cs="Arial" w:eastAsia="Arial" w:hAnsi="Arial"/>
          <w:sz w:val="17"/>
          <w:szCs w:val="17"/>
          <w:color w:val="auto"/>
        </w:rPr>
        <w:t>ninety five per cent. (95%) of the Luxembourg Guarantor’s own funds (capitaux propres) (as referred to in Annex 1 of the Regulation implementing among others article 34 of the 2002 Law) and subordinated debt (</w:t>
      </w:r>
      <w:r>
        <w:rPr>
          <w:rFonts w:ascii="Arial" w:cs="Arial" w:eastAsia="Arial" w:hAnsi="Arial"/>
          <w:sz w:val="17"/>
          <w:szCs w:val="17"/>
          <w:i w:val="1"/>
          <w:iCs w:val="1"/>
          <w:color w:val="auto"/>
        </w:rPr>
        <w:t>dette subordonnée</w:t>
      </w:r>
      <w:r>
        <w:rPr>
          <w:rFonts w:ascii="Arial" w:cs="Arial" w:eastAsia="Arial" w:hAnsi="Arial"/>
          <w:sz w:val="17"/>
          <w:szCs w:val="17"/>
          <w:color w:val="auto"/>
        </w:rPr>
        <w:t>) (excluding, however, any amounts borrowed by such Luxembourg Guarantor as per section (b) below), as at the date of a guarantee payment under this Guaranty.</w:t>
      </w:r>
    </w:p>
    <w:p>
      <w:pPr>
        <w:spacing w:after="0" w:line="165" w:lineRule="exact"/>
        <w:rPr>
          <w:rFonts w:ascii="Arial" w:cs="Arial" w:eastAsia="Arial" w:hAnsi="Arial"/>
          <w:sz w:val="17"/>
          <w:szCs w:val="17"/>
          <w:color w:val="auto"/>
        </w:rPr>
      </w:pPr>
    </w:p>
    <w:p>
      <w:pPr>
        <w:ind w:right="580" w:firstLine="656"/>
        <w:spacing w:after="0" w:line="277" w:lineRule="auto"/>
        <w:tabs>
          <w:tab w:leader="none" w:pos="1353"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limitation set forth in this clause (b) shall not apply to any amounts borrowed under the Credit Agreement and made directly or indirectly available, in any form whatsoever, to the Luxembourg Guarantor or to any of its direct or indirect Subsidiaries.</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Norwegian Limitations</w:t>
      </w:r>
      <w:r>
        <w:rPr>
          <w:rFonts w:ascii="Arial" w:cs="Arial" w:eastAsia="Arial" w:hAnsi="Arial"/>
          <w:sz w:val="18"/>
          <w:szCs w:val="18"/>
          <w:color w:val="auto"/>
        </w:rPr>
        <w:t>. The Norwegian Financial Agreements Act shall not apply to this Guaranty, except as required by § 2 of the Financial Agreements Act (if applicable). The liability of each Guarantor incorporated in Norway in its capacity as Guarantor (each a “</w:t>
      </w:r>
      <w:r>
        <w:rPr>
          <w:rFonts w:ascii="Arial" w:cs="Arial" w:eastAsia="Arial" w:hAnsi="Arial"/>
          <w:sz w:val="18"/>
          <w:szCs w:val="18"/>
          <w:u w:val="single" w:color="auto"/>
          <w:color w:val="auto"/>
        </w:rPr>
        <w:t>Norwegian</w:t>
      </w:r>
      <w:r>
        <w:rPr>
          <w:rFonts w:ascii="Arial" w:cs="Arial" w:eastAsia="Arial" w:hAnsi="Arial"/>
          <w:sz w:val="18"/>
          <w:szCs w:val="18"/>
          <w:color w:val="auto"/>
        </w:rPr>
        <w:t xml:space="preserve"> </w:t>
      </w:r>
      <w:r>
        <w:rPr>
          <w:rFonts w:ascii="Arial" w:cs="Arial" w:eastAsia="Arial" w:hAnsi="Arial"/>
          <w:sz w:val="18"/>
          <w:szCs w:val="18"/>
          <w:u w:val="single" w:color="auto"/>
          <w:color w:val="auto"/>
        </w:rPr>
        <w:t>Guarantor</w:t>
      </w:r>
      <w:r>
        <w:rPr>
          <w:rFonts w:ascii="Arial" w:cs="Arial" w:eastAsia="Arial" w:hAnsi="Arial"/>
          <w:sz w:val="18"/>
          <w:szCs w:val="18"/>
          <w:color w:val="auto"/>
        </w:rPr>
        <w:t>”) shall be limited to USD $566,742,581.42, plus any interest, default interest, commissions, charges, fees and expenses due under any Guaranteed Obligation. Notwithstanding any other provision of this Guaranty to the contrary, the obligations and liabilities of any Norwegian Guarantor under this Guaranty shall be limited by such mandatory provisions of sections 8-7 and/or 8-10 of the Norwegian Limited Liability Companies Act of 13 June 1997 (the “</w:t>
      </w:r>
      <w:r>
        <w:rPr>
          <w:rFonts w:ascii="Arial" w:cs="Arial" w:eastAsia="Arial" w:hAnsi="Arial"/>
          <w:sz w:val="18"/>
          <w:szCs w:val="18"/>
          <w:u w:val="single" w:color="auto"/>
          <w:color w:val="auto"/>
        </w:rPr>
        <w:t>Act</w:t>
      </w:r>
      <w:r>
        <w:rPr>
          <w:rFonts w:ascii="Arial" w:cs="Arial" w:eastAsia="Arial" w:hAnsi="Arial"/>
          <w:sz w:val="18"/>
          <w:szCs w:val="18"/>
          <w:color w:val="auto"/>
        </w:rPr>
        <w:t>”) regarding restrictions on a Norwegian limited liability company’s ability to grant guarantees, loans, security or other financial assistance. The obligations of the Norwegian Guarantors shall only be limited to the extent this is required from time to time, and the Norwegian Guarantors shall be liable to the fullest extent permitted by the Act as amended from time to time.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Swiss Financial Assistance</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7" w:lineRule="auto"/>
        <w:tabs>
          <w:tab w:leader="none" w:pos="1343" w:val="left"/>
        </w:tabs>
        <w:numPr>
          <w:ilvl w:val="0"/>
          <w:numId w:val="545"/>
        </w:numPr>
        <w:rPr>
          <w:rFonts w:ascii="Arial" w:cs="Arial" w:eastAsia="Arial" w:hAnsi="Arial"/>
          <w:sz w:val="16"/>
          <w:szCs w:val="16"/>
          <w:color w:val="auto"/>
        </w:rPr>
      </w:pPr>
      <w:r>
        <w:rPr>
          <w:rFonts w:ascii="Arial" w:cs="Arial" w:eastAsia="Arial" w:hAnsi="Arial"/>
          <w:sz w:val="16"/>
          <w:szCs w:val="16"/>
          <w:color w:val="auto"/>
        </w:rPr>
        <w:t>If and to the extent that a payment in fulfilling the Guaranteed Obligations under this Guaranty any Guarantor organized under the laws of Switzerland (the “</w:t>
      </w:r>
      <w:r>
        <w:rPr>
          <w:rFonts w:ascii="Arial" w:cs="Arial" w:eastAsia="Arial" w:hAnsi="Arial"/>
          <w:sz w:val="16"/>
          <w:szCs w:val="16"/>
          <w:u w:val="single" w:color="auto"/>
          <w:color w:val="auto"/>
        </w:rPr>
        <w:t>Swiss Guarantors</w:t>
      </w:r>
      <w:r>
        <w:rPr>
          <w:rFonts w:ascii="Arial" w:cs="Arial" w:eastAsia="Arial" w:hAnsi="Arial"/>
          <w:sz w:val="16"/>
          <w:szCs w:val="16"/>
          <w:color w:val="auto"/>
        </w:rPr>
        <w:t>”) would, at the time payment is due, under Swiss law and practice (inter alia, prohibiting capital repayments or restricting profit distributions) not be permitted, in particular if and to the extent that such Swiss Guarantor guarantees obligations other than obligations of one of its subsidiaries (i.e., obligations of its direct or indirect parent companies (up-stream guarantee) or sister companies (cross-stream guarantee)) (such obligations, “</w:t>
      </w:r>
      <w:r>
        <w:rPr>
          <w:rFonts w:ascii="Arial" w:cs="Arial" w:eastAsia="Arial" w:hAnsi="Arial"/>
          <w:sz w:val="16"/>
          <w:szCs w:val="16"/>
          <w:u w:val="single" w:color="auto"/>
          <w:color w:val="auto"/>
        </w:rPr>
        <w:t>Restricted Obligations</w:t>
      </w:r>
      <w:r>
        <w:rPr>
          <w:rFonts w:ascii="Arial" w:cs="Arial" w:eastAsia="Arial" w:hAnsi="Arial"/>
          <w:sz w:val="16"/>
          <w:szCs w:val="16"/>
          <w:color w:val="auto"/>
        </w:rPr>
        <w:t xml:space="preserve">”), then such obligations and payment amount shall from time to time be limited to the amount permitted to be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limited amount shall at no time be less than such Swiss Guarantor’s profits and reserves available for distribution as dividends (being the balance sheet profits and any reserves available for this purpose, in each case in accordance with Article 798 of the Swiss Federal Code of Obligations) at the time or times payment under or pursuant to this Guaranty is requested from such Swiss Guarantor, and further provided that such limitation (as may apply from time to time or not) shall not (generally or definitively) free such Swiss Guarantor from payment obligations hereunder in excess thereof, but merely postpone the payment date therefor until such times as payment is again permitted notwithstanding such limitation. Any and all indemnities and guarantees contained in the Loan Documents including, in particular, Section 4.02(b) of the Credit Agreement shall be construed in a manner consistent with the provisions herein contained.</w:t>
      </w:r>
    </w:p>
    <w:p>
      <w:pPr>
        <w:spacing w:after="0" w:line="172" w:lineRule="exact"/>
        <w:rPr>
          <w:rFonts w:ascii="Arial" w:cs="Arial" w:eastAsia="Arial" w:hAnsi="Arial"/>
          <w:sz w:val="16"/>
          <w:szCs w:val="16"/>
          <w:color w:val="auto"/>
        </w:rPr>
      </w:pPr>
    </w:p>
    <w:p>
      <w:pPr>
        <w:ind w:left="1360" w:hanging="704"/>
        <w:spacing w:after="0"/>
        <w:tabs>
          <w:tab w:leader="none" w:pos="136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In respect of Restricted Obligations, each Swiss Guarantor shall:</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if and to the extent required by applicable law in force at the relevant time:</w:t>
      </w:r>
    </w:p>
    <w:p>
      <w:pPr>
        <w:spacing w:after="0" w:line="225" w:lineRule="exact"/>
        <w:rPr>
          <w:rFonts w:ascii="Arial" w:cs="Arial" w:eastAsia="Arial" w:hAnsi="Arial"/>
          <w:sz w:val="18"/>
          <w:szCs w:val="18"/>
          <w:color w:val="auto"/>
        </w:rPr>
      </w:pPr>
    </w:p>
    <w:p>
      <w:pPr>
        <w:ind w:left="660" w:right="120" w:firstLine="645"/>
        <w:spacing w:after="0" w:line="308" w:lineRule="auto"/>
        <w:tabs>
          <w:tab w:leader="none" w:pos="2023" w:val="left"/>
        </w:tabs>
        <w:numPr>
          <w:ilvl w:val="1"/>
          <w:numId w:val="545"/>
        </w:numPr>
        <w:rPr>
          <w:rFonts w:ascii="Arial" w:cs="Arial" w:eastAsia="Arial" w:hAnsi="Arial"/>
          <w:sz w:val="17"/>
          <w:szCs w:val="17"/>
          <w:color w:val="auto"/>
        </w:rPr>
      </w:pPr>
      <w:r>
        <w:rPr>
          <w:rFonts w:ascii="Arial" w:cs="Arial" w:eastAsia="Arial" w:hAnsi="Arial"/>
          <w:sz w:val="17"/>
          <w:szCs w:val="17"/>
          <w:color w:val="auto"/>
        </w:rPr>
        <w:t>subject to any applicable double taxation treaty, deduct Swiss anticipatory tax (</w:t>
      </w:r>
      <w:r>
        <w:rPr>
          <w:rFonts w:ascii="Arial" w:cs="Arial" w:eastAsia="Arial" w:hAnsi="Arial"/>
          <w:sz w:val="17"/>
          <w:szCs w:val="17"/>
          <w:i w:val="1"/>
          <w:iCs w:val="1"/>
          <w:color w:val="auto"/>
        </w:rPr>
        <w:t>Verrechnungssteuer</w:t>
      </w:r>
      <w:r>
        <w:rPr>
          <w:rFonts w:ascii="Arial" w:cs="Arial" w:eastAsia="Arial" w:hAnsi="Arial"/>
          <w:sz w:val="17"/>
          <w:szCs w:val="17"/>
          <w:color w:val="auto"/>
        </w:rPr>
        <w:t>; “</w:t>
      </w:r>
      <w:r>
        <w:rPr>
          <w:rFonts w:ascii="Arial" w:cs="Arial" w:eastAsia="Arial" w:hAnsi="Arial"/>
          <w:sz w:val="17"/>
          <w:szCs w:val="17"/>
          <w:u w:val="single" w:color="auto"/>
          <w:color w:val="auto"/>
        </w:rPr>
        <w:t>Swiss Withholding Tax</w:t>
      </w:r>
      <w:r>
        <w:rPr>
          <w:rFonts w:ascii="Arial" w:cs="Arial" w:eastAsia="Arial" w:hAnsi="Arial"/>
          <w:sz w:val="17"/>
          <w:szCs w:val="17"/>
          <w:color w:val="auto"/>
        </w:rPr>
        <w:t>”) at the rate of 35% (or such other rate as in force from time to time) from any payment made by it in respect of Restricted Obligations;</w:t>
      </w:r>
    </w:p>
    <w:p>
      <w:pPr>
        <w:spacing w:after="0" w:line="146" w:lineRule="exact"/>
        <w:rPr>
          <w:rFonts w:ascii="Arial" w:cs="Arial" w:eastAsia="Arial" w:hAnsi="Arial"/>
          <w:sz w:val="17"/>
          <w:szCs w:val="17"/>
          <w:color w:val="auto"/>
        </w:rPr>
      </w:pPr>
    </w:p>
    <w:p>
      <w:pPr>
        <w:ind w:left="2020" w:hanging="715"/>
        <w:spacing w:after="0"/>
        <w:tabs>
          <w:tab w:leader="none" w:pos="202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pay any such deduction to the Swiss Federal Tax Administration; and</w:t>
      </w:r>
    </w:p>
    <w:p>
      <w:pPr>
        <w:spacing w:after="0" w:line="225" w:lineRule="exact"/>
        <w:rPr>
          <w:rFonts w:ascii="Arial" w:cs="Arial" w:eastAsia="Arial" w:hAnsi="Arial"/>
          <w:sz w:val="18"/>
          <w:szCs w:val="18"/>
          <w:color w:val="auto"/>
        </w:rPr>
      </w:pPr>
    </w:p>
    <w:p>
      <w:pPr>
        <w:ind w:left="660" w:right="280" w:firstLine="645"/>
        <w:spacing w:after="0" w:line="264" w:lineRule="auto"/>
        <w:tabs>
          <w:tab w:leader="none" w:pos="2018" w:val="left"/>
        </w:tabs>
        <w:numPr>
          <w:ilvl w:val="1"/>
          <w:numId w:val="545"/>
        </w:numPr>
        <w:rPr>
          <w:rFonts w:ascii="Arial" w:cs="Arial" w:eastAsia="Arial" w:hAnsi="Arial"/>
          <w:sz w:val="18"/>
          <w:szCs w:val="18"/>
          <w:color w:val="auto"/>
        </w:rPr>
      </w:pPr>
      <w:r>
        <w:rPr>
          <w:rFonts w:ascii="Arial" w:cs="Arial" w:eastAsia="Arial" w:hAnsi="Arial"/>
          <w:sz w:val="18"/>
          <w:szCs w:val="18"/>
          <w:color w:val="auto"/>
        </w:rPr>
        <w:t>notify the Administrative Agent that such a deduction has been made and provide the Administrative Agent with evidence that such a deduction has been paid to the Swiss Federal Tax Administration, all in accordance with Section 4.02(a) and Section 4.02(f) of the Credit Agreement; and</w:t>
      </w:r>
    </w:p>
    <w:p>
      <w:pPr>
        <w:spacing w:after="0" w:line="181" w:lineRule="exact"/>
        <w:rPr>
          <w:rFonts w:ascii="Arial" w:cs="Arial" w:eastAsia="Arial" w:hAnsi="Arial"/>
          <w:sz w:val="18"/>
          <w:szCs w:val="18"/>
          <w:color w:val="auto"/>
        </w:rPr>
      </w:pPr>
    </w:p>
    <w:p>
      <w:pPr>
        <w:ind w:left="660" w:right="40" w:firstLine="645"/>
        <w:spacing w:after="0" w:line="259" w:lineRule="auto"/>
        <w:tabs>
          <w:tab w:leader="none" w:pos="2013" w:val="left"/>
        </w:tabs>
        <w:numPr>
          <w:ilvl w:val="1"/>
          <w:numId w:val="545"/>
        </w:numPr>
        <w:rPr>
          <w:rFonts w:ascii="Arial" w:cs="Arial" w:eastAsia="Arial" w:hAnsi="Arial"/>
          <w:sz w:val="18"/>
          <w:szCs w:val="18"/>
          <w:color w:val="auto"/>
        </w:rPr>
      </w:pPr>
      <w:r>
        <w:rPr>
          <w:rFonts w:ascii="Arial" w:cs="Arial" w:eastAsia="Arial" w:hAnsi="Arial"/>
          <w:sz w:val="18"/>
          <w:szCs w:val="18"/>
          <w:color w:val="auto"/>
        </w:rPr>
        <w:t xml:space="preserve">to the extent such a deduction is made, not be obliged to either gross-up in accordance with Section 4.02(a) of the Credit Agreement or </w:t>
      </w:r>
      <w:r>
        <w:rPr>
          <w:rFonts w:ascii="Arial" w:cs="Arial" w:eastAsia="Arial" w:hAnsi="Arial"/>
          <w:sz w:val="18"/>
          <w:szCs w:val="18"/>
          <w:u w:val="single" w:color="auto"/>
          <w:color w:val="auto"/>
        </w:rPr>
        <w:t>Section 19(a)</w:t>
      </w:r>
      <w:r>
        <w:rPr>
          <w:rFonts w:ascii="Arial" w:cs="Arial" w:eastAsia="Arial" w:hAnsi="Arial"/>
          <w:sz w:val="18"/>
          <w:szCs w:val="18"/>
          <w:color w:val="auto"/>
        </w:rPr>
        <w:t xml:space="preserve"> of this Guaranty or indemnify any of the Guaranteed Parties in accordance with Section 4.02(b) of the Credit Agreement in relation to any such payment made by it in respect of Restricted Obligations unless grossing-up is permitted under the laws of Switzerland then in force.</w:t>
      </w:r>
    </w:p>
    <w:p>
      <w:pPr>
        <w:sectPr>
          <w:pgSz w:w="11900" w:h="16838" w:orient="portrait"/>
          <w:cols w:equalWidth="0" w:num="1">
            <w:col w:w="11420"/>
          </w:cols>
          <w:pgMar w:left="240" w:top="125" w:right="239" w:bottom="0" w:gutter="0" w:footer="0" w:header="0"/>
        </w:sectPr>
      </w:pPr>
    </w:p>
    <w:bookmarkStart w:id="231" w:name="page232"/>
    <w:bookmarkEnd w:id="231"/>
    <w:p>
      <w:pPr>
        <w:spacing w:after="0" w:line="94" w:lineRule="exact"/>
        <w:rPr>
          <w:sz w:val="20"/>
          <w:szCs w:val="20"/>
          <w:color w:val="auto"/>
        </w:rPr>
      </w:pPr>
    </w:p>
    <w:p>
      <w:pPr>
        <w:ind w:right="260" w:firstLine="656"/>
        <w:spacing w:after="0" w:line="279" w:lineRule="auto"/>
        <w:tabs>
          <w:tab w:leader="none" w:pos="1343" w:val="left"/>
        </w:tabs>
        <w:numPr>
          <w:ilvl w:val="0"/>
          <w:numId w:val="546"/>
        </w:numPr>
        <w:rPr>
          <w:rFonts w:ascii="Arial" w:cs="Arial" w:eastAsia="Arial" w:hAnsi="Arial"/>
          <w:sz w:val="17"/>
          <w:szCs w:val="17"/>
          <w:color w:val="auto"/>
        </w:rPr>
      </w:pPr>
      <w:r>
        <w:rPr>
          <w:rFonts w:ascii="Arial" w:cs="Arial" w:eastAsia="Arial" w:hAnsi="Arial"/>
          <w:sz w:val="17"/>
          <w:szCs w:val="17"/>
          <w:color w:val="auto"/>
        </w:rPr>
        <w:t>If and to the extent requested by the Administrative Agent and if and to the extent this is from time to time required under Swiss law (restricting profit distributions), in order to allow the Guaranteed Parties to obtain a maximum benefit from the relevant Swiss Guarantor’s liabilities under this Guaranty, each Swiss Guarantor undertakes to promptly implement all such measures and/or to promptly obtain the fulfillment of all prerequisites allowing it to promptly make the requested payment(s) hereunder from time to time, including the following:</w:t>
      </w:r>
    </w:p>
    <w:p>
      <w:pPr>
        <w:spacing w:after="0" w:line="171" w:lineRule="exact"/>
        <w:rPr>
          <w:rFonts w:ascii="Arial" w:cs="Arial" w:eastAsia="Arial" w:hAnsi="Arial"/>
          <w:sz w:val="17"/>
          <w:szCs w:val="17"/>
          <w:color w:val="auto"/>
        </w:rPr>
      </w:pPr>
    </w:p>
    <w:p>
      <w:pPr>
        <w:ind w:left="2020" w:hanging="715"/>
        <w:spacing w:after="0"/>
        <w:tabs>
          <w:tab w:leader="none" w:pos="20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preparation of an up-to-date audited balance sheet of such Swiss Guarantor;</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546"/>
        </w:numPr>
        <w:rPr>
          <w:rFonts w:ascii="Arial" w:cs="Arial" w:eastAsia="Arial" w:hAnsi="Arial"/>
          <w:sz w:val="17"/>
          <w:szCs w:val="17"/>
          <w:color w:val="auto"/>
        </w:rPr>
      </w:pPr>
      <w:r>
        <w:rPr>
          <w:rFonts w:ascii="Arial" w:cs="Arial" w:eastAsia="Arial" w:hAnsi="Arial"/>
          <w:sz w:val="17"/>
          <w:szCs w:val="17"/>
          <w:color w:val="auto"/>
        </w:rPr>
        <w:t>confirmation of the auditors of such Swiss Guarantor that the relevant amount represents the maximum freely distributable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profits;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20" w:hanging="715"/>
        <w:spacing w:after="0"/>
        <w:tabs>
          <w:tab w:leader="none" w:pos="202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approval by a quotaholders’ meeting of such Swiss Guarantor of the resulting profit distribution; and</w:t>
      </w:r>
    </w:p>
    <w:p>
      <w:pPr>
        <w:spacing w:after="0" w:line="225" w:lineRule="exact"/>
        <w:rPr>
          <w:rFonts w:ascii="Arial" w:cs="Arial" w:eastAsia="Arial" w:hAnsi="Arial"/>
          <w:sz w:val="18"/>
          <w:szCs w:val="18"/>
          <w:color w:val="auto"/>
        </w:rPr>
      </w:pPr>
    </w:p>
    <w:p>
      <w:pPr>
        <w:ind w:left="660" w:right="140" w:firstLine="645"/>
        <w:spacing w:after="0" w:line="264" w:lineRule="auto"/>
        <w:tabs>
          <w:tab w:leader="none" w:pos="2018" w:val="left"/>
        </w:tabs>
        <w:numPr>
          <w:ilvl w:val="0"/>
          <w:numId w:val="547"/>
        </w:numPr>
        <w:rPr>
          <w:rFonts w:ascii="Arial" w:cs="Arial" w:eastAsia="Arial" w:hAnsi="Arial"/>
          <w:sz w:val="18"/>
          <w:szCs w:val="18"/>
          <w:color w:val="auto"/>
        </w:rPr>
      </w:pPr>
      <w:r>
        <w:rPr>
          <w:rFonts w:ascii="Arial" w:cs="Arial" w:eastAsia="Arial" w:hAnsi="Arial"/>
          <w:sz w:val="18"/>
          <w:szCs w:val="18"/>
          <w:color w:val="auto"/>
        </w:rPr>
        <w:t>to the extent permitted by applicable law, write up any of the assets of the relevant Swiss Guarantor that are shown in its balance sheet with a book value that is significantly lower than the market value of the assets and provided that such write-up would not have materially adverse tax consequences for such Swiss Guarantor or any of its affiliates.</w:t>
      </w:r>
    </w:p>
    <w:p>
      <w:pPr>
        <w:spacing w:after="0" w:line="18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Stay of Acceleration</w:t>
      </w:r>
      <w:r>
        <w:rPr>
          <w:rFonts w:ascii="Arial" w:cs="Arial" w:eastAsia="Arial" w:hAnsi="Arial"/>
          <w:sz w:val="18"/>
          <w:szCs w:val="18"/>
          <w:color w:val="auto"/>
        </w:rPr>
        <w:t>. If acceleration (in accordance with the provisions of the Credit Agreement, any Swap Agreement evidencing Swap Obligations, any Banking Services Agreement or any other Loan Document, as applicable) of the time for payment of any amount payable by any Borrower under the Credit Agreement, or any counterparty under any Swap Agreement evidencing Swap Obligations, any Banking Services Agreement or any other Loan Document is stayed upon the insolvency, bankruptcy, administration or reorganization of any Borrower or any of such Borrower’s Affiliates, all such amounts otherwise subject to acceleration (but for such stay) under the terms of the Credit Agreement, any Swap Agreement evidencing Swap Obligations, any Banking Services Agreement or any other Loan Document shall nonetheless be payable by each of the Guarantors hereunder forthwith on demand by the Administrative Agent.</w:t>
      </w:r>
    </w:p>
    <w:p>
      <w:pPr>
        <w:spacing w:after="0" w:line="18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and other communications to any party hereunder shall be given in the manner prescribed in Section 11.02 of the Credit Agreement with respect to the Administrative Agent at its notice address therein and, with respect to any Guarantor, in the care of Weatherford International, LLC, as provided and at the notice address set forth in the Credit Agreement, or such other address or telecopy number as such party may hereafter specify for such purpose in accordance with the provisions of Section 11.02 of the Credit Agreement.</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 Waivers</w:t>
      </w:r>
      <w:r>
        <w:rPr>
          <w:rFonts w:ascii="Arial" w:cs="Arial" w:eastAsia="Arial" w:hAnsi="Arial"/>
          <w:sz w:val="18"/>
          <w:szCs w:val="18"/>
          <w:color w:val="auto"/>
        </w:rPr>
        <w:t>. No failure or delay by the Administrative Agent or any other Guaranteed Party in exercising any right, power or privilege hereunder shall operate as a waiver thereof nor shall any single or partial exercise thereof preclude any other or further exercise thereof or the exercise of any other right, power or privilege. The rights and remedies provided in this Guaranty, the Credit Agreement, any Swap Agreement evidencing Swap Obligations, any Banking Services Agreement and the other Loan Documents shall be cumulative and not exclusive of any rights or remedies provided by law.</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Guaranty is for the benefit of the Administrative Agent and the other Guaranteed Parties and their respective successors and permitted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in a transaction permitted pursuant to the Credit Agreement, no Guarantor shall have any right to assign its rights or obligations hereunder without the consent of the Administrative Agent, and any such assignment in violation of this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shall be null and void; and in the event of an assignment of any amounts payable under the Credit Agreement, any Swap Agreement evidencing Swap Obligations, any Banking Services Agreement or the other Loan Documents in accordance with the respective terms thereof, the rights hereunder, to the extent applicable to the indebtedness so assigned, shall be transferred with such indebtedness. This Guaranty shall be binding upon each of the Guarantors and their respective successors and assigns.</w:t>
      </w:r>
    </w:p>
    <w:p>
      <w:pPr>
        <w:spacing w:after="0" w:line="18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Amendments; Waivers</w:t>
      </w:r>
      <w:r>
        <w:rPr>
          <w:rFonts w:ascii="Arial" w:cs="Arial" w:eastAsia="Arial" w:hAnsi="Arial"/>
          <w:sz w:val="18"/>
          <w:szCs w:val="18"/>
          <w:color w:val="auto"/>
        </w:rPr>
        <w:t xml:space="preserve">. Other than in connection with the addition of additional Subsidiaries that become parties hereto by executing a Guaranty Supplement hereto in the form attached as </w:t>
      </w:r>
      <w:r>
        <w:rPr>
          <w:rFonts w:ascii="Arial" w:cs="Arial" w:eastAsia="Arial" w:hAnsi="Arial"/>
          <w:sz w:val="18"/>
          <w:szCs w:val="18"/>
          <w:u w:val="single" w:color="auto"/>
          <w:color w:val="auto"/>
        </w:rPr>
        <w:t>Annex I</w:t>
      </w:r>
      <w:r>
        <w:rPr>
          <w:rFonts w:ascii="Arial" w:cs="Arial" w:eastAsia="Arial" w:hAnsi="Arial"/>
          <w:sz w:val="18"/>
          <w:szCs w:val="18"/>
          <w:color w:val="auto"/>
        </w:rPr>
        <w:t>, neither this Guaranty nor any provision hereof may be amended, waived, discharged or terminated orally, but only in writing signed by each of the Guarantors and the Administrative Agent (it being understood and agreed that any Guaranty Supplement providing for the addition of a Guarantor organized under the laws of a new Specified Jurisdiction may modify this Guaranty to incorporate 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provisions specific to the applicable laws of such Specified Jurisdiction, as agreed to between such new Guarantor and the Administrative Agent).</w:t>
      </w:r>
    </w:p>
    <w:p>
      <w:pPr>
        <w:spacing w:after="0" w:line="23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u w:val="single" w:color="auto"/>
          <w:color w:val="auto"/>
        </w:rPr>
        <w:t>Governing Law; Jurisdiction; Waiver of Jury Trial</w:t>
      </w:r>
      <w:r>
        <w:rPr>
          <w:rFonts w:ascii="Arial" w:cs="Arial" w:eastAsia="Arial" w:hAnsi="Arial"/>
          <w:sz w:val="16"/>
          <w:szCs w:val="16"/>
          <w:color w:val="auto"/>
        </w:rPr>
        <w:t>.</w:t>
      </w:r>
    </w:p>
    <w:p>
      <w:pPr>
        <w:spacing w:after="0" w:line="221" w:lineRule="exact"/>
        <w:rPr>
          <w:sz w:val="20"/>
          <w:szCs w:val="20"/>
          <w:color w:val="auto"/>
        </w:rPr>
      </w:pPr>
    </w:p>
    <w:p>
      <w:pPr>
        <w:ind w:right="120" w:firstLine="656"/>
        <w:spacing w:after="0" w:line="282" w:lineRule="auto"/>
        <w:tabs>
          <w:tab w:leader="none" w:pos="1343" w:val="left"/>
        </w:tabs>
        <w:numPr>
          <w:ilvl w:val="0"/>
          <w:numId w:val="548"/>
        </w:numPr>
        <w:rPr>
          <w:rFonts w:ascii="Arial" w:cs="Arial" w:eastAsia="Arial" w:hAnsi="Arial"/>
          <w:sz w:val="18"/>
          <w:szCs w:val="18"/>
          <w:color w:val="auto"/>
        </w:rPr>
      </w:pPr>
      <w:r>
        <w:rPr>
          <w:rFonts w:ascii="Arial" w:cs="Arial" w:eastAsia="Arial" w:hAnsi="Arial"/>
          <w:sz w:val="18"/>
          <w:szCs w:val="18"/>
          <w:b w:val="1"/>
          <w:bCs w:val="1"/>
          <w:color w:val="auto"/>
        </w:rPr>
        <w:t>THIS GUARANTY, INCLUDING THE SUBMISSION TO JURISDICTION AS SET OUT HEREIN, SHALL BE CONSTRUED IN ACCORDANCE WITH AND GOVERNED BY THE LAW OF THE STATE OF NEW YORK.</w:t>
      </w:r>
    </w:p>
    <w:p>
      <w:pPr>
        <w:spacing w:after="0" w:line="165" w:lineRule="exact"/>
        <w:rPr>
          <w:rFonts w:ascii="Arial" w:cs="Arial" w:eastAsia="Arial" w:hAnsi="Arial"/>
          <w:sz w:val="18"/>
          <w:szCs w:val="18"/>
          <w:color w:val="auto"/>
        </w:rPr>
      </w:pPr>
    </w:p>
    <w:p>
      <w:pPr>
        <w:jc w:val="both"/>
        <w:ind w:firstLine="656"/>
        <w:spacing w:after="0" w:line="259" w:lineRule="auto"/>
        <w:tabs>
          <w:tab w:leader="none" w:pos="1353" w:val="left"/>
        </w:tabs>
        <w:numPr>
          <w:ilvl w:val="0"/>
          <w:numId w:val="548"/>
        </w:numPr>
        <w:rPr>
          <w:rFonts w:ascii="Arial" w:cs="Arial" w:eastAsia="Arial" w:hAnsi="Arial"/>
          <w:sz w:val="18"/>
          <w:szCs w:val="18"/>
          <w:color w:val="auto"/>
        </w:rPr>
      </w:pPr>
      <w:r>
        <w:rPr>
          <w:rFonts w:ascii="Arial" w:cs="Arial" w:eastAsia="Arial" w:hAnsi="Arial"/>
          <w:sz w:val="18"/>
          <w:szCs w:val="18"/>
          <w:color w:val="auto"/>
        </w:rPr>
        <w:t>If a Guarantor incorporated under the laws of the Netherlands is represented by an attorney in connection with the signing and/or execution of this Guaranty or any other agreement, deed or document referred to in or made pursuant to this Guaranty, it is hereby expressly acknowledged and accepted by the other parties to this Guaranty that the existence and extent of the attorney’s authority and the effects of the attorney’s exercise or purported exercise of his or her authority shall be governed by the laws of the Netherlands.</w:t>
      </w:r>
    </w:p>
    <w:p>
      <w:pPr>
        <w:spacing w:after="0" w:line="186" w:lineRule="exact"/>
        <w:rPr>
          <w:rFonts w:ascii="Arial" w:cs="Arial" w:eastAsia="Arial" w:hAnsi="Arial"/>
          <w:sz w:val="18"/>
          <w:szCs w:val="18"/>
          <w:color w:val="auto"/>
        </w:rPr>
      </w:pPr>
    </w:p>
    <w:p>
      <w:pPr>
        <w:ind w:right="20" w:firstLine="656"/>
        <w:spacing w:after="0" w:line="291" w:lineRule="auto"/>
        <w:tabs>
          <w:tab w:leader="none" w:pos="1343" w:val="left"/>
        </w:tabs>
        <w:numPr>
          <w:ilvl w:val="0"/>
          <w:numId w:val="548"/>
        </w:numPr>
        <w:rPr>
          <w:rFonts w:ascii="Arial" w:cs="Arial" w:eastAsia="Arial" w:hAnsi="Arial"/>
          <w:sz w:val="16"/>
          <w:szCs w:val="16"/>
          <w:color w:val="auto"/>
        </w:rPr>
      </w:pPr>
      <w:r>
        <w:rPr>
          <w:rFonts w:ascii="Arial" w:cs="Arial" w:eastAsia="Arial" w:hAnsi="Arial"/>
          <w:sz w:val="16"/>
          <w:szCs w:val="16"/>
          <w:color w:val="auto"/>
        </w:rPr>
        <w:t>Each Guarantor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Guaranty or any other Loan Document, or for recognition or enforcement of any judgment, and each Guarantor hereby irrevocably and unconditionally agrees that all claims in respect of any such action or proceeding may be heard and determined in such New York State court or, to the extent permitted by law, in such Federal court. Each party hereto agrees that a final, non-appealable judgment in any such action or proceeding shall be conclusive and may be enforced in other jurisdictions by suit on the judgment or in any other manner provided by law. Nothing in this Guaranty or any other Loan Document (including this</w:t>
      </w:r>
    </w:p>
    <w:p>
      <w:pPr>
        <w:sectPr>
          <w:pgSz w:w="11900" w:h="16932" w:orient="portrait"/>
          <w:cols w:equalWidth="0" w:num="1">
            <w:col w:w="11420"/>
          </w:cols>
          <w:pgMar w:left="240" w:top="125" w:right="239" w:bottom="0" w:gutter="0" w:footer="0" w:header="0"/>
        </w:sectPr>
      </w:pPr>
    </w:p>
    <w:bookmarkStart w:id="232" w:name="page233"/>
    <w:bookmarkEnd w:id="232"/>
    <w:p>
      <w:pPr>
        <w:ind w:right="80"/>
        <w:spacing w:after="0" w:line="277" w:lineRule="auto"/>
        <w:rPr>
          <w:sz w:val="20"/>
          <w:szCs w:val="20"/>
          <w:color w:val="auto"/>
        </w:rPr>
      </w:pPr>
      <w:r>
        <w:rPr>
          <w:rFonts w:ascii="Arial" w:cs="Arial" w:eastAsia="Arial" w:hAnsi="Arial"/>
          <w:sz w:val="18"/>
          <w:szCs w:val="18"/>
          <w:u w:val="single" w:color="auto"/>
          <w:color w:val="auto"/>
        </w:rPr>
        <w:t>Section 17</w:t>
      </w:r>
      <w:r>
        <w:rPr>
          <w:rFonts w:ascii="Arial" w:cs="Arial" w:eastAsia="Arial" w:hAnsi="Arial"/>
          <w:sz w:val="18"/>
          <w:szCs w:val="18"/>
          <w:color w:val="auto"/>
        </w:rPr>
        <w:t>) shall affect any right that any Guaranteed Party may otherwise have to bring any suit, action or proceeding relating to this Guaranty or any other Loan Document against any Guarantor or its properties in the courts of any jurisdiction.</w:t>
      </w:r>
    </w:p>
    <w:p>
      <w:pPr>
        <w:spacing w:after="0" w:line="170" w:lineRule="exact"/>
        <w:rPr>
          <w:sz w:val="20"/>
          <w:szCs w:val="20"/>
          <w:color w:val="auto"/>
        </w:rPr>
      </w:pPr>
    </w:p>
    <w:p>
      <w:pPr>
        <w:ind w:right="260" w:firstLine="656"/>
        <w:spacing w:after="0" w:line="279" w:lineRule="auto"/>
        <w:tabs>
          <w:tab w:leader="none" w:pos="1398" w:val="left"/>
        </w:tabs>
        <w:numPr>
          <w:ilvl w:val="0"/>
          <w:numId w:val="549"/>
        </w:numPr>
        <w:rPr>
          <w:rFonts w:ascii="Arial" w:cs="Arial" w:eastAsia="Arial" w:hAnsi="Arial"/>
          <w:sz w:val="17"/>
          <w:szCs w:val="17"/>
          <w:color w:val="auto"/>
        </w:rPr>
      </w:pPr>
      <w:r>
        <w:rPr>
          <w:rFonts w:ascii="Arial" w:cs="Arial" w:eastAsia="Arial" w:hAnsi="Arial"/>
          <w:sz w:val="17"/>
          <w:szCs w:val="17"/>
          <w:color w:val="auto"/>
        </w:rPr>
        <w:t>Each Guarantor hereby irrevocably and unconditionally waives, to the fullest extent it may legally and effectively do so, any objection which it may now or hereafter have to the laying of venue of any suit, action or proceeding arising out of or relating to this Guaranty or any other Loan Document in any court referred to in paragraph (c) of this Section. Each Guarantor hereby irrevocably waives, to the fullest extent permitted by law, the defense of an inconvenient forum to the maintenance of such action or proceeding in any such court.</w:t>
      </w:r>
    </w:p>
    <w:p>
      <w:pPr>
        <w:spacing w:after="0" w:line="171" w:lineRule="exact"/>
        <w:rPr>
          <w:rFonts w:ascii="Arial" w:cs="Arial" w:eastAsia="Arial" w:hAnsi="Arial"/>
          <w:sz w:val="17"/>
          <w:szCs w:val="17"/>
          <w:color w:val="auto"/>
        </w:rPr>
      </w:pPr>
    </w:p>
    <w:p>
      <w:pPr>
        <w:ind w:firstLine="656"/>
        <w:spacing w:after="0" w:line="273" w:lineRule="auto"/>
        <w:tabs>
          <w:tab w:leader="none" w:pos="1388" w:val="left"/>
        </w:tabs>
        <w:numPr>
          <w:ilvl w:val="0"/>
          <w:numId w:val="549"/>
        </w:numPr>
        <w:rPr>
          <w:rFonts w:ascii="Arial" w:cs="Arial" w:eastAsia="Arial" w:hAnsi="Arial"/>
          <w:sz w:val="17"/>
          <w:szCs w:val="17"/>
          <w:color w:val="auto"/>
        </w:rPr>
      </w:pPr>
      <w:r>
        <w:rPr>
          <w:rFonts w:ascii="Arial" w:cs="Arial" w:eastAsia="Arial" w:hAnsi="Arial"/>
          <w:sz w:val="17"/>
          <w:szCs w:val="17"/>
          <w:color w:val="auto"/>
        </w:rPr>
        <w:t xml:space="preserve">Each party to this Guaranty irrevocably consents to service of process in the manner provided for notices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of this Guaranty other than by facsimile, and each Guarantor (i) that is a domestic Obligor hereby appoints Weatherford International, LLC as its agent for service of process and (ii) that is a foreign Obligor hereby irrevocably designates CT Corporation System, 111 8th Avenue, New York, New York 10011, as the designee, appointee and agent of such foreign Obligor to receive, for and on behalf of such foreign Obligor, service of process in the State of New York, in each case in any suit, action or proceeding arising out of or relating to this Guaranty or any other Loan Document. Nothing in this Guaranty or any other Loan Document will affect the right of any party to this Guaranty to serve process in any other manner permitted by law.</w:t>
      </w:r>
    </w:p>
    <w:p>
      <w:pPr>
        <w:spacing w:after="0" w:line="178" w:lineRule="exact"/>
        <w:rPr>
          <w:rFonts w:ascii="Arial" w:cs="Arial" w:eastAsia="Arial" w:hAnsi="Arial"/>
          <w:sz w:val="17"/>
          <w:szCs w:val="17"/>
          <w:color w:val="auto"/>
        </w:rPr>
      </w:pPr>
    </w:p>
    <w:p>
      <w:pPr>
        <w:jc w:val="both"/>
        <w:ind w:right="20" w:firstLine="656"/>
        <w:spacing w:after="0" w:line="264" w:lineRule="auto"/>
        <w:tabs>
          <w:tab w:leader="none" w:pos="1413" w:val="left"/>
        </w:tabs>
        <w:numPr>
          <w:ilvl w:val="0"/>
          <w:numId w:val="549"/>
        </w:numPr>
        <w:rPr>
          <w:rFonts w:ascii="Arial" w:cs="Arial" w:eastAsia="Arial" w:hAnsi="Arial"/>
          <w:sz w:val="18"/>
          <w:szCs w:val="18"/>
          <w:color w:val="auto"/>
        </w:rPr>
      </w:pPr>
      <w:r>
        <w:rPr>
          <w:rFonts w:ascii="Arial" w:cs="Arial" w:eastAsia="Arial" w:hAnsi="Arial"/>
          <w:sz w:val="18"/>
          <w:szCs w:val="18"/>
          <w:color w:val="auto"/>
        </w:rPr>
        <w:t>Each Guarantor agrees that any suit, action or proceeding brought by any Guarantor or any of their respective Subsidiaries relating to this Guaranty or any other Loan Document against any Guaranteed Party or any Affiliate of a Guaranteed Party shall be brought exclusively in the United States District Court for the Southern District of New York (or the state courts sitting in the Borough of</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Manhattan in the event the Southern District of New York lacks subject matter jurisdiction), and any appellate court from any thereof, unless no such court shall accept jurisdiction.</w:t>
      </w:r>
    </w:p>
    <w:p>
      <w:pPr>
        <w:spacing w:after="0" w:line="170" w:lineRule="exact"/>
        <w:rPr>
          <w:sz w:val="20"/>
          <w:szCs w:val="20"/>
          <w:color w:val="auto"/>
        </w:rPr>
      </w:pPr>
    </w:p>
    <w:p>
      <w:pPr>
        <w:ind w:firstLine="656"/>
        <w:spacing w:after="0" w:line="291" w:lineRule="auto"/>
        <w:tabs>
          <w:tab w:leader="none" w:pos="1353" w:val="left"/>
        </w:tabs>
        <w:numPr>
          <w:ilvl w:val="1"/>
          <w:numId w:val="550"/>
        </w:numPr>
        <w:rPr>
          <w:rFonts w:ascii="Arial" w:cs="Arial" w:eastAsia="Arial" w:hAnsi="Arial"/>
          <w:sz w:val="16"/>
          <w:szCs w:val="16"/>
          <w:color w:val="auto"/>
        </w:rPr>
      </w:pPr>
      <w:r>
        <w:rPr>
          <w:rFonts w:ascii="Arial" w:cs="Arial" w:eastAsia="Arial" w:hAnsi="Arial"/>
          <w:sz w:val="16"/>
          <w:szCs w:val="16"/>
          <w:color w:val="auto"/>
        </w:rPr>
        <w:t>The Administrative Agent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Guaranty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167" w:lineRule="exact"/>
        <w:rPr>
          <w:rFonts w:ascii="Arial" w:cs="Arial" w:eastAsia="Arial" w:hAnsi="Arial"/>
          <w:sz w:val="16"/>
          <w:szCs w:val="16"/>
          <w:color w:val="auto"/>
        </w:rPr>
      </w:pPr>
    </w:p>
    <w:p>
      <w:pPr>
        <w:ind w:right="20" w:firstLine="656"/>
        <w:spacing w:after="0" w:line="279" w:lineRule="auto"/>
        <w:tabs>
          <w:tab w:leader="none" w:pos="1353" w:val="left"/>
        </w:tabs>
        <w:numPr>
          <w:ilvl w:val="1"/>
          <w:numId w:val="550"/>
        </w:numPr>
        <w:rPr>
          <w:rFonts w:ascii="Arial" w:cs="Arial" w:eastAsia="Arial" w:hAnsi="Arial"/>
          <w:sz w:val="17"/>
          <w:szCs w:val="17"/>
          <w:color w:val="auto"/>
        </w:rPr>
      </w:pPr>
      <w:r>
        <w:rPr>
          <w:rFonts w:ascii="Arial" w:cs="Arial" w:eastAsia="Arial" w:hAnsi="Arial"/>
          <w:sz w:val="17"/>
          <w:szCs w:val="17"/>
          <w:color w:val="auto"/>
        </w:rPr>
        <w:t>The Administrative Agent hereby irrevocably and unconditionally waives, to the fullest extent it may legally and effectively do so, any objection which it may now or hereafter have to the laying of venue of any suit, action or proceeding arising out of or relating to this Guaranty or any other Loan Document in any court referred to in paragraph (f) of this Section. The Administrative Agent hereby irrevocably waives, to the fullest extent permitted by law, the defense of an inconvenient forum to the maintenance of such action or proceeding in any such court</w:t>
      </w:r>
    </w:p>
    <w:p>
      <w:pPr>
        <w:spacing w:after="0" w:line="171" w:lineRule="exact"/>
        <w:rPr>
          <w:rFonts w:ascii="Arial" w:cs="Arial" w:eastAsia="Arial" w:hAnsi="Arial"/>
          <w:sz w:val="17"/>
          <w:szCs w:val="17"/>
          <w:color w:val="auto"/>
        </w:rPr>
      </w:pPr>
    </w:p>
    <w:p>
      <w:pPr>
        <w:ind w:right="100" w:firstLine="656"/>
        <w:spacing w:after="0" w:line="286" w:lineRule="auto"/>
        <w:tabs>
          <w:tab w:leader="none" w:pos="1358" w:val="left"/>
        </w:tabs>
        <w:numPr>
          <w:ilvl w:val="1"/>
          <w:numId w:val="550"/>
        </w:numPr>
        <w:rPr>
          <w:rFonts w:ascii="Arial" w:cs="Arial" w:eastAsia="Arial" w:hAnsi="Arial"/>
          <w:sz w:val="17"/>
          <w:szCs w:val="17"/>
          <w:color w:val="auto"/>
        </w:rPr>
      </w:pPr>
      <w:r>
        <w:rPr>
          <w:rFonts w:ascii="Arial" w:cs="Arial" w:eastAsia="Arial" w:hAnsi="Arial"/>
          <w:sz w:val="17"/>
          <w:szCs w:val="17"/>
          <w:color w:val="auto"/>
        </w:rPr>
        <w:t>To the extent that any Guarantor has or hereafter may acquire any immunity from jurisdiction of any court or from set-off or any legal process (whether through service or notice, attachment prior to judgment, attachment in aid of execution, execution or otherwise) with respect to itself or its property, such Guarantor hereby irrevocably waives such immunity in respect of its obligations under the Loan Documents.</w:t>
      </w:r>
    </w:p>
    <w:p>
      <w:pPr>
        <w:spacing w:after="0" w:line="161" w:lineRule="exact"/>
        <w:rPr>
          <w:rFonts w:ascii="Arial" w:cs="Arial" w:eastAsia="Arial" w:hAnsi="Arial"/>
          <w:sz w:val="17"/>
          <w:szCs w:val="17"/>
          <w:color w:val="auto"/>
        </w:rPr>
      </w:pPr>
    </w:p>
    <w:p>
      <w:pPr>
        <w:ind w:right="20" w:firstLine="656"/>
        <w:spacing w:after="0" w:line="254" w:lineRule="auto"/>
        <w:tabs>
          <w:tab w:leader="none" w:pos="1358" w:val="left"/>
        </w:tabs>
        <w:numPr>
          <w:ilvl w:val="1"/>
          <w:numId w:val="550"/>
        </w:numPr>
        <w:rPr>
          <w:rFonts w:ascii="Arial" w:cs="Arial" w:eastAsia="Arial" w:hAnsi="Arial"/>
          <w:sz w:val="18"/>
          <w:szCs w:val="18"/>
          <w:color w:val="auto"/>
        </w:rPr>
      </w:pPr>
      <w:r>
        <w:rPr>
          <w:rFonts w:ascii="Arial" w:cs="Arial" w:eastAsia="Arial" w:hAnsi="Arial"/>
          <w:sz w:val="18"/>
          <w:szCs w:val="18"/>
          <w:b w:val="1"/>
          <w:bCs w:val="1"/>
          <w:color w:val="auto"/>
        </w:rPr>
        <w:t>EACH PARTY HERETO HEREBY WAIVES, TO THE FULLEST EXTENT PERMITTED BY APPLICABLE LAW, ANY RIGHT IT MAY HAVE TO A TRIAL BY JURY IN ANY LEGAL PROCEEDING DIRECTLY OR INDIRECTLY ARISING OUT OF OR RELATING TO THIS GUARANTY,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jc w:val="both"/>
        <w:ind w:right="100" w:firstLine="8"/>
        <w:spacing w:after="0" w:line="261" w:lineRule="auto"/>
        <w:tabs>
          <w:tab w:leader="none" w:pos="275" w:val="left"/>
        </w:tabs>
        <w:numPr>
          <w:ilvl w:val="0"/>
          <w:numId w:val="551"/>
        </w:numPr>
        <w:rPr>
          <w:rFonts w:ascii="Arial" w:cs="Arial" w:eastAsia="Arial" w:hAnsi="Arial"/>
          <w:sz w:val="18"/>
          <w:szCs w:val="18"/>
          <w:b w:val="1"/>
          <w:bCs w:val="1"/>
          <w:color w:val="auto"/>
        </w:rPr>
      </w:pPr>
      <w:r>
        <w:rPr>
          <w:rFonts w:ascii="Arial" w:cs="Arial" w:eastAsia="Arial" w:hAnsi="Arial"/>
          <w:sz w:val="18"/>
          <w:szCs w:val="18"/>
          <w:b w:val="1"/>
          <w:bCs w:val="1"/>
          <w:color w:val="auto"/>
        </w:rPr>
        <w:t>ACKNOWLEDGES THAT IT AND THE OTHER PARTIES HERETO HAVE BEEN INDUCED TO ENTER INTO THIS GUARANTY AND THE OTHER LOAN DOCUMENTS BY, AMONG OTHER THINGS, THE MUTUAL WAIVERS AND CERTIFICATIONS IN THIS SECTION.</w:t>
      </w:r>
    </w:p>
    <w:p>
      <w:pPr>
        <w:spacing w:after="0" w:line="184"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No Strict Construction</w:t>
      </w:r>
      <w:r>
        <w:rPr>
          <w:rFonts w:ascii="Arial" w:cs="Arial" w:eastAsia="Arial" w:hAnsi="Arial"/>
          <w:sz w:val="17"/>
          <w:szCs w:val="17"/>
          <w:color w:val="auto"/>
        </w:rPr>
        <w:t>. The parties hereto have participated jointly in the negotiation and drafting of this Guaranty. In the event an ambiguity or question of intent or interpretation arises, this Guaranty shall be construed as if drafted jointly by the parties hereto and no presumption or burden of proof shall arise favoring or disfavoring any party by virtue of the authorship of any provisions of this Guaranty.</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6"/>
          <w:szCs w:val="16"/>
          <w:u w:val="single" w:color="auto"/>
          <w:color w:val="auto"/>
        </w:rPr>
        <w:t>Taxes, Expenses of Enforcement, Etc.</w:t>
      </w:r>
    </w:p>
    <w:p>
      <w:pPr>
        <w:spacing w:after="0" w:line="225" w:lineRule="exact"/>
        <w:rPr>
          <w:sz w:val="20"/>
          <w:szCs w:val="20"/>
          <w:color w:val="auto"/>
        </w:rPr>
      </w:pPr>
    </w:p>
    <w:p>
      <w:pPr>
        <w:ind w:left="1360" w:hanging="704"/>
        <w:spacing w:after="0"/>
        <w:tabs>
          <w:tab w:leader="none" w:pos="1360" w:val="left"/>
        </w:tabs>
        <w:numPr>
          <w:ilvl w:val="0"/>
          <w:numId w:val="552"/>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60" w:firstLine="969"/>
        <w:spacing w:after="0" w:line="273" w:lineRule="auto"/>
        <w:tabs>
          <w:tab w:leader="none" w:pos="1982" w:val="left"/>
        </w:tabs>
        <w:numPr>
          <w:ilvl w:val="2"/>
          <w:numId w:val="552"/>
        </w:numPr>
        <w:rPr>
          <w:rFonts w:ascii="Arial" w:cs="Arial" w:eastAsia="Arial" w:hAnsi="Arial"/>
          <w:sz w:val="17"/>
          <w:szCs w:val="17"/>
          <w:color w:val="auto"/>
        </w:rPr>
      </w:pPr>
      <w:r>
        <w:rPr>
          <w:rFonts w:ascii="Arial" w:cs="Arial" w:eastAsia="Arial" w:hAnsi="Arial"/>
          <w:sz w:val="17"/>
          <w:szCs w:val="17"/>
          <w:color w:val="auto"/>
        </w:rPr>
        <w:t xml:space="preserve">Any and all payments by or on account of any obligation of a Guarantor hereunder or under any promissory note shall be made free and clear of and without deduction for any Indemnified Taxes or Other Taxes;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Guarantor shall be required to deduct any Indemnified Taxes or Other Taxes from such payments, then (A) the sum payable shall be increased as necessary so that after making all required deductions (including deductions applicable to additional sums payable under this Section) the Recipient receives an amount equal to the sum it would have received had no such deductions been made, (B) such Guarantor shall make such deductions and (C) such Guarantor shall pay the full amount deducted to the relevant Governmental Authority in accordance with applicable law.</w:t>
      </w:r>
    </w:p>
    <w:p>
      <w:pPr>
        <w:spacing w:after="0" w:line="178" w:lineRule="exact"/>
        <w:rPr>
          <w:rFonts w:ascii="Arial" w:cs="Arial" w:eastAsia="Arial" w:hAnsi="Arial"/>
          <w:sz w:val="17"/>
          <w:szCs w:val="17"/>
          <w:color w:val="auto"/>
        </w:rPr>
      </w:pPr>
    </w:p>
    <w:p>
      <w:pPr>
        <w:ind w:left="660" w:right="120" w:firstLine="645"/>
        <w:spacing w:after="0" w:line="312" w:lineRule="auto"/>
        <w:tabs>
          <w:tab w:leader="none" w:pos="2023" w:val="left"/>
        </w:tabs>
        <w:numPr>
          <w:ilvl w:val="1"/>
          <w:numId w:val="552"/>
        </w:numPr>
        <w:rPr>
          <w:rFonts w:ascii="Arial" w:cs="Arial" w:eastAsia="Arial" w:hAnsi="Arial"/>
          <w:sz w:val="16"/>
          <w:szCs w:val="16"/>
          <w:color w:val="auto"/>
        </w:rPr>
      </w:pPr>
      <w:r>
        <w:rPr>
          <w:rFonts w:ascii="Arial" w:cs="Arial" w:eastAsia="Arial" w:hAnsi="Arial"/>
          <w:sz w:val="16"/>
          <w:szCs w:val="16"/>
          <w:color w:val="auto"/>
        </w:rPr>
        <w:t>As soon as practical after any payment of Indemnified or Other Taxes by any Guarantor to a Governmental Authority, such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ectPr>
          <w:pgSz w:w="11900" w:h="16838" w:orient="portrait"/>
          <w:cols w:equalWidth="0" w:num="1">
            <w:col w:w="11340"/>
          </w:cols>
          <w:pgMar w:left="240" w:top="125" w:right="319" w:bottom="0" w:gutter="0" w:footer="0" w:header="0"/>
        </w:sectPr>
      </w:pPr>
    </w:p>
    <w:bookmarkStart w:id="233" w:name="page234"/>
    <w:bookmarkEnd w:id="233"/>
    <w:p>
      <w:pPr>
        <w:spacing w:after="0" w:line="114" w:lineRule="exact"/>
        <w:rPr>
          <w:sz w:val="20"/>
          <w:szCs w:val="20"/>
          <w:color w:val="auto"/>
        </w:rPr>
      </w:pPr>
    </w:p>
    <w:p>
      <w:pPr>
        <w:ind w:left="660" w:right="80" w:firstLine="645"/>
        <w:spacing w:after="0" w:line="290" w:lineRule="auto"/>
        <w:tabs>
          <w:tab w:leader="none" w:pos="2028" w:val="left"/>
        </w:tabs>
        <w:numPr>
          <w:ilvl w:val="0"/>
          <w:numId w:val="553"/>
        </w:numPr>
        <w:rPr>
          <w:rFonts w:ascii="Arial" w:cs="Arial" w:eastAsia="Arial" w:hAnsi="Arial"/>
          <w:sz w:val="16"/>
          <w:szCs w:val="16"/>
          <w:color w:val="auto"/>
        </w:rPr>
      </w:pPr>
      <w:r>
        <w:rPr>
          <w:rFonts w:ascii="Arial" w:cs="Arial" w:eastAsia="Arial" w:hAnsi="Arial"/>
          <w:sz w:val="16"/>
          <w:szCs w:val="16"/>
          <w:color w:val="auto"/>
        </w:rPr>
        <w:t xml:space="preserve">The Guarantors, jointly and severally, shall indemnify the each Recipient, within twenty (20) days after written demand therefor, for the full amount of any Indemnified Taxes or Other Taxes paid by such Recipient on or with respect to any payment by or on account of any obligation of a Guarantor hereunder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Guarantors shall not be liable for any penalties, interest or expenses that result from the failure of the Recipient to notify the Guarantors of the Indemnified Taxes or Other Taxes within a reasonable period of time after becoming aware of such Indemnified Taxes or Other Taxes. A certificate as to the amount of such payment or liability delivered to the Guarantors by a Recipient shall be presumed correct absent manifest error.</w:t>
      </w:r>
    </w:p>
    <w:p>
      <w:pPr>
        <w:spacing w:after="0" w:line="166" w:lineRule="exact"/>
        <w:rPr>
          <w:rFonts w:ascii="Arial" w:cs="Arial" w:eastAsia="Arial" w:hAnsi="Arial"/>
          <w:sz w:val="16"/>
          <w:szCs w:val="16"/>
          <w:color w:val="auto"/>
        </w:rPr>
      </w:pPr>
    </w:p>
    <w:p>
      <w:pPr>
        <w:ind w:left="2020" w:hanging="715"/>
        <w:spacing w:after="0"/>
        <w:tabs>
          <w:tab w:leader="none" w:pos="2020" w:val="left"/>
        </w:tabs>
        <w:numPr>
          <w:ilvl w:val="0"/>
          <w:numId w:val="553"/>
        </w:numPr>
        <w:rPr>
          <w:rFonts w:ascii="Arial" w:cs="Arial" w:eastAsia="Arial" w:hAnsi="Arial"/>
          <w:sz w:val="16"/>
          <w:szCs w:val="16"/>
          <w:color w:val="auto"/>
        </w:rPr>
      </w:pPr>
      <w:r>
        <w:rPr>
          <w:rFonts w:ascii="Arial" w:cs="Arial" w:eastAsia="Arial" w:hAnsi="Arial"/>
          <w:sz w:val="16"/>
          <w:szCs w:val="16"/>
          <w:color w:val="auto"/>
        </w:rPr>
        <w:t>By accepting the benefits hereof, each Recipient agrees that it will comply with Section 4.02 of the Credit Agreement as if it were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 Lender.</w:t>
      </w:r>
    </w:p>
    <w:p>
      <w:pPr>
        <w:spacing w:after="0" w:line="210" w:lineRule="exact"/>
        <w:rPr>
          <w:rFonts w:ascii="Arial" w:cs="Arial" w:eastAsia="Arial" w:hAnsi="Arial"/>
          <w:sz w:val="16"/>
          <w:szCs w:val="16"/>
          <w:color w:val="auto"/>
        </w:rPr>
      </w:pPr>
    </w:p>
    <w:p>
      <w:pPr>
        <w:ind w:left="660" w:firstLine="645"/>
        <w:spacing w:after="0" w:line="270" w:lineRule="auto"/>
        <w:tabs>
          <w:tab w:leader="none" w:pos="2013" w:val="left"/>
        </w:tabs>
        <w:numPr>
          <w:ilvl w:val="0"/>
          <w:numId w:val="553"/>
        </w:numPr>
        <w:rPr>
          <w:rFonts w:ascii="Arial" w:cs="Arial" w:eastAsia="Arial" w:hAnsi="Arial"/>
          <w:sz w:val="17"/>
          <w:szCs w:val="17"/>
          <w:color w:val="auto"/>
        </w:rPr>
      </w:pPr>
      <w:r>
        <w:rPr>
          <w:rFonts w:ascii="Arial" w:cs="Arial" w:eastAsia="Arial" w:hAnsi="Arial"/>
          <w:sz w:val="17"/>
          <w:szCs w:val="17"/>
          <w:color w:val="auto"/>
        </w:rPr>
        <w:t xml:space="preserve">If the Administrative Agent or a Recipient determines, in its sole discretion, that it has received a refund of any Taxes paid by a Guarantor or with respect to which such Guarantor has paid additional amounts pursuant to this Section 19, it shall pay over such refund to the Guarantor (but only to the extent of indemnity payments made, or additional amounts paid, by the Guarantor under this Section 19 with respect to the Taxes giving rise to such refund), net of all out-of-pocket expenses of the Administrative Agent or such Recipient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Guarantor, upon the request of the Administrative Agent or such Recipient, agrees to repay promptly the amount paid over to the Guarantor (plus any penalties, interest or other charges imposed by the relevant Governmental Authority with respect to such amount) to the Administrative Agent or such Recipient in the event the Administrative Agent or such Recipient is required to repay such refund to such Governmental Authority. This Section shall not be construed to require the Administrative Agent or any Recipient to make available its Tax returns (or any other information relating to its Taxes which it deems confidential) to the Guarantor or any other Person.</w:t>
      </w:r>
    </w:p>
    <w:p>
      <w:pPr>
        <w:spacing w:after="0" w:line="178" w:lineRule="exact"/>
        <w:rPr>
          <w:sz w:val="20"/>
          <w:szCs w:val="20"/>
          <w:color w:val="auto"/>
        </w:rPr>
      </w:pPr>
    </w:p>
    <w:p>
      <w:pPr>
        <w:ind w:right="400" w:firstLine="656"/>
        <w:spacing w:after="0" w:line="342" w:lineRule="auto"/>
        <w:tabs>
          <w:tab w:leader="none" w:pos="1353" w:val="left"/>
        </w:tabs>
        <w:numPr>
          <w:ilvl w:val="0"/>
          <w:numId w:val="554"/>
        </w:numPr>
        <w:rPr>
          <w:rFonts w:ascii="Arial" w:cs="Arial" w:eastAsia="Arial" w:hAnsi="Arial"/>
          <w:sz w:val="16"/>
          <w:szCs w:val="16"/>
          <w:color w:val="auto"/>
        </w:rPr>
      </w:pPr>
      <w:r>
        <w:rPr>
          <w:rFonts w:ascii="Arial" w:cs="Arial" w:eastAsia="Arial" w:hAnsi="Arial"/>
          <w:sz w:val="16"/>
          <w:szCs w:val="16"/>
          <w:u w:val="single" w:color="auto"/>
          <w:color w:val="auto"/>
        </w:rPr>
        <w:t>Expenses of Enforcement, Etc</w:t>
      </w:r>
      <w:r>
        <w:rPr>
          <w:rFonts w:ascii="Arial" w:cs="Arial" w:eastAsia="Arial" w:hAnsi="Arial"/>
          <w:sz w:val="16"/>
          <w:szCs w:val="16"/>
          <w:color w:val="auto"/>
        </w:rPr>
        <w:t>. The Guarantors agree to reimburse the Administrative Agent and the other Guaranteed Parties for any reasonable and documented costs and out-of-pocket expenses (including attorneys’ fees) paid or incurred by the Administrative Agent or any other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Guaranteed Party in connection with the collection and enforcement of amounts due under the Loan Documents, including without limitation this Guaranty, to the extent such costs and expenses are reimbursable pursuant to the terms of Section 11.03 of the Credit Agreement unless otherwise agreed in accordance with the terms of the Loan Documents.</w:t>
      </w:r>
    </w:p>
    <w:p>
      <w:pPr>
        <w:spacing w:after="0" w:line="181"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Setoff</w:t>
      </w:r>
      <w:r>
        <w:rPr>
          <w:rFonts w:ascii="Arial" w:cs="Arial" w:eastAsia="Arial" w:hAnsi="Arial"/>
          <w:sz w:val="18"/>
          <w:szCs w:val="18"/>
          <w:color w:val="auto"/>
        </w:rPr>
        <w:t>. If an Event of Default shall have occurred and be continuing and all or any part of the Guaranteed Obligations have become due and payable (by acceleration or otherwise), the Administrative Agent and each other Guaranteed Party may, without notice to any Guarantor and regardless of the acceptance of any security or collateral (if any) for the payment hereof, set off and apply toward the payment of all or any part of the Guaranteed Obligations any and all deposits (general or special, time or demand, provisional or final and in whatever currency denominated at any time held) and other obligations at any time owing by the Administrative Agent or such other Guaranteed Party or any of their respective Affiliates to or for the credit or the account of any Guarantor against any of and all the Guaranteed Obligations, irrespective of whether or not the Administrative Agent or such other Guaranteed Party shall have made any demand under this Guaranty. The rights of the Administrative Agent and each other Guaranteed Party under this Section are in addition to other rights and remedies (including other rights of setoff) which the Administrative Agent or such other Guaranteed Party may have.</w:t>
      </w:r>
    </w:p>
    <w:p>
      <w:pPr>
        <w:spacing w:after="0" w:line="19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Financial Information</w:t>
      </w:r>
      <w:r>
        <w:rPr>
          <w:rFonts w:ascii="Arial" w:cs="Arial" w:eastAsia="Arial" w:hAnsi="Arial"/>
          <w:sz w:val="17"/>
          <w:szCs w:val="17"/>
          <w:color w:val="auto"/>
        </w:rPr>
        <w:t>. Each Guarantor hereby assumes responsibility for keeping itself informed of the financial condition of the Borrowers, the other Guarantors and any and all endorsers and/or other guarantors of all or any part of the Guaranteed Obligations, and of all other circumstances bearing upon the risk of nonpayment of the Guaranteed Obligations, or any part thereof, that diligent inquiry would reveal, and each Guarantor hereby agrees that none of the Administrative Agent or the other Guaranteed Parties shall have any duty to advise such Guarantor of information known to any of them regarding such condition or any such circumstances. In the event the Administrative Agent or any other Guaranteed Party, in its sole discretion, undertakes at any time or from time to time to provide any such information to a Guarantor, the Administrative Agent or such other Guaranteed Party shall be under no obligation (i) to undertake any investigation not a part of its regular business routine, (ii) to disclose any information which the Administrative Agent or such other Guaranteed Party, pursuant to accepted or reasonable commercial finance or banking practices, wishes to maintain confidential or (iii) to make any other or future disclosures of such information or any other information to such Guarantor.</w:t>
      </w:r>
    </w:p>
    <w:p>
      <w:pPr>
        <w:spacing w:after="0" w:line="18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Severability</w:t>
      </w:r>
      <w:r>
        <w:rPr>
          <w:rFonts w:ascii="Arial" w:cs="Arial" w:eastAsia="Arial" w:hAnsi="Arial"/>
          <w:sz w:val="17"/>
          <w:szCs w:val="17"/>
          <w:color w:val="auto"/>
        </w:rPr>
        <w:t>. Wherever possible, each provision of this Guaranty shall be interpreted in such manner as to be effective and valid under applicable law, but if any provision of this Guaranty shall be prohibited by or invalid under such law, such provision shall be ineffective to the extent of such prohibition or invalidity without invalidating the remainder of such provision or the remaining provisions of this Guaranty.</w:t>
      </w:r>
    </w:p>
    <w:p>
      <w:pPr>
        <w:spacing w:after="0" w:line="166"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Merger</w:t>
      </w:r>
      <w:r>
        <w:rPr>
          <w:rFonts w:ascii="Arial" w:cs="Arial" w:eastAsia="Arial" w:hAnsi="Arial"/>
          <w:sz w:val="17"/>
          <w:szCs w:val="17"/>
          <w:color w:val="auto"/>
        </w:rPr>
        <w:t>. This Guaranty and the other Loan Documents constitute the entire contract among the parties relating to the subject matter hereof and supersede any and all previous agreements and understandings, oral or written, relating to the subject matter hereof.</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Guaranty are for convenience of reference only and shall not govern the interpretation of any provision of this Guaranty.</w:t>
      </w:r>
    </w:p>
    <w:p>
      <w:pPr>
        <w:spacing w:after="0" w:line="170"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Judgment Currency</w:t>
      </w:r>
      <w:r>
        <w:rPr>
          <w:rFonts w:ascii="Arial" w:cs="Arial" w:eastAsia="Arial" w:hAnsi="Arial"/>
          <w:sz w:val="18"/>
          <w:szCs w:val="18"/>
          <w:color w:val="auto"/>
        </w:rPr>
        <w:t>. The obligation of each Guarantor to make payments on any Obligation to the Lenders or to the Administrative Agent hereunder in any currency (the “</w:t>
      </w:r>
      <w:r>
        <w:rPr>
          <w:rFonts w:ascii="Arial" w:cs="Arial" w:eastAsia="Arial" w:hAnsi="Arial"/>
          <w:sz w:val="18"/>
          <w:szCs w:val="18"/>
          <w:u w:val="single" w:color="auto"/>
          <w:color w:val="auto"/>
        </w:rPr>
        <w:t>first currency</w:t>
      </w:r>
      <w:r>
        <w:rPr>
          <w:rFonts w:ascii="Arial" w:cs="Arial" w:eastAsia="Arial" w:hAnsi="Arial"/>
          <w:sz w:val="18"/>
          <w:szCs w:val="18"/>
          <w:color w:val="auto"/>
        </w:rPr>
        <w:t>”) is of the essence and shall not be discharged or satisfied by any tender or recovery pursuant to any judgment expressed in or converted into any other currency (the “</w:t>
      </w:r>
      <w:r>
        <w:rPr>
          <w:rFonts w:ascii="Arial" w:cs="Arial" w:eastAsia="Arial" w:hAnsi="Arial"/>
          <w:sz w:val="18"/>
          <w:szCs w:val="18"/>
          <w:u w:val="single" w:color="auto"/>
          <w:color w:val="auto"/>
        </w:rPr>
        <w:t>second currency</w:t>
      </w:r>
      <w:r>
        <w:rPr>
          <w:rFonts w:ascii="Arial" w:cs="Arial" w:eastAsia="Arial" w:hAnsi="Arial"/>
          <w:sz w:val="18"/>
          <w:szCs w:val="18"/>
          <w:color w:val="auto"/>
        </w:rPr>
        <w:t>”) except to the extent to which such tender or recovery shall result in the effective receipt by the applicable Lender or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Administrative Agent of the full amount of the first currency payable, and accordingly the primary obligation of each Guarantor shall be enforceable as an alternative or additional cause of action for the purpose of recovery in the second currency of the amount (if any) by which such effective receipt shall fall short of the full amount of the full currency payable and shall not be affected by a judgment being obtained for any other sum due hereunder.</w:t>
      </w:r>
    </w:p>
    <w:p>
      <w:pPr>
        <w:sectPr>
          <w:pgSz w:w="11900" w:h="16953" w:orient="portrait"/>
          <w:cols w:equalWidth="0" w:num="1">
            <w:col w:w="11420"/>
          </w:cols>
          <w:pgMar w:left="240" w:top="125" w:right="239" w:bottom="0" w:gutter="0" w:footer="0" w:header="0"/>
        </w:sectPr>
      </w:pPr>
    </w:p>
    <w:bookmarkStart w:id="234" w:name="page235"/>
    <w:bookmarkEnd w:id="234"/>
    <w:p>
      <w:pPr>
        <w:ind w:left="660"/>
        <w:spacing w:after="0"/>
        <w:tabs>
          <w:tab w:leader="none" w:pos="198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Keepwell</w:t>
      </w:r>
      <w:r>
        <w:rPr>
          <w:rFonts w:ascii="Arial" w:cs="Arial" w:eastAsia="Arial" w:hAnsi="Arial"/>
          <w:sz w:val="16"/>
          <w:szCs w:val="16"/>
          <w:color w:val="auto"/>
        </w:rPr>
        <w:t>. Each Qualified ECP Guarantor (as defined below) hereby jointly and severally absolutely, unconditionally 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irrevocably undertakes to provide such funds or other support as may be needed from time to time by each other Guarantor to honor all of its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this Guaranty in respect of Specified Swap Obligations (provided, however, that each Qualified ECP Guarantor shall only be liable under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for the maximum amount of such liability that can be hereby incurred without rendering its obligations under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or otherwise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Guaranty voidable under applicable law relating to fraudulent conveyance or fraudulent transfer, and not for any greater amount). The obligations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each Qualified ECP Guarantor under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shall remain in full force and effect until a discharge of such Qualified ECP Guarantor’s Guaranteed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Obligations in accordance with the terms hereof and the other Loan Documents. Each Qualified ECP Guarantor intends that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constitute,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shall be deemed to constitute, a “keepwell, support, or other agreement” for the benefit of each other Guarantor for all purposes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1a(18)(A)(v)(II) of the Commodity Exchange Act. As used herein, “</w:t>
      </w:r>
      <w:r>
        <w:rPr>
          <w:rFonts w:ascii="Arial" w:cs="Arial" w:eastAsia="Arial" w:hAnsi="Arial"/>
          <w:sz w:val="16"/>
          <w:szCs w:val="16"/>
          <w:u w:val="single" w:color="auto"/>
          <w:color w:val="auto"/>
        </w:rPr>
        <w:t>Qualified ECP Guarantor</w:t>
      </w:r>
      <w:r>
        <w:rPr>
          <w:rFonts w:ascii="Arial" w:cs="Arial" w:eastAsia="Arial" w:hAnsi="Arial"/>
          <w:sz w:val="16"/>
          <w:szCs w:val="16"/>
          <w:color w:val="auto"/>
        </w:rPr>
        <w:t>” means, in respect of any Specified Swap Obligation,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Guarantor that has total assets exceeding $10,000,000 at the time the relevant Guarantee or grant of the relevant security interest becomes or would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become effective with respect to such Specified Swap Obligation or such other Person as constitutes an ECP and can cause another Person to qualify as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ECP at such time by entering into a keepwell under Section 1a(18)(A)(v)(II) of the Commodity Exchange Act.</w:t>
      </w:r>
    </w:p>
    <w:p>
      <w:pPr>
        <w:spacing w:after="0" w:line="21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Counterparts</w:t>
      </w:r>
      <w:r>
        <w:rPr>
          <w:rFonts w:ascii="Arial" w:cs="Arial" w:eastAsia="Arial" w:hAnsi="Arial"/>
          <w:sz w:val="18"/>
          <w:szCs w:val="18"/>
          <w:color w:val="auto"/>
        </w:rPr>
        <w:t>. This Guaranty may be executed in counterparts (and by different parties hereto in different counterparts), each of which shall constitute an original, but all of which when taken together shall constitute a single contract. Delivery of an executed counterpart of a signature page of this Guaranty by telecopy, e-mailed .pdf or any other electronic means that reproduces an image of the actual executed signature page shall be effective as delivery of a manually executed counterpart of this Guaranty.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PAGES TO FOLLOW</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WITNESS WHEREOF, each Initial Guarantor has caused this Guaranty to be duly executed by its authorized officer as of the day and year first above written.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AUSTRALIA INITIAL GUARANTOR</w:t>
      </w: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WEATHERFORD AUSTRALIA PTY LIMITED</w:t>
      </w:r>
    </w:p>
    <w:p>
      <w:pPr>
        <w:spacing w:after="0" w:line="200" w:lineRule="exact"/>
        <w:rPr>
          <w:sz w:val="20"/>
          <w:szCs w:val="20"/>
          <w:color w:val="auto"/>
        </w:rPr>
      </w:pPr>
    </w:p>
    <w:p>
      <w:pPr>
        <w:spacing w:after="0" w:line="241" w:lineRule="exact"/>
        <w:rPr>
          <w:sz w:val="20"/>
          <w:szCs w:val="20"/>
          <w:color w:val="auto"/>
        </w:rPr>
      </w:pPr>
    </w:p>
    <w:tbl>
      <w:tblPr>
        <w:tblLayout w:type="fixed"/>
        <w:tblInd w:w="608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Antonino Gullotti</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spacing w:after="0" w:line="195" w:lineRule="exact"/>
              <w:rPr>
                <w:sz w:val="20"/>
                <w:szCs w:val="20"/>
                <w:color w:val="auto"/>
              </w:rPr>
            </w:pPr>
            <w:r>
              <w:rPr>
                <w:rFonts w:ascii="Arial" w:cs="Arial" w:eastAsia="Arial" w:hAnsi="Arial"/>
                <w:sz w:val="18"/>
                <w:szCs w:val="18"/>
                <w:color w:val="auto"/>
              </w:rPr>
              <w:t>Antonino Gullotti</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Director</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Degasperis</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spacing w:after="0" w:line="195" w:lineRule="exact"/>
              <w:rPr>
                <w:sz w:val="20"/>
                <w:szCs w:val="20"/>
                <w:color w:val="auto"/>
              </w:rPr>
            </w:pPr>
            <w:r>
              <w:rPr>
                <w:rFonts w:ascii="Arial" w:cs="Arial" w:eastAsia="Arial" w:hAnsi="Arial"/>
                <w:sz w:val="18"/>
                <w:szCs w:val="18"/>
                <w:color w:val="auto"/>
              </w:rPr>
              <w:t>Robert Degasperis</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364-Day Affiliate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BERMUDA INITIAL GUARANTORS</w:t>
      </w:r>
    </w:p>
    <w:p>
      <w:pPr>
        <w:spacing w:after="0" w:line="22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WEATHERFORD INTERNATIONAL LTD.</w:t>
      </w:r>
    </w:p>
    <w:p>
      <w:pPr>
        <w:spacing w:after="0" w:line="200" w:lineRule="exact"/>
        <w:rPr>
          <w:sz w:val="20"/>
          <w:szCs w:val="20"/>
          <w:color w:val="auto"/>
        </w:rPr>
      </w:pPr>
    </w:p>
    <w:p>
      <w:pPr>
        <w:spacing w:after="0" w:line="24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Mohammed Dadhiwala</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WEATHERFORD INTERNATIONAL HOLDING (BERMUDA) LTD.</w:t>
      </w:r>
    </w:p>
    <w:p>
      <w:pPr>
        <w:spacing w:after="0" w:line="200" w:lineRule="exact"/>
        <w:rPr>
          <w:sz w:val="20"/>
          <w:szCs w:val="20"/>
          <w:color w:val="auto"/>
        </w:rPr>
      </w:pPr>
    </w:p>
    <w:p>
      <w:pPr>
        <w:spacing w:after="0" w:line="24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Mohammed Dadhiwala</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WEATHERFORD PANGAEA HOLDINGS LTD.</w:t>
      </w:r>
    </w:p>
    <w:p>
      <w:pPr>
        <w:spacing w:after="0" w:line="200" w:lineRule="exact"/>
        <w:rPr>
          <w:sz w:val="20"/>
          <w:szCs w:val="20"/>
          <w:color w:val="auto"/>
        </w:rPr>
      </w:pPr>
    </w:p>
    <w:p>
      <w:pPr>
        <w:spacing w:after="0" w:line="24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Mohammed Dadhiwala</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SABRE DRILLING LTD.</w:t>
      </w:r>
    </w:p>
    <w:p>
      <w:pPr>
        <w:sectPr>
          <w:pgSz w:w="11900" w:h="16838" w:orient="portrait"/>
          <w:cols w:equalWidth="0" w:num="1">
            <w:col w:w="11420"/>
          </w:cols>
          <w:pgMar w:left="240" w:top="341" w:right="239" w:bottom="0" w:gutter="0" w:footer="0" w:header="0"/>
        </w:sectPr>
      </w:pPr>
    </w:p>
    <w:bookmarkStart w:id="235" w:name="page236"/>
    <w:bookmarkEnd w:id="235"/>
    <w:tbl>
      <w:tblPr>
        <w:tblLayout w:type="fixed"/>
        <w:tblInd w:w="45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Mohammed Dadhiwala</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KEY INTERNATIONAL DRILLING COMPANY LIMITED</w:t>
      </w:r>
    </w:p>
    <w:p>
      <w:pPr>
        <w:spacing w:after="0" w:line="200" w:lineRule="exact"/>
        <w:rPr>
          <w:sz w:val="20"/>
          <w:szCs w:val="20"/>
          <w:color w:val="auto"/>
        </w:rPr>
      </w:pPr>
    </w:p>
    <w:p>
      <w:pPr>
        <w:spacing w:after="0" w:line="241"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Gold</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Andrew Gold</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Signature Page to 364-Day Affiliate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WEATHERFORD BERMUDA HOLDINGS LTD.</w:t>
      </w:r>
    </w:p>
    <w:p>
      <w:pPr>
        <w:spacing w:after="0" w:line="200" w:lineRule="exact"/>
        <w:rPr>
          <w:sz w:val="20"/>
          <w:szCs w:val="20"/>
          <w:color w:val="auto"/>
        </w:rPr>
      </w:pPr>
    </w:p>
    <w:p>
      <w:pPr>
        <w:spacing w:after="0" w:line="241"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Mohammed Dadhiwala</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WEATHERFORD SERVICES, LTD.</w:t>
      </w:r>
    </w:p>
    <w:p>
      <w:pPr>
        <w:spacing w:after="0" w:line="200" w:lineRule="exact"/>
        <w:rPr>
          <w:sz w:val="20"/>
          <w:szCs w:val="20"/>
          <w:color w:val="auto"/>
        </w:rPr>
      </w:pPr>
    </w:p>
    <w:p>
      <w:pPr>
        <w:spacing w:after="0" w:line="241"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M. McMorrow</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Joshua M. McMorrow</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640" w:type="dxa"/>
            <w:vAlign w:val="bottom"/>
            <w:gridSpan w:val="2"/>
          </w:tcPr>
          <w:p>
            <w:pPr>
              <w:spacing w:after="0"/>
              <w:rPr>
                <w:sz w:val="20"/>
                <w:szCs w:val="20"/>
                <w:color w:val="auto"/>
              </w:rPr>
            </w:pPr>
            <w:r>
              <w:rPr>
                <w:rFonts w:ascii="Arial" w:cs="Arial" w:eastAsia="Arial" w:hAnsi="Arial"/>
                <w:sz w:val="18"/>
                <w:szCs w:val="18"/>
                <w:color w:val="auto"/>
              </w:rPr>
              <w:t>WOFS ASSURANCE LIMITED</w:t>
            </w:r>
          </w:p>
        </w:tc>
      </w:tr>
      <w:tr>
        <w:trPr>
          <w:trHeight w:val="64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Mohammed Dadhiwala</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WEATHERFORD HOLDINGS (BERMUDA) LTD.</w:t>
      </w:r>
    </w:p>
    <w:p>
      <w:pPr>
        <w:spacing w:after="0" w:line="200" w:lineRule="exact"/>
        <w:rPr>
          <w:sz w:val="20"/>
          <w:szCs w:val="20"/>
          <w:color w:val="auto"/>
        </w:rPr>
      </w:pPr>
    </w:p>
    <w:p>
      <w:pPr>
        <w:spacing w:after="0" w:line="241"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Mohammed Dadhiwala</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Signature Page to 364-Day Affiliate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BRITISH VIRGIN ISLANDS INITIAL GUARANTORS</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DRILLING INTERNATIONAL HOLDINGS (BVI)</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LTD.</w:t>
      </w:r>
    </w:p>
    <w:p>
      <w:pPr>
        <w:spacing w:after="0" w:line="200" w:lineRule="exact"/>
        <w:rPr>
          <w:sz w:val="20"/>
          <w:szCs w:val="20"/>
          <w:color w:val="auto"/>
        </w:rPr>
      </w:pPr>
    </w:p>
    <w:p>
      <w:pPr>
        <w:spacing w:after="0" w:line="227"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Mohammed Dadhiwala</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DRILLING INTERNATIONAL (BVI) LTD.</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Tan Kah Huan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Tan Kah Huan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COLOMBIA LIMITED</w:t>
      </w:r>
    </w:p>
    <w:p>
      <w:pPr>
        <w:sectPr>
          <w:pgSz w:w="11900" w:h="16838" w:orient="portrait"/>
          <w:cols w:equalWidth="0" w:num="1">
            <w:col w:w="10220"/>
          </w:cols>
          <w:pgMar w:left="1440" w:top="341" w:right="239" w:bottom="0" w:gutter="0" w:footer="0" w:header="0"/>
        </w:sectPr>
      </w:pPr>
    </w:p>
    <w:bookmarkStart w:id="236" w:name="page237"/>
    <w:bookmarkEnd w:id="236"/>
    <w:p>
      <w:pPr>
        <w:ind w:left="4660"/>
        <w:spacing w:after="0"/>
        <w:tabs>
          <w:tab w:leader="none" w:pos="5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3" w:lineRule="exact"/>
        <w:rPr>
          <w:sz w:val="20"/>
          <w:szCs w:val="20"/>
          <w:color w:val="auto"/>
        </w:rPr>
      </w:pPr>
    </w:p>
    <w:p>
      <w:pPr>
        <w:ind w:left="4660"/>
        <w:spacing w:after="0"/>
        <w:tabs>
          <w:tab w:leader="none" w:pos="534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3402330</wp:posOffset>
            </wp:positionH>
            <wp:positionV relativeFrom="paragraph">
              <wp:posOffset>-130810</wp:posOffset>
            </wp:positionV>
            <wp:extent cx="308737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ind w:left="4660"/>
        <w:spacing w:after="0"/>
        <w:tabs>
          <w:tab w:leader="none" w:pos="5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HOLDINGS (BVI) LTD.</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Tan Kah Huan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Tan Kah Huan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President and General Manager</w:t>
            </w:r>
          </w:p>
        </w:tc>
      </w:tr>
    </w:tbl>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OIL TOOL MIDDLE EAST LIMITED</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Tan Kah Huan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Tan Kah Huan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Signature Page to 364-Day Affiliate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CANADA INITIAL GUARANTORS</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CANADA LTD.</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David Reed</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J. David Reed</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(NOVA SCOTIA) ULC</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David Reed</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J. David Reed</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jc w:val="right"/>
        <w:ind w:right="1040"/>
        <w:spacing w:after="0"/>
        <w:rPr>
          <w:sz w:val="20"/>
          <w:szCs w:val="20"/>
          <w:color w:val="auto"/>
        </w:rPr>
      </w:pPr>
      <w:r>
        <w:rPr>
          <w:rFonts w:ascii="Arial" w:cs="Arial" w:eastAsia="Arial" w:hAnsi="Arial"/>
          <w:sz w:val="18"/>
          <w:szCs w:val="18"/>
          <w:color w:val="auto"/>
        </w:rPr>
        <w:t>WEATHERFORD DEUTSCHE HOLDING (CANADA) ULC</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David Reed</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J. David Reed</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Signature Page to 364-Day Affiliate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ENGLAND INITIAL GUARANTORS</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EURASIA LIMITED</w:t>
      </w:r>
    </w:p>
    <w:p>
      <w:pPr>
        <w:spacing w:after="0" w:line="200" w:lineRule="exact"/>
        <w:rPr>
          <w:sz w:val="20"/>
          <w:szCs w:val="20"/>
          <w:color w:val="auto"/>
        </w:rPr>
      </w:pPr>
    </w:p>
    <w:p>
      <w:pPr>
        <w:spacing w:after="0" w:line="241" w:lineRule="exact"/>
        <w:rPr>
          <w:sz w:val="20"/>
          <w:szCs w:val="20"/>
          <w:color w:val="auto"/>
        </w:rPr>
      </w:pPr>
    </w:p>
    <w:p>
      <w:pPr>
        <w:ind w:left="4660"/>
        <w:spacing w:after="0"/>
        <w:tabs>
          <w:tab w:leader="none" w:pos="5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Strachan</w:t>
      </w:r>
    </w:p>
    <w:p>
      <w:pPr>
        <w:spacing w:after="0" w:line="23" w:lineRule="exact"/>
        <w:rPr>
          <w:sz w:val="20"/>
          <w:szCs w:val="20"/>
          <w:color w:val="auto"/>
        </w:rPr>
      </w:pPr>
    </w:p>
    <w:p>
      <w:pPr>
        <w:ind w:left="4660"/>
        <w:spacing w:after="0"/>
        <w:tabs>
          <w:tab w:leader="none" w:pos="5340" w:val="left"/>
        </w:tabs>
        <w:rPr>
          <w:sz w:val="20"/>
          <w:szCs w:val="20"/>
          <w:color w:val="auto"/>
        </w:rPr>
      </w:pPr>
      <w:r>
        <w:rPr>
          <w:rFonts w:ascii="Arial" w:cs="Arial" w:eastAsia="Arial" w:hAnsi="Arial"/>
          <w:sz w:val="18"/>
          <w:szCs w:val="18"/>
          <w:color w:val="auto"/>
        </w:rPr>
        <w:t>Name:</w:t>
        <w:tab/>
        <w:t>Richard Strachan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3402330</wp:posOffset>
            </wp:positionH>
            <wp:positionV relativeFrom="paragraph">
              <wp:posOffset>-130810</wp:posOffset>
            </wp:positionV>
            <wp:extent cx="308737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ind w:left="4660"/>
        <w:spacing w:after="0"/>
        <w:tabs>
          <w:tab w:leader="none" w:pos="5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U.K. LIMITED</w:t>
      </w:r>
    </w:p>
    <w:p>
      <w:pPr>
        <w:spacing w:after="0" w:line="200" w:lineRule="exact"/>
        <w:rPr>
          <w:sz w:val="20"/>
          <w:szCs w:val="20"/>
          <w:color w:val="auto"/>
        </w:rPr>
      </w:pPr>
    </w:p>
    <w:p>
      <w:pPr>
        <w:spacing w:after="0" w:line="241" w:lineRule="exact"/>
        <w:rPr>
          <w:sz w:val="20"/>
          <w:szCs w:val="20"/>
          <w:color w:val="auto"/>
        </w:rPr>
      </w:pPr>
    </w:p>
    <w:p>
      <w:pPr>
        <w:ind w:left="4660"/>
        <w:spacing w:after="0"/>
        <w:tabs>
          <w:tab w:leader="none" w:pos="5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Strachan</w:t>
      </w:r>
    </w:p>
    <w:p>
      <w:pPr>
        <w:spacing w:after="0" w:line="23" w:lineRule="exact"/>
        <w:rPr>
          <w:sz w:val="20"/>
          <w:szCs w:val="20"/>
          <w:color w:val="auto"/>
        </w:rPr>
      </w:pPr>
    </w:p>
    <w:p>
      <w:pPr>
        <w:ind w:left="4660"/>
        <w:spacing w:after="0"/>
        <w:tabs>
          <w:tab w:leader="none" w:pos="5340" w:val="left"/>
        </w:tabs>
        <w:rPr>
          <w:sz w:val="20"/>
          <w:szCs w:val="20"/>
          <w:color w:val="auto"/>
        </w:rPr>
      </w:pPr>
      <w:r>
        <w:rPr>
          <w:rFonts w:ascii="Arial" w:cs="Arial" w:eastAsia="Arial" w:hAnsi="Arial"/>
          <w:sz w:val="18"/>
          <w:szCs w:val="18"/>
          <w:color w:val="auto"/>
        </w:rPr>
        <w:t>Name:</w:t>
        <w:tab/>
        <w:t>Richard Strachan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3402330</wp:posOffset>
            </wp:positionH>
            <wp:positionV relativeFrom="paragraph">
              <wp:posOffset>-130810</wp:posOffset>
            </wp:positionV>
            <wp:extent cx="308737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ind w:left="4660"/>
        <w:spacing w:after="0"/>
        <w:tabs>
          <w:tab w:leader="none" w:pos="5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Signature Page to 364-Day Affiliate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218440</wp:posOffset>
            </wp:positionV>
            <wp:extent cx="7263765" cy="4763"/>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0220"/>
          </w:cols>
          <w:pgMar w:left="1440" w:top="341" w:right="239" w:bottom="0" w:gutter="0" w:footer="0" w:header="0"/>
        </w:sectPr>
      </w:pPr>
    </w:p>
    <w:bookmarkStart w:id="237" w:name="page238"/>
    <w:bookmarkEnd w:id="237"/>
    <w:p>
      <w:pPr>
        <w:ind w:left="3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19050"/>
                    </a:xfrm>
                    <a:prstGeom prst="rect">
                      <a:avLst/>
                    </a:prstGeom>
                    <a:noFill/>
                  </pic:spPr>
                </pic:pic>
              </a:graphicData>
            </a:graphic>
          </wp:anchor>
        </w:drawing>
        <w:t>IRELAND INITIAL GUARANTOR</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INTERNATIONAL PLC</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Bryant</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Timothy Bryant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Signature Page to 364-Day Affiliate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LUXEMBOURG INITIAL GUARANTORS</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INTERNATIONAL</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(LUXEMBOURG) HOLDINGS S.À R.L.</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société à responsabilité limitée</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8-10, avenue de la Gare</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L-1610 Luxembourg</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R.C.S. Luxembourg B146.622</w:t>
      </w:r>
    </w:p>
    <w:p>
      <w:pPr>
        <w:spacing w:after="0" w:line="200" w:lineRule="exact"/>
        <w:rPr>
          <w:sz w:val="20"/>
          <w:szCs w:val="20"/>
          <w:color w:val="auto"/>
        </w:rPr>
      </w:pPr>
    </w:p>
    <w:p>
      <w:pPr>
        <w:spacing w:after="0" w:line="227"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Bryant</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Timothy Bryant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Manager A</w:t>
            </w:r>
          </w:p>
        </w:tc>
      </w:tr>
      <w:tr>
        <w:trPr>
          <w:trHeight w:val="64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Dragos Cioaca</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Dragos Cioaca</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Manager B</w:t>
            </w:r>
          </w:p>
        </w:tc>
      </w:tr>
    </w:tbl>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EUROPEAN HOLDINGS</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(LUXEMBOURG) S.À R.L.</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société à responsabilité limitée</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8-10, avenue de la Gare</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L-1610 Luxembourg</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R.C.S. Luxembourg B150.992</w:t>
      </w:r>
    </w:p>
    <w:p>
      <w:pPr>
        <w:spacing w:after="0" w:line="200" w:lineRule="exact"/>
        <w:rPr>
          <w:sz w:val="20"/>
          <w:szCs w:val="20"/>
          <w:color w:val="auto"/>
        </w:rPr>
      </w:pPr>
    </w:p>
    <w:p>
      <w:pPr>
        <w:spacing w:after="0" w:line="227"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Bryant</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Timothy Bryant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Manager A</w:t>
            </w:r>
          </w:p>
        </w:tc>
      </w:tr>
      <w:tr>
        <w:trPr>
          <w:trHeight w:val="64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Dragos Cioaca</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Dragos Cioaca</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Manager B</w:t>
            </w:r>
          </w:p>
        </w:tc>
      </w:tr>
    </w:tbl>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Signature Page to 364-Day Affiliate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210185</wp:posOffset>
            </wp:positionV>
            <wp:extent cx="726757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NETHERLANDS INITIAL GUARANTOR</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NETHERLANDS B.V.</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W. Versteeg</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A. W. Versteeg</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Signature Page to 364-Day Affiliate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NORWAY INITIAL GUARANTORS</w:t>
      </w:r>
    </w:p>
    <w:p>
      <w:pPr>
        <w:sectPr>
          <w:pgSz w:w="11900" w:h="16838" w:orient="portrait"/>
          <w:cols w:equalWidth="0" w:num="1">
            <w:col w:w="10220"/>
          </w:cols>
          <w:pgMar w:left="1440" w:top="716" w:right="239" w:bottom="0" w:gutter="0" w:footer="0" w:header="0"/>
        </w:sectPr>
      </w:pPr>
    </w:p>
    <w:bookmarkStart w:id="238" w:name="page239"/>
    <w:bookmarkEnd w:id="238"/>
    <w:p>
      <w:pPr>
        <w:ind w:left="4660"/>
        <w:spacing w:after="0"/>
        <w:rPr>
          <w:sz w:val="20"/>
          <w:szCs w:val="20"/>
          <w:color w:val="auto"/>
        </w:rPr>
      </w:pPr>
      <w:r>
        <w:rPr>
          <w:rFonts w:ascii="Arial" w:cs="Arial" w:eastAsia="Arial" w:hAnsi="Arial"/>
          <w:sz w:val="18"/>
          <w:szCs w:val="18"/>
          <w:color w:val="auto"/>
        </w:rPr>
        <w:t>WEATHERFORD NORGE AS</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Stig Wolstad-Knudsen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Stig Wolstad-Knudsen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Chairman</w:t>
            </w:r>
          </w:p>
        </w:tc>
      </w:tr>
    </w:tbl>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LABORATORIES (NORWAY) AS</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Stig Wolstad-Knudsen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Stig Wolstad-Knudsen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Chairman</w:t>
            </w:r>
          </w:p>
        </w:tc>
      </w:tr>
    </w:tbl>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Signature Page to 364-Day Affiliate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PANAMA INITIAL GUARANTOR</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SERVICES S. DE R.L.</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Mohammed Dadhiwala</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Administrator</w:t>
            </w:r>
          </w:p>
        </w:tc>
      </w:tr>
    </w:tbl>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Signature Page to 364-Day Affiliate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SWITZERLAND INITIAL GUARANTORS</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WOFS INTERNATIONAL FINANCE GMBH</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Bryant</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Timothy Bryant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Managing Officer</w:t>
            </w:r>
          </w:p>
        </w:tc>
      </w:tr>
    </w:tbl>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WORLDWIDE HOLDINGS GMBH</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Bryant</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Timothy Bryant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Managing Officer</w:t>
            </w:r>
          </w:p>
        </w:tc>
      </w:tr>
    </w:tbl>
    <w:p>
      <w:pPr>
        <w:spacing w:after="0" w:line="200" w:lineRule="exact"/>
        <w:rPr>
          <w:sz w:val="20"/>
          <w:szCs w:val="20"/>
          <w:color w:val="auto"/>
        </w:rPr>
      </w:pPr>
    </w:p>
    <w:p>
      <w:pPr>
        <w:spacing w:after="0" w:line="218" w:lineRule="exact"/>
        <w:rPr>
          <w:sz w:val="20"/>
          <w:szCs w:val="20"/>
          <w:color w:val="auto"/>
        </w:rPr>
      </w:pPr>
    </w:p>
    <w:p>
      <w:pPr>
        <w:ind w:left="4660" w:right="240"/>
        <w:spacing w:after="0" w:line="277" w:lineRule="auto"/>
        <w:rPr>
          <w:sz w:val="20"/>
          <w:szCs w:val="20"/>
          <w:color w:val="auto"/>
        </w:rPr>
      </w:pPr>
      <w:r>
        <w:rPr>
          <w:rFonts w:ascii="Arial" w:cs="Arial" w:eastAsia="Arial" w:hAnsi="Arial"/>
          <w:sz w:val="18"/>
          <w:szCs w:val="18"/>
          <w:color w:val="auto"/>
        </w:rPr>
        <w:t>WEATHERFORD SWITZERLAND TRADING AND DEVELOPMENT GMBH</w:t>
      </w:r>
    </w:p>
    <w:p>
      <w:pPr>
        <w:spacing w:after="0" w:line="387"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Bryant</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Timothy Bryant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Managing Officer</w:t>
            </w:r>
          </w:p>
        </w:tc>
      </w:tr>
    </w:tbl>
    <w:p>
      <w:pPr>
        <w:spacing w:after="0" w:line="200" w:lineRule="exact"/>
        <w:rPr>
          <w:sz w:val="20"/>
          <w:szCs w:val="20"/>
          <w:color w:val="auto"/>
        </w:rPr>
      </w:pPr>
    </w:p>
    <w:p>
      <w:pPr>
        <w:spacing w:after="0" w:line="218"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WEATHERFORD MANAGEMENT COMPANY SWITZERLAND SARL</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Bryant</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Timothy Bryant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Managing Officer</w:t>
            </w:r>
          </w:p>
        </w:tc>
      </w:tr>
    </w:tbl>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PRODUCTS GMBH</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Bryant</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Timothy Bryant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Managing Officer</w:t>
            </w:r>
          </w:p>
        </w:tc>
      </w:tr>
    </w:tbl>
    <w:p>
      <w:pPr>
        <w:sectPr>
          <w:pgSz w:w="11900" w:h="16838" w:orient="portrait"/>
          <w:cols w:equalWidth="0" w:num="1">
            <w:col w:w="10220"/>
          </w:cols>
          <w:pgMar w:left="1440" w:top="125" w:right="239" w:bottom="0" w:gutter="0" w:footer="0" w:header="0"/>
        </w:sectPr>
      </w:pPr>
    </w:p>
    <w:bookmarkStart w:id="239" w:name="page240"/>
    <w:bookmarkEnd w:id="239"/>
    <w:p>
      <w:pPr>
        <w:ind w:left="2860"/>
        <w:spacing w:after="0"/>
        <w:rPr>
          <w:sz w:val="20"/>
          <w:szCs w:val="20"/>
          <w:color w:val="auto"/>
        </w:rPr>
      </w:pPr>
      <w:r>
        <w:rPr>
          <w:rFonts w:ascii="Arial" w:cs="Arial" w:eastAsia="Arial" w:hAnsi="Arial"/>
          <w:sz w:val="18"/>
          <w:szCs w:val="18"/>
          <w:i w:val="1"/>
          <w:iCs w:val="1"/>
          <w:color w:val="auto"/>
        </w:rPr>
        <w:t>Signature Page to 364-Day Affiliate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WOFS SWISS FINANCE GMBH</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Philipp Andermatt</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Philipp Andermatt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Managing Officer</w:t>
            </w:r>
          </w:p>
        </w:tc>
      </w:tr>
    </w:tbl>
    <w:p>
      <w:pPr>
        <w:spacing w:after="0" w:line="200" w:lineRule="exact"/>
        <w:rPr>
          <w:sz w:val="20"/>
          <w:szCs w:val="20"/>
          <w:color w:val="auto"/>
        </w:rPr>
      </w:pPr>
    </w:p>
    <w:p>
      <w:pPr>
        <w:spacing w:after="0" w:line="218"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WEATHERFORD HOLDINGS (SWITZERLAND) GMBH</w:t>
      </w:r>
    </w:p>
    <w:p>
      <w:pPr>
        <w:spacing w:after="0" w:line="200" w:lineRule="exact"/>
        <w:rPr>
          <w:sz w:val="20"/>
          <w:szCs w:val="20"/>
          <w:color w:val="auto"/>
        </w:rPr>
      </w:pPr>
    </w:p>
    <w:p>
      <w:pPr>
        <w:spacing w:after="0" w:line="241" w:lineRule="exact"/>
        <w:rPr>
          <w:sz w:val="20"/>
          <w:szCs w:val="20"/>
          <w:color w:val="auto"/>
        </w:rPr>
      </w:pPr>
    </w:p>
    <w:p>
      <w:pPr>
        <w:ind w:left="4660"/>
        <w:spacing w:after="0"/>
        <w:tabs>
          <w:tab w:leader="none" w:pos="5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Bryant</w:t>
      </w:r>
    </w:p>
    <w:p>
      <w:pPr>
        <w:spacing w:after="0" w:line="23" w:lineRule="exact"/>
        <w:rPr>
          <w:sz w:val="20"/>
          <w:szCs w:val="20"/>
          <w:color w:val="auto"/>
        </w:rPr>
      </w:pPr>
    </w:p>
    <w:p>
      <w:pPr>
        <w:ind w:left="4660"/>
        <w:spacing w:after="0"/>
        <w:tabs>
          <w:tab w:leader="none" w:pos="5340" w:val="left"/>
        </w:tabs>
        <w:rPr>
          <w:sz w:val="20"/>
          <w:szCs w:val="20"/>
          <w:color w:val="auto"/>
        </w:rPr>
      </w:pPr>
      <w:r>
        <w:rPr>
          <w:rFonts w:ascii="Arial" w:cs="Arial" w:eastAsia="Arial" w:hAnsi="Arial"/>
          <w:sz w:val="18"/>
          <w:szCs w:val="18"/>
          <w:color w:val="auto"/>
        </w:rPr>
        <w:t>Name:</w:t>
        <w:tab/>
        <w:t>Timothy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3402330</wp:posOffset>
            </wp:positionH>
            <wp:positionV relativeFrom="paragraph">
              <wp:posOffset>-130810</wp:posOffset>
            </wp:positionV>
            <wp:extent cx="308737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ind w:left="4660"/>
        <w:spacing w:after="0"/>
        <w:tabs>
          <w:tab w:leader="none" w:pos="5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Officer</w:t>
      </w:r>
    </w:p>
    <w:p>
      <w:pPr>
        <w:spacing w:after="0" w:line="211"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Signature Page to 364-Day Affiliate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210185</wp:posOffset>
            </wp:positionV>
            <wp:extent cx="7267575"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UNITED STATES INITIAL GUARANTORS</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HOLDINGS U.S. LLC</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 Silverman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Joshua S. Silverman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Assistant Treasurer</w:t>
            </w:r>
          </w:p>
        </w:tc>
      </w:tr>
    </w:tbl>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U.S. HOLDINGS, L.L.C.</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 Silverman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Joshua S. Silverman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Assistant Treasurer</w:t>
            </w:r>
          </w:p>
        </w:tc>
      </w:tr>
    </w:tbl>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INTERNATIONAL, LLC</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 Silverman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Joshua S. Silverman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Assistant Treasurer</w:t>
            </w:r>
          </w:p>
        </w:tc>
      </w:tr>
      <w:tr>
        <w:trPr>
          <w:trHeight w:val="648"/>
        </w:trPr>
        <w:tc>
          <w:tcPr>
            <w:tcW w:w="5560" w:type="dxa"/>
            <w:vAlign w:val="bottom"/>
            <w:gridSpan w:val="2"/>
          </w:tcPr>
          <w:p>
            <w:pPr>
              <w:spacing w:after="0"/>
              <w:rPr>
                <w:sz w:val="20"/>
                <w:szCs w:val="20"/>
                <w:color w:val="auto"/>
              </w:rPr>
            </w:pPr>
            <w:r>
              <w:rPr>
                <w:rFonts w:ascii="Arial" w:cs="Arial" w:eastAsia="Arial" w:hAnsi="Arial"/>
                <w:sz w:val="18"/>
                <w:szCs w:val="18"/>
                <w:color w:val="auto"/>
              </w:rPr>
              <w:t>WEUS HOLDING, LLC</w:t>
            </w:r>
          </w:p>
        </w:tc>
      </w:tr>
      <w:tr>
        <w:trPr>
          <w:trHeight w:val="64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 Silverman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Joshua S. Silverman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Assistant Treasurer</w:t>
            </w:r>
          </w:p>
        </w:tc>
      </w:tr>
    </w:tbl>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ARTIFICIAL LIFT SYSTEMS, LLC</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 Silverman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Joshua S. Silverman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Assistant Treasurer</w:t>
            </w:r>
          </w:p>
        </w:tc>
      </w:tr>
    </w:tbl>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LIMITED PARTNER, L.L.C.</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J. Bryant</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Timothy J. Bryant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0220"/>
          </w:cols>
          <w:pgMar w:left="1440" w:top="341" w:right="239" w:bottom="0" w:gutter="0" w:footer="0" w:header="0"/>
        </w:sectPr>
      </w:pPr>
    </w:p>
    <w:bookmarkStart w:id="240" w:name="page241"/>
    <w:bookmarkEnd w:id="240"/>
    <w:p>
      <w:pPr>
        <w:ind w:left="2860"/>
        <w:spacing w:after="0"/>
        <w:rPr>
          <w:sz w:val="20"/>
          <w:szCs w:val="20"/>
          <w:color w:val="auto"/>
        </w:rPr>
      </w:pPr>
      <w:r>
        <w:rPr>
          <w:rFonts w:ascii="Arial" w:cs="Arial" w:eastAsia="Arial" w:hAnsi="Arial"/>
          <w:sz w:val="18"/>
          <w:szCs w:val="18"/>
          <w:i w:val="1"/>
          <w:iCs w:val="1"/>
          <w:color w:val="auto"/>
        </w:rPr>
        <w:t>Signature Page to 364-Day Affiliate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PD HOLDINGS (USA), L.P.</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 Silverman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Joshua S. Silverman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Assistant Treasurer</w:t>
            </w:r>
          </w:p>
        </w:tc>
      </w:tr>
    </w:tbl>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PRECISION DRILLING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Kamini Patel</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Kamini Patel</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PRECISION DRILLING LP, INC.</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Kamini Patel</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Kamini Patel</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PRECISION USA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 Silverman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Joshua S. Silverman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Assistant Treasurer</w:t>
            </w:r>
          </w:p>
        </w:tc>
      </w:tr>
    </w:tbl>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PRECISION ENERGY SERVICES, INC.</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 Silverman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Joshua S. Silverman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Assistant Treasurer</w:t>
            </w:r>
          </w:p>
        </w:tc>
      </w:tr>
      <w:tr>
        <w:trPr>
          <w:trHeight w:val="648"/>
        </w:trPr>
        <w:tc>
          <w:tcPr>
            <w:tcW w:w="5560" w:type="dxa"/>
            <w:vAlign w:val="bottom"/>
            <w:gridSpan w:val="2"/>
          </w:tcPr>
          <w:p>
            <w:pPr>
              <w:spacing w:after="0"/>
              <w:rPr>
                <w:sz w:val="20"/>
                <w:szCs w:val="20"/>
                <w:color w:val="auto"/>
              </w:rPr>
            </w:pPr>
            <w:r>
              <w:rPr>
                <w:rFonts w:ascii="Arial" w:cs="Arial" w:eastAsia="Arial" w:hAnsi="Arial"/>
                <w:sz w:val="18"/>
                <w:szCs w:val="18"/>
                <w:color w:val="auto"/>
              </w:rPr>
              <w:t>WEATHERFORD U.S., L.P.</w:t>
            </w:r>
          </w:p>
        </w:tc>
      </w:tr>
      <w:tr>
        <w:trPr>
          <w:trHeight w:val="64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 Silverman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Joshua S. Silverman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Assistant Treasurer</w:t>
            </w:r>
          </w:p>
        </w:tc>
      </w:tr>
    </w:tbl>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Signature Page to 364-Day Affiliate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WEATHERFORD/LAMB, INC.</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 Silverman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Joshua S. Silverman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Assistant Treasurer</w:t>
            </w:r>
          </w:p>
        </w:tc>
      </w:tr>
    </w:tbl>
    <w:p>
      <w:pPr>
        <w:spacing w:after="0" w:line="200" w:lineRule="exact"/>
        <w:rPr>
          <w:sz w:val="20"/>
          <w:szCs w:val="20"/>
          <w:color w:val="auto"/>
        </w:rPr>
      </w:pPr>
    </w:p>
    <w:p>
      <w:pPr>
        <w:spacing w:after="0" w:line="21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WEATHERFORD INVESTMENT INC.</w:t>
      </w:r>
    </w:p>
    <w:p>
      <w:pPr>
        <w:spacing w:after="0" w:line="200" w:lineRule="exact"/>
        <w:rPr>
          <w:sz w:val="20"/>
          <w:szCs w:val="20"/>
          <w:color w:val="auto"/>
        </w:rPr>
      </w:pPr>
    </w:p>
    <w:p>
      <w:pPr>
        <w:spacing w:after="0" w:line="241"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 Silverman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Joshua S. Silverman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Assistant Treasurer</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PRECISION DRILLING TECHNOLOGY SERVICES GROUP (USA) INC.</w:t>
      </w:r>
    </w:p>
    <w:p>
      <w:pPr>
        <w:sectPr>
          <w:pgSz w:w="11900" w:h="16838" w:orient="portrait"/>
          <w:cols w:equalWidth="0" w:num="1">
            <w:col w:w="10220"/>
          </w:cols>
          <w:pgMar w:left="1440" w:top="125" w:right="239" w:bottom="0" w:gutter="0" w:footer="0" w:header="0"/>
        </w:sectPr>
      </w:pPr>
    </w:p>
    <w:bookmarkStart w:id="241" w:name="page242"/>
    <w:bookmarkEnd w:id="241"/>
    <w:tbl>
      <w:tblPr>
        <w:tblLayout w:type="fixed"/>
        <w:tblInd w:w="58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 Silverman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Joshua S. Silverman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Assistant Treasurer</w:t>
            </w:r>
          </w:p>
        </w:tc>
      </w:tr>
    </w:tbl>
    <w:p>
      <w:pPr>
        <w:spacing w:after="0" w:line="200" w:lineRule="exact"/>
        <w:rPr>
          <w:sz w:val="20"/>
          <w:szCs w:val="20"/>
          <w:color w:val="auto"/>
        </w:rPr>
      </w:pPr>
    </w:p>
    <w:p>
      <w:pPr>
        <w:spacing w:after="0" w:line="21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PRECISION OILFIELD SERVICES, LLP</w:t>
      </w:r>
    </w:p>
    <w:p>
      <w:pPr>
        <w:spacing w:after="0" w:line="200" w:lineRule="exact"/>
        <w:rPr>
          <w:sz w:val="20"/>
          <w:szCs w:val="20"/>
          <w:color w:val="auto"/>
        </w:rPr>
      </w:pPr>
    </w:p>
    <w:p>
      <w:pPr>
        <w:spacing w:after="0" w:line="241"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 Silverman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Joshua S. Silverman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Assistant Treasurer</w:t>
            </w:r>
          </w:p>
        </w:tc>
      </w:tr>
      <w:tr>
        <w:trPr>
          <w:trHeight w:val="648"/>
        </w:trPr>
        <w:tc>
          <w:tcPr>
            <w:tcW w:w="5560" w:type="dxa"/>
            <w:vAlign w:val="bottom"/>
            <w:gridSpan w:val="2"/>
          </w:tcPr>
          <w:p>
            <w:pPr>
              <w:spacing w:after="0"/>
              <w:rPr>
                <w:sz w:val="20"/>
                <w:szCs w:val="20"/>
                <w:color w:val="auto"/>
              </w:rPr>
            </w:pPr>
            <w:r>
              <w:rPr>
                <w:rFonts w:ascii="Arial" w:cs="Arial" w:eastAsia="Arial" w:hAnsi="Arial"/>
                <w:sz w:val="18"/>
                <w:szCs w:val="18"/>
                <w:color w:val="auto"/>
              </w:rPr>
              <w:t>VISUAL SYSTEMS, INC.</w:t>
            </w:r>
          </w:p>
        </w:tc>
      </w:tr>
      <w:tr>
        <w:trPr>
          <w:trHeight w:val="64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 Silverman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Joshua S. Silverman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Assistant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364-Day Affiliate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C. Miller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Jeffrey C. Miller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Executive 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364-Day Affiliate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ANNEX I TO GUARANTY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hereby made to the Affiliate Guaranty (as the same may be amended, restated, supplemented or otherwise modified from time to time,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Guaranty</w:t>
      </w:r>
      <w:r>
        <w:rPr>
          <w:rFonts w:ascii="Arial" w:cs="Arial" w:eastAsia="Arial" w:hAnsi="Arial"/>
          <w:sz w:val="16"/>
          <w:szCs w:val="16"/>
          <w:color w:val="auto"/>
        </w:rPr>
        <w:t>”), dated as of August 16, 2018, made by Weatherford International plc, an Irish public limited company (the “</w:t>
      </w:r>
      <w:r>
        <w:rPr>
          <w:rFonts w:ascii="Arial" w:cs="Arial" w:eastAsia="Arial" w:hAnsi="Arial"/>
          <w:sz w:val="16"/>
          <w:szCs w:val="16"/>
          <w:u w:val="single" w:color="auto"/>
          <w:color w:val="auto"/>
        </w:rPr>
        <w:t>Parent</w:t>
      </w:r>
      <w:r>
        <w:rPr>
          <w:rFonts w:ascii="Arial" w:cs="Arial" w:eastAsia="Arial" w:hAnsi="Arial"/>
          <w:sz w:val="16"/>
          <w:szCs w:val="16"/>
          <w:color w:val="auto"/>
        </w:rPr>
        <w:t>”) and each Subsidiary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Parent listed on the signature pages thereto (the Parent and each such Subsidiary, an “</w:t>
      </w:r>
      <w:r>
        <w:rPr>
          <w:rFonts w:ascii="Arial" w:cs="Arial" w:eastAsia="Arial" w:hAnsi="Arial"/>
          <w:sz w:val="16"/>
          <w:szCs w:val="16"/>
          <w:u w:val="single" w:color="auto"/>
          <w:color w:val="auto"/>
        </w:rPr>
        <w:t>Initial Guarantor</w:t>
      </w:r>
      <w:r>
        <w:rPr>
          <w:rFonts w:ascii="Arial" w:cs="Arial" w:eastAsia="Arial" w:hAnsi="Arial"/>
          <w:sz w:val="16"/>
          <w:szCs w:val="16"/>
          <w:color w:val="auto"/>
        </w:rPr>
        <w:t>”, and together with any additional Subsidiaries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Parent that become parties to the Guaranty by executing Guaranty Supplements thereto substantially similar in form and substance hereto,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Guarantors</w:t>
      </w:r>
      <w:r>
        <w:rPr>
          <w:rFonts w:ascii="Arial" w:cs="Arial" w:eastAsia="Arial" w:hAnsi="Arial"/>
          <w:sz w:val="17"/>
          <w:szCs w:val="17"/>
          <w:color w:val="auto"/>
        </w:rPr>
        <w:t>”), in favor of the Administrative Agent, for the ratable benefit of the Guaranteed Parties, under the Credit Agreement. Each capitalized term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used herein and not defined herein shall have the meaning given to it in the Guaranty.</w:t>
      </w:r>
    </w:p>
    <w:p>
      <w:pPr>
        <w:spacing w:after="0" w:line="207"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color w:val="auto"/>
        </w:rPr>
        <w:t xml:space="preserve">By its execution below, the undersigned, </w:t>
      </w:r>
      <w:r>
        <w:rPr>
          <w:rFonts w:ascii="Arial" w:cs="Arial" w:eastAsia="Arial" w:hAnsi="Arial"/>
          <w:sz w:val="17"/>
          <w:szCs w:val="17"/>
          <w:b w:val="1"/>
          <w:bCs w:val="1"/>
          <w:color w:val="auto"/>
        </w:rPr>
        <w:t>[</w:t>
      </w:r>
      <w:r>
        <w:rPr>
          <w:rFonts w:ascii="Arial" w:cs="Arial" w:eastAsia="Arial" w:hAnsi="Arial"/>
          <w:sz w:val="17"/>
          <w:szCs w:val="17"/>
          <w:color w:val="auto"/>
        </w:rPr>
        <w:t>NAME OF NEW GUARANTOR</w:t>
      </w:r>
      <w:r>
        <w:rPr>
          <w:rFonts w:ascii="Arial" w:cs="Arial" w:eastAsia="Arial" w:hAnsi="Arial"/>
          <w:sz w:val="17"/>
          <w:szCs w:val="17"/>
          <w:b w:val="1"/>
          <w:bCs w:val="1"/>
          <w:color w:val="auto"/>
        </w:rPr>
        <w:t>]</w:t>
      </w:r>
      <w:r>
        <w:rPr>
          <w:rFonts w:ascii="Arial" w:cs="Arial" w:eastAsia="Arial" w:hAnsi="Arial"/>
          <w:sz w:val="17"/>
          <w:szCs w:val="17"/>
          <w:color w:val="auto"/>
        </w:rPr>
        <w:t xml:space="preserve">, a </w:t>
      </w:r>
      <w:r>
        <w:rPr>
          <w:rFonts w:ascii="Arial" w:cs="Arial" w:eastAsia="Arial" w:hAnsi="Arial"/>
          <w:sz w:val="17"/>
          <w:szCs w:val="17"/>
          <w:b w:val="1"/>
          <w:bCs w:val="1"/>
          <w:color w:val="auto"/>
        </w:rPr>
        <w:t>[ ] [</w:t>
      </w:r>
      <w:r>
        <w:rPr>
          <w:rFonts w:ascii="Arial" w:cs="Arial" w:eastAsia="Arial" w:hAnsi="Arial"/>
          <w:sz w:val="17"/>
          <w:szCs w:val="17"/>
          <w:color w:val="auto"/>
        </w:rPr>
        <w:t>corporation</w:t>
      </w:r>
      <w:r>
        <w:rPr>
          <w:rFonts w:ascii="Arial" w:cs="Arial" w:eastAsia="Arial" w:hAnsi="Arial"/>
          <w:sz w:val="17"/>
          <w:szCs w:val="17"/>
          <w:b w:val="1"/>
          <w:bCs w:val="1"/>
          <w:color w:val="auto"/>
        </w:rPr>
        <w:t>] [</w:t>
      </w:r>
      <w:r>
        <w:rPr>
          <w:rFonts w:ascii="Arial" w:cs="Arial" w:eastAsia="Arial" w:hAnsi="Arial"/>
          <w:sz w:val="17"/>
          <w:szCs w:val="17"/>
          <w:color w:val="auto"/>
        </w:rPr>
        <w:t>partnership</w:t>
      </w:r>
      <w:r>
        <w:rPr>
          <w:rFonts w:ascii="Arial" w:cs="Arial" w:eastAsia="Arial" w:hAnsi="Arial"/>
          <w:sz w:val="17"/>
          <w:szCs w:val="17"/>
          <w:b w:val="1"/>
          <w:bCs w:val="1"/>
          <w:color w:val="auto"/>
        </w:rPr>
        <w:t>] [</w:t>
      </w:r>
      <w:r>
        <w:rPr>
          <w:rFonts w:ascii="Arial" w:cs="Arial" w:eastAsia="Arial" w:hAnsi="Arial"/>
          <w:sz w:val="17"/>
          <w:szCs w:val="17"/>
          <w:color w:val="auto"/>
        </w:rPr>
        <w:t>limited liability company</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other form of legal entity</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u w:val="single" w:color="auto"/>
          <w:color w:val="auto"/>
        </w:rPr>
        <w:t>New Guarantor</w:t>
      </w:r>
      <w:r>
        <w:rPr>
          <w:rFonts w:ascii="Arial" w:cs="Arial" w:eastAsia="Arial" w:hAnsi="Arial"/>
          <w:sz w:val="17"/>
          <w:szCs w:val="17"/>
          <w:color w:val="auto"/>
        </w:rPr>
        <w:t>”), agrees to become, and does hereby become, a Guarantor under the Guaranty and agrees to be bound by</w:t>
      </w:r>
      <w:r>
        <w:rPr>
          <w:rFonts w:ascii="Arial" w:cs="Arial" w:eastAsia="Arial" w:hAnsi="Arial"/>
          <w:sz w:val="17"/>
          <w:szCs w:val="17"/>
          <w:b w:val="1"/>
          <w:bCs w:val="1"/>
          <w:color w:val="auto"/>
        </w:rPr>
        <w:t xml:space="preserve"> </w:t>
      </w:r>
      <w:r>
        <w:rPr>
          <w:rFonts w:ascii="Arial" w:cs="Arial" w:eastAsia="Arial" w:hAnsi="Arial"/>
          <w:sz w:val="17"/>
          <w:szCs w:val="17"/>
          <w:color w:val="auto"/>
        </w:rPr>
        <w:t>such Guaranty as if originally a party thereto. Without limiting the foregoing, the undersigned hereby absolutely and unconditionally, and jointly and severally with the other Guarantors, guarantees the punctual payment and performance when due (whether at stated maturity, by acceleration or otherwise), of all Guaranteed Obligations. By its execution below, the undersigned represents and warrants as to itself that all of the representations and warranties contained in Section 1 of the Guaranty are true and correct in all respects as of the date hereof.(1)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60" w:type="dxa"/>
            <w:vAlign w:val="bottom"/>
            <w:gridSpan w:val="3"/>
          </w:tcPr>
          <w:p>
            <w:pPr>
              <w:ind w:left="660"/>
              <w:spacing w:after="0"/>
              <w:rPr>
                <w:sz w:val="20"/>
                <w:szCs w:val="20"/>
                <w:color w:val="auto"/>
              </w:rPr>
            </w:pPr>
            <w:r>
              <w:rPr>
                <w:rFonts w:ascii="Arial" w:cs="Arial" w:eastAsia="Arial" w:hAnsi="Arial"/>
                <w:sz w:val="18"/>
                <w:szCs w:val="18"/>
                <w:color w:val="auto"/>
                <w:w w:val="93"/>
              </w:rPr>
              <w:t>IN WITNESS WHEREOF, the New Guarantor has executed and delivered this Annex I counterpart to the Guaranty as of this</w:t>
            </w:r>
          </w:p>
        </w:tc>
        <w:tc>
          <w:tcPr>
            <w:tcW w:w="940" w:type="dxa"/>
            <w:vAlign w:val="bottom"/>
          </w:tcPr>
          <w:p>
            <w:pPr>
              <w:ind w:left="260"/>
              <w:spacing w:after="0"/>
              <w:rPr>
                <w:sz w:val="20"/>
                <w:szCs w:val="20"/>
                <w:color w:val="auto"/>
              </w:rPr>
            </w:pPr>
            <w:r>
              <w:rPr>
                <w:rFonts w:ascii="Arial" w:cs="Arial" w:eastAsia="Arial" w:hAnsi="Arial"/>
                <w:sz w:val="18"/>
                <w:szCs w:val="18"/>
                <w:color w:val="auto"/>
              </w:rPr>
              <w:t>day of</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380" w:type="dxa"/>
            <w:vAlign w:val="bottom"/>
          </w:tcPr>
          <w:p>
            <w:pPr>
              <w:jc w:val="right"/>
              <w:ind w:right="5930"/>
              <w:spacing w:after="0"/>
              <w:rPr>
                <w:sz w:val="20"/>
                <w:szCs w:val="20"/>
                <w:color w:val="auto"/>
              </w:rPr>
            </w:pPr>
            <w:r>
              <w:rPr>
                <w:rFonts w:ascii="Arial" w:cs="Arial" w:eastAsia="Arial" w:hAnsi="Arial"/>
                <w:sz w:val="18"/>
                <w:szCs w:val="18"/>
                <w:color w:val="auto"/>
                <w:w w:val="96"/>
              </w:rPr>
              <w:t>20  .</w:t>
            </w:r>
          </w:p>
        </w:tc>
        <w:tc>
          <w:tcPr>
            <w:tcW w:w="580" w:type="dxa"/>
            <w:vAlign w:val="bottom"/>
            <w:tcBorders>
              <w:top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NAME OF NEW GUARANTOR</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-130810</wp:posOffset>
            </wp:positionV>
            <wp:extent cx="308737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ind w:left="58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-130810</wp:posOffset>
            </wp:positionV>
            <wp:extent cx="307848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341" w:right="239" w:bottom="0" w:gutter="0" w:footer="0" w:header="0"/>
        </w:sectPr>
      </w:pPr>
    </w:p>
    <w:bookmarkStart w:id="242" w:name="page243"/>
    <w:bookmarkEnd w:id="2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826895" cy="8890"/>
                    </a:xfrm>
                    <a:prstGeom prst="rect">
                      <a:avLst/>
                    </a:prstGeom>
                    <a:noFill/>
                  </pic:spPr>
                </pic:pic>
              </a:graphicData>
            </a:graphic>
          </wp:anchor>
        </w:drawing>
        <w:t>(1) Provisions applicable to any Guarantor organized in a new Specified Jurisdiction to be inserted.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5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3CAAD3"/>
    <w:multiLevelType w:val="hybridMultilevel"/>
    <w:lvl w:ilvl="0">
      <w:lvlJc w:val="left"/>
      <w:lvlText w:val="o"/>
      <w:numFmt w:val="bullet"/>
      <w:start w:val="1"/>
    </w:lvl>
  </w:abstractNum>
  <w:abstractNum w:abstractNumId="1">
    <w:nsid w:val="313C7C99"/>
    <w:multiLevelType w:val="hybridMultilevel"/>
    <w:lvl w:ilvl="0">
      <w:lvlJc w:val="left"/>
      <w:lvlText w:val="(%1)"/>
      <w:numFmt w:val="decimal"/>
      <w:start w:val="3"/>
    </w:lvl>
  </w:abstractNum>
  <w:abstractNum w:abstractNumId="2">
    <w:nsid w:val="519EB94C"/>
    <w:multiLevelType w:val="hybridMultilevel"/>
    <w:lvl w:ilvl="0">
      <w:lvlJc w:val="left"/>
      <w:lvlText w:val="·"/>
      <w:numFmt w:val="bullet"/>
      <w:start w:val="1"/>
    </w:lvl>
  </w:abstractNum>
  <w:abstractNum w:abstractNumId="3">
    <w:nsid w:val="39DF2579"/>
    <w:multiLevelType w:val="hybridMultilevel"/>
    <w:lvl w:ilvl="0">
      <w:lvlJc w:val="left"/>
      <w:lvlText w:val="%1."/>
      <w:numFmt w:val="decimal"/>
      <w:start w:val="1"/>
    </w:lvl>
  </w:abstractNum>
  <w:abstractNum w:abstractNumId="4">
    <w:nsid w:val="126E008B"/>
    <w:multiLevelType w:val="hybridMultilevel"/>
    <w:lvl w:ilvl="0">
      <w:lvlJc w:val="left"/>
      <w:lvlText w:val="(%1)"/>
      <w:numFmt w:val="lowerLetter"/>
      <w:start w:val="4"/>
    </w:lvl>
  </w:abstractNum>
  <w:abstractNum w:abstractNumId="5">
    <w:nsid w:val="34DFBC00"/>
    <w:multiLevelType w:val="hybridMultilevel"/>
    <w:lvl w:ilvl="0">
      <w:lvlJc w:val="left"/>
      <w:lvlText w:val="%1."/>
      <w:numFmt w:val="decimal"/>
      <w:start w:val="1"/>
    </w:lvl>
  </w:abstractNum>
  <w:abstractNum w:abstractNumId="6">
    <w:nsid w:val="1F9EC322"/>
    <w:multiLevelType w:val="hybridMultilevel"/>
    <w:lvl w:ilvl="0">
      <w:lvlJc w:val="left"/>
      <w:lvlText w:val="(%1)"/>
      <w:numFmt w:val="lowerLetter"/>
      <w:start w:val="1"/>
    </w:lvl>
  </w:abstractNum>
  <w:abstractNum w:abstractNumId="7">
    <w:nsid w:val="3410ED56"/>
    <w:multiLevelType w:val="hybridMultilevel"/>
    <w:lvl w:ilvl="0">
      <w:lvlJc w:val="left"/>
      <w:lvlText w:val="(%1)"/>
      <w:numFmt w:val="lowerLetter"/>
      <w:start w:val="2"/>
    </w:lvl>
  </w:abstractNum>
  <w:abstractNum w:abstractNumId="8">
    <w:nsid w:val="23C049A"/>
    <w:multiLevelType w:val="hybridMultilevel"/>
    <w:lvl w:ilvl="0">
      <w:lvlJc w:val="left"/>
      <w:lvlText w:val="%1."/>
      <w:numFmt w:val="decimal"/>
      <w:start w:val="2"/>
    </w:lvl>
  </w:abstractNum>
  <w:abstractNum w:abstractNumId="9">
    <w:nsid w:val="5BDA35D4"/>
    <w:multiLevelType w:val="hybridMultilevel"/>
    <w:lvl w:ilvl="0">
      <w:lvlJc w:val="left"/>
      <w:lvlText w:val="(%1)"/>
      <w:numFmt w:val="lowerLetter"/>
      <w:start w:val="1"/>
    </w:lvl>
  </w:abstractNum>
  <w:abstractNum w:abstractNumId="10">
    <w:nsid w:val="496FB218"/>
    <w:multiLevelType w:val="hybridMultilevel"/>
    <w:lvl w:ilvl="0">
      <w:lvlJc w:val="left"/>
      <w:lvlText w:val="(%1)"/>
      <w:numFmt w:val="lowerRoman"/>
      <w:start w:val="1"/>
    </w:lvl>
  </w:abstractNum>
  <w:abstractNum w:abstractNumId="11">
    <w:nsid w:val="680EA5D1"/>
    <w:multiLevelType w:val="hybridMultilevel"/>
    <w:lvl w:ilvl="0">
      <w:lvlJc w:val="left"/>
      <w:lvlText w:val="(%1)"/>
      <w:numFmt w:val="lowerLetter"/>
      <w:start w:val="2"/>
    </w:lvl>
  </w:abstractNum>
  <w:abstractNum w:abstractNumId="12">
    <w:nsid w:val="4A9554FE"/>
    <w:multiLevelType w:val="hybridMultilevel"/>
    <w:lvl w:ilvl="0">
      <w:lvlJc w:val="left"/>
      <w:lvlText w:val="%1."/>
      <w:numFmt w:val="decimal"/>
      <w:start w:val="3"/>
    </w:lvl>
  </w:abstractNum>
  <w:abstractNum w:abstractNumId="13">
    <w:nsid w:val="392EDBE4"/>
    <w:multiLevelType w:val="hybridMultilevel"/>
    <w:lvl w:ilvl="0">
      <w:lvlJc w:val="left"/>
      <w:lvlText w:val="%1."/>
      <w:numFmt w:val="decimal"/>
      <w:start w:val="4"/>
    </w:lvl>
  </w:abstractNum>
  <w:abstractNum w:abstractNumId="14">
    <w:nsid w:val="3D1A2DD9"/>
    <w:multiLevelType w:val="hybridMultilevel"/>
    <w:lvl w:ilvl="0">
      <w:lvlJc w:val="left"/>
      <w:lvlText w:val="(%1)"/>
      <w:numFmt w:val="lowerLetter"/>
      <w:start w:val="1"/>
    </w:lvl>
  </w:abstractNum>
  <w:abstractNum w:abstractNumId="15">
    <w:nsid w:val="7F618FCD"/>
    <w:multiLevelType w:val="hybridMultilevel"/>
    <w:lvl w:ilvl="0">
      <w:lvlJc w:val="left"/>
      <w:lvlText w:val="%1."/>
      <w:numFmt w:val="decimal"/>
      <w:start w:val="5"/>
    </w:lvl>
  </w:abstractNum>
  <w:abstractNum w:abstractNumId="16">
    <w:nsid w:val="7843E45"/>
    <w:multiLevelType w:val="hybridMultilevel"/>
    <w:lvl w:ilvl="0">
      <w:lvlJc w:val="left"/>
      <w:lvlText w:val="(%1)"/>
      <w:numFmt w:val="lowerLetter"/>
      <w:start w:val="1"/>
    </w:lvl>
  </w:abstractNum>
  <w:abstractNum w:abstractNumId="17">
    <w:nsid w:val="9815DA3"/>
    <w:multiLevelType w:val="hybridMultilevel"/>
    <w:lvl w:ilvl="0">
      <w:lvlJc w:val="left"/>
      <w:lvlText w:val="%1."/>
      <w:numFmt w:val="decimal"/>
      <w:start w:val="6"/>
    </w:lvl>
  </w:abstractNum>
  <w:abstractNum w:abstractNumId="18">
    <w:nsid w:val="5204A191"/>
    <w:multiLevelType w:val="hybridMultilevel"/>
    <w:lvl w:ilvl="0">
      <w:lvlJc w:val="left"/>
      <w:lvlText w:val="(%1)"/>
      <w:numFmt w:val="lowerLetter"/>
      <w:start w:val="1"/>
    </w:lvl>
  </w:abstractNum>
  <w:abstractNum w:abstractNumId="19">
    <w:nsid w:val="4C73A9C6"/>
    <w:multiLevelType w:val="hybridMultilevel"/>
    <w:lvl w:ilvl="0">
      <w:lvlJc w:val="left"/>
      <w:lvlText w:val="(%1)"/>
      <w:numFmt w:val="lowerRoman"/>
      <w:start w:val="1"/>
    </w:lvl>
  </w:abstractNum>
  <w:abstractNum w:abstractNumId="20">
    <w:nsid w:val="1C7E3C01"/>
    <w:multiLevelType w:val="hybridMultilevel"/>
    <w:lvl w:ilvl="0">
      <w:lvlJc w:val="left"/>
      <w:lvlText w:val="(%1)"/>
      <w:numFmt w:val="lowerRoman"/>
      <w:start w:val="5"/>
    </w:lvl>
  </w:abstractNum>
  <w:abstractNum w:abstractNumId="21">
    <w:nsid w:val="1C2201FF"/>
    <w:multiLevelType w:val="hybridMultilevel"/>
    <w:lvl w:ilvl="0">
      <w:lvlJc w:val="left"/>
      <w:lvlText w:val="(%1)"/>
      <w:numFmt w:val="lowerRoman"/>
      <w:start w:val="8"/>
    </w:lvl>
  </w:abstractNum>
  <w:abstractNum w:abstractNumId="22">
    <w:nsid w:val="50ABCEC9"/>
    <w:multiLevelType w:val="hybridMultilevel"/>
    <w:lvl w:ilvl="0">
      <w:lvlJc w:val="left"/>
      <w:lvlText w:val="(%1)"/>
      <w:numFmt w:val="lowerLetter"/>
      <w:start w:val="2"/>
    </w:lvl>
  </w:abstractNum>
  <w:abstractNum w:abstractNumId="23">
    <w:nsid w:val="7635AA2A"/>
    <w:multiLevelType w:val="hybridMultilevel"/>
    <w:lvl w:ilvl="0">
      <w:lvlJc w:val="left"/>
      <w:lvlText w:val="%1."/>
      <w:numFmt w:val="decimal"/>
      <w:start w:val="7"/>
    </w:lvl>
  </w:abstractNum>
  <w:abstractNum w:abstractNumId="24">
    <w:nsid w:val="5E74C4D9"/>
    <w:multiLevelType w:val="hybridMultilevel"/>
    <w:lvl w:ilvl="0">
      <w:lvlJc w:val="left"/>
      <w:lvlText w:val="%1"/>
      <w:numFmt w:val="lowerLetter"/>
      <w:start w:val="1"/>
    </w:lvl>
    <w:lvl w:ilvl="1">
      <w:lvlJc w:val="left"/>
      <w:lvlText w:val="(%2)"/>
      <w:numFmt w:val="lowerLetter"/>
      <w:start w:val="1"/>
    </w:lvl>
  </w:abstractNum>
  <w:abstractNum w:abstractNumId="25">
    <w:nsid w:val="3B3EBE15"/>
    <w:multiLevelType w:val="hybridMultilevel"/>
    <w:lvl w:ilvl="0">
      <w:lvlJc w:val="left"/>
      <w:lvlText w:val="(%1)"/>
      <w:numFmt w:val="lowerLetter"/>
      <w:start w:val="9"/>
    </w:lvl>
    <w:lvl w:ilvl="1">
      <w:lvlJc w:val="left"/>
      <w:lvlText w:val="%2"/>
      <w:numFmt w:val="lowerLetter"/>
      <w:start w:val="1"/>
    </w:lvl>
  </w:abstractNum>
  <w:abstractNum w:abstractNumId="26">
    <w:nsid w:val="3822CB01"/>
    <w:multiLevelType w:val="hybridMultilevel"/>
    <w:lvl w:ilvl="0">
      <w:lvlJc w:val="left"/>
      <w:lvlText w:val="(%1)"/>
      <w:numFmt w:val="lowerLetter"/>
      <w:start w:val="3"/>
    </w:lvl>
    <w:lvl w:ilvl="1">
      <w:lvlJc w:val="left"/>
      <w:lvlText w:val="(%2)"/>
      <w:numFmt w:val="lowerLetter"/>
      <w:start w:val="5"/>
    </w:lvl>
  </w:abstractNum>
  <w:abstractNum w:abstractNumId="27">
    <w:nsid w:val="6CE00443"/>
    <w:multiLevelType w:val="hybridMultilevel"/>
    <w:lvl w:ilvl="0">
      <w:lvlJc w:val="left"/>
      <w:lvlText w:val="%1."/>
      <w:numFmt w:val="decimal"/>
      <w:start w:val="8"/>
    </w:lvl>
  </w:abstractNum>
  <w:abstractNum w:abstractNumId="28">
    <w:nsid w:val="79F0D62F"/>
    <w:multiLevelType w:val="hybridMultilevel"/>
    <w:lvl w:ilvl="0">
      <w:lvlJc w:val="left"/>
      <w:lvlText w:val="(%1)"/>
      <w:numFmt w:val="lowerRoman"/>
      <w:start w:val="2"/>
    </w:lvl>
    <w:lvl w:ilvl="1">
      <w:lvlJc w:val="left"/>
      <w:lvlText w:val="%2."/>
      <w:numFmt w:val="decimal"/>
      <w:start w:val="9"/>
    </w:lvl>
  </w:abstractNum>
  <w:abstractNum w:abstractNumId="29">
    <w:nsid w:val="7975E8EE"/>
    <w:multiLevelType w:val="hybridMultilevel"/>
    <w:lvl w:ilvl="0">
      <w:lvlJc w:val="left"/>
      <w:lvlText w:val="(%1)"/>
      <w:numFmt w:val="decimal"/>
      <w:start w:val="1"/>
    </w:lvl>
  </w:abstractNum>
  <w:abstractNum w:abstractNumId="30">
    <w:nsid w:val="73154115"/>
    <w:multiLevelType w:val="hybridMultilevel"/>
    <w:lvl w:ilvl="0">
      <w:lvlJc w:val="left"/>
      <w:lvlText w:val="(%1)"/>
      <w:numFmt w:val="upperLetter"/>
      <w:start w:val="35"/>
    </w:lvl>
  </w:abstractNum>
  <w:abstractNum w:abstractNumId="31">
    <w:nsid w:val="622D8102"/>
    <w:multiLevelType w:val="hybridMultilevel"/>
    <w:lvl w:ilvl="0">
      <w:lvlJc w:val="left"/>
      <w:lvlText w:val="*"/>
      <w:numFmt w:val="bullet"/>
      <w:start w:val="1"/>
    </w:lvl>
  </w:abstractNum>
  <w:abstractNum w:abstractNumId="32">
    <w:nsid w:val="2AB26587"/>
    <w:multiLevelType w:val="hybridMultilevel"/>
    <w:lvl w:ilvl="0">
      <w:lvlJc w:val="left"/>
      <w:lvlText w:val="(%1)"/>
      <w:numFmt w:val="lowerLetter"/>
      <w:start w:val="2"/>
    </w:lvl>
  </w:abstractNum>
  <w:abstractNum w:abstractNumId="33">
    <w:nsid w:val="44B3FA61"/>
    <w:multiLevelType w:val="hybridMultilevel"/>
    <w:lvl w:ilvl="0">
      <w:lvlJc w:val="left"/>
      <w:lvlText w:val="(%1)"/>
      <w:numFmt w:val="lowerLetter"/>
      <w:start w:val="1"/>
    </w:lvl>
  </w:abstractNum>
  <w:abstractNum w:abstractNumId="34">
    <w:nsid w:val="1C0CA67C"/>
    <w:multiLevelType w:val="hybridMultilevel"/>
    <w:lvl w:ilvl="0">
      <w:lvlJc w:val="left"/>
      <w:lvlText w:val="%1"/>
      <w:numFmt w:val="upperLetter"/>
      <w:start w:val="1"/>
    </w:lvl>
    <w:lvl w:ilvl="1">
      <w:lvlJc w:val="left"/>
      <w:lvlText w:val="(%2)"/>
      <w:numFmt w:val="lowerLetter"/>
      <w:start w:val="4"/>
    </w:lvl>
  </w:abstractNum>
  <w:abstractNum w:abstractNumId="35">
    <w:nsid w:val="3D206613"/>
    <w:multiLevelType w:val="hybridMultilevel"/>
    <w:lvl w:ilvl="0">
      <w:lvlJc w:val="left"/>
      <w:lvlText w:val="(%1)"/>
      <w:numFmt w:val="lowerRoman"/>
      <w:start w:val="5"/>
    </w:lvl>
  </w:abstractNum>
  <w:abstractNum w:abstractNumId="36">
    <w:nsid w:val="7993B662"/>
    <w:multiLevelType w:val="hybridMultilevel"/>
    <w:lvl w:ilvl="0">
      <w:lvlJc w:val="left"/>
      <w:lvlText w:val="(%1)"/>
      <w:numFmt w:val="lowerRoman"/>
      <w:start w:val="7"/>
    </w:lvl>
  </w:abstractNum>
  <w:abstractNum w:abstractNumId="37">
    <w:nsid w:val="3BAB699E"/>
    <w:multiLevelType w:val="hybridMultilevel"/>
    <w:lvl w:ilvl="0">
      <w:lvlJc w:val="left"/>
      <w:lvlText w:val="(%1)"/>
      <w:numFmt w:val="lowerLetter"/>
      <w:start w:val="1"/>
    </w:lvl>
  </w:abstractNum>
  <w:abstractNum w:abstractNumId="38">
    <w:nsid w:val="71315369"/>
    <w:multiLevelType w:val="hybridMultilevel"/>
    <w:lvl w:ilvl="0">
      <w:lvlJc w:val="left"/>
      <w:lvlText w:val="(%1)"/>
      <w:numFmt w:val="lowerLetter"/>
      <w:start w:val="3"/>
    </w:lvl>
  </w:abstractNum>
  <w:abstractNum w:abstractNumId="39">
    <w:nsid w:val="7BCFBAFC"/>
    <w:multiLevelType w:val="hybridMultilevel"/>
    <w:lvl w:ilvl="0">
      <w:lvlJc w:val="left"/>
      <w:lvlText w:val="(%1)"/>
      <w:numFmt w:val="lowerRoman"/>
      <w:start w:val="1"/>
    </w:lvl>
  </w:abstractNum>
  <w:abstractNum w:abstractNumId="40">
    <w:nsid w:val="17859F72"/>
    <w:multiLevelType w:val="hybridMultilevel"/>
    <w:lvl w:ilvl="0">
      <w:lvlJc w:val="left"/>
      <w:lvlText w:val="(%1)"/>
      <w:numFmt w:val="lowerLetter"/>
      <w:start w:val="4"/>
    </w:lvl>
  </w:abstractNum>
  <w:abstractNum w:abstractNumId="41">
    <w:nsid w:val="3AA10581"/>
    <w:multiLevelType w:val="hybridMultilevel"/>
    <w:lvl w:ilvl="0">
      <w:lvlJc w:val="left"/>
      <w:lvlText w:val="(%1)"/>
      <w:numFmt w:val="lowerLetter"/>
      <w:start w:val="4"/>
    </w:lvl>
  </w:abstractNum>
  <w:abstractNum w:abstractNumId="42">
    <w:nsid w:val="63DE60CD"/>
    <w:multiLevelType w:val="hybridMultilevel"/>
    <w:lvl w:ilvl="0">
      <w:lvlJc w:val="left"/>
      <w:lvlText w:val="(%1)"/>
      <w:numFmt w:val="lowerLetter"/>
      <w:start w:val="1"/>
    </w:lvl>
  </w:abstractNum>
  <w:abstractNum w:abstractNumId="43">
    <w:nsid w:val="621AF471"/>
    <w:multiLevelType w:val="hybridMultilevel"/>
    <w:lvl w:ilvl="0">
      <w:lvlJc w:val="left"/>
      <w:lvlText w:val="(%1)"/>
      <w:numFmt w:val="lowerLetter"/>
      <w:start w:val="2"/>
    </w:lvl>
  </w:abstractNum>
  <w:abstractNum w:abstractNumId="44">
    <w:nsid w:val="73CFE165"/>
    <w:multiLevelType w:val="hybridMultilevel"/>
    <w:lvl w:ilvl="0">
      <w:lvlJc w:val="left"/>
      <w:lvlText w:val="(%1)"/>
      <w:numFmt w:val="lowerLetter"/>
      <w:start w:val="7"/>
    </w:lvl>
  </w:abstractNum>
  <w:abstractNum w:abstractNumId="45">
    <w:nsid w:val="20F88EA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46">
    <w:nsid w:val="617C843E"/>
    <w:multiLevelType w:val="hybridMultilevel"/>
    <w:lvl w:ilvl="0">
      <w:lvlJc w:val="left"/>
      <w:lvlText w:val="%1"/>
      <w:numFmt w:val="lowerLetter"/>
      <w:start w:val="1"/>
    </w:lvl>
    <w:lvl w:ilvl="1">
      <w:lvlJc w:val="left"/>
      <w:lvlText w:val="(%2)"/>
      <w:numFmt w:val="lowerLetter"/>
      <w:start w:val="10"/>
    </w:lvl>
    <w:lvl w:ilvl="2">
      <w:lvlJc w:val="left"/>
      <w:lvlText w:val="%3"/>
      <w:numFmt w:val="lowerLetter"/>
      <w:start w:val="1"/>
    </w:lvl>
  </w:abstractNum>
  <w:abstractNum w:abstractNumId="47">
    <w:nsid w:val="7B541FAB"/>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48">
    <w:nsid w:val="2A79EC49"/>
    <w:multiLevelType w:val="hybridMultilevel"/>
    <w:lvl w:ilvl="0">
      <w:lvlJc w:val="left"/>
      <w:lvlText w:val="(%1)"/>
      <w:numFmt w:val="lowerLetter"/>
      <w:start w:val="2"/>
    </w:lvl>
  </w:abstractNum>
  <w:abstractNum w:abstractNumId="49">
    <w:nsid w:val="338125CF"/>
    <w:multiLevelType w:val="hybridMultilevel"/>
    <w:lvl w:ilvl="0">
      <w:lvlJc w:val="left"/>
      <w:lvlText w:val="(%1)"/>
      <w:numFmt w:val="lowerLetter"/>
      <w:start w:val="1"/>
    </w:lvl>
  </w:abstractNum>
  <w:abstractNum w:abstractNumId="50">
    <w:nsid w:val="47C7C971"/>
    <w:multiLevelType w:val="hybridMultilevel"/>
    <w:lvl w:ilvl="0">
      <w:lvlJc w:val="left"/>
      <w:lvlText w:val="(%1)"/>
      <w:numFmt w:val="lowerLetter"/>
      <w:start w:val="24"/>
    </w:lvl>
  </w:abstractNum>
  <w:abstractNum w:abstractNumId="51">
    <w:nsid w:val="46F8284B"/>
    <w:multiLevelType w:val="hybridMultilevel"/>
    <w:lvl w:ilvl="0">
      <w:lvlJc w:val="left"/>
      <w:lvlText w:val="(%1)"/>
      <w:numFmt w:val="lowerRoman"/>
      <w:start w:val="1"/>
    </w:lvl>
  </w:abstractNum>
  <w:abstractNum w:abstractNumId="52">
    <w:nsid w:val="4FA327CE"/>
    <w:multiLevelType w:val="hybridMultilevel"/>
    <w:lvl w:ilvl="0">
      <w:lvlJc w:val="left"/>
      <w:lvlText w:val="(%1)"/>
      <w:numFmt w:val="lowerRoman"/>
      <w:start w:val="2"/>
    </w:lvl>
  </w:abstractNum>
  <w:abstractNum w:abstractNumId="53">
    <w:nsid w:val="1873983A"/>
    <w:multiLevelType w:val="hybridMultilevel"/>
    <w:lvl w:ilvl="0">
      <w:lvlJc w:val="left"/>
      <w:lvlText w:val="(%1)"/>
      <w:numFmt w:val="lowerLetter"/>
      <w:start w:val="3"/>
    </w:lvl>
  </w:abstractNum>
  <w:abstractNum w:abstractNumId="54">
    <w:nsid w:val="3D2DD275"/>
    <w:multiLevelType w:val="hybridMultilevel"/>
    <w:lvl w:ilvl="0">
      <w:lvlJc w:val="left"/>
      <w:lvlText w:val="(%1)"/>
      <w:numFmt w:val="lowerLetter"/>
      <w:start w:val="2"/>
    </w:lvl>
  </w:abstractNum>
  <w:abstractNum w:abstractNumId="55">
    <w:nsid w:val="2E17ECA7"/>
    <w:multiLevelType w:val="hybridMultilevel"/>
    <w:lvl w:ilvl="0">
      <w:lvlJc w:val="left"/>
      <w:lvlText w:val="(%1)"/>
      <w:numFmt w:val="lowerRoman"/>
      <w:start w:val="1"/>
    </w:lvl>
  </w:abstractNum>
  <w:abstractNum w:abstractNumId="56">
    <w:nsid w:val="53B2564F"/>
    <w:multiLevelType w:val="hybridMultilevel"/>
    <w:lvl w:ilvl="0">
      <w:lvlJc w:val="left"/>
      <w:lvlText w:val="(%1)"/>
      <w:numFmt w:val="lowerLetter"/>
      <w:start w:val="1"/>
    </w:lvl>
  </w:abstractNum>
  <w:abstractNum w:abstractNumId="57">
    <w:nsid w:val="75509D76"/>
    <w:multiLevelType w:val="hybridMultilevel"/>
    <w:lvl w:ilvl="0">
      <w:lvlJc w:val="left"/>
      <w:lvlText w:val="(%1)"/>
      <w:numFmt w:val="lowerLetter"/>
      <w:start w:val="4"/>
    </w:lvl>
  </w:abstractNum>
  <w:abstractNum w:abstractNumId="58">
    <w:nsid w:val="1AF7F0EA"/>
    <w:multiLevelType w:val="hybridMultilevel"/>
    <w:lvl w:ilvl="0">
      <w:lvlJc w:val="left"/>
      <w:lvlText w:val="(%1)"/>
      <w:numFmt w:val="lowerLetter"/>
      <w:start w:val="1"/>
    </w:lvl>
    <w:lvl w:ilvl="1">
      <w:lvlJc w:val="left"/>
      <w:lvlText w:val="(%2)"/>
      <w:numFmt w:val="lowerRoman"/>
      <w:start w:val="1"/>
    </w:lvl>
  </w:abstractNum>
  <w:abstractNum w:abstractNumId="59">
    <w:nsid w:val="4DA32C7E"/>
    <w:multiLevelType w:val="hybridMultilevel"/>
    <w:lvl w:ilvl="0">
      <w:lvlJc w:val="left"/>
      <w:lvlText w:val="%1"/>
      <w:numFmt w:val="lowerLetter"/>
      <w:start w:val="1"/>
    </w:lvl>
    <w:lvl w:ilvl="1">
      <w:lvlJc w:val="left"/>
      <w:lvlText w:val="(%2)"/>
      <w:numFmt w:val="lowerRoman"/>
      <w:start w:val="9"/>
    </w:lvl>
  </w:abstractNum>
  <w:abstractNum w:abstractNumId="60">
    <w:nsid w:val="6EC68664"/>
    <w:multiLevelType w:val="hybridMultilevel"/>
    <w:lvl w:ilvl="0">
      <w:lvlJc w:val="left"/>
      <w:lvlText w:val="(%1)"/>
      <w:numFmt w:val="lowerLetter"/>
      <w:start w:val="2"/>
    </w:lvl>
    <w:lvl w:ilvl="1">
      <w:lvlJc w:val="left"/>
      <w:lvlText w:val="%2"/>
      <w:numFmt w:val="lowerRoman"/>
      <w:start w:val="1"/>
    </w:lvl>
  </w:abstractNum>
  <w:abstractNum w:abstractNumId="61">
    <w:nsid w:val="E0D31FF"/>
    <w:multiLevelType w:val="hybridMultilevel"/>
    <w:lvl w:ilvl="0">
      <w:lvlJc w:val="left"/>
      <w:lvlText w:val="(%1)"/>
      <w:numFmt w:val="lowerLetter"/>
      <w:start w:val="1"/>
    </w:lvl>
  </w:abstractNum>
  <w:abstractNum w:abstractNumId="62">
    <w:nsid w:val="2FD0AD81"/>
    <w:multiLevelType w:val="hybridMultilevel"/>
    <w:lvl w:ilvl="0">
      <w:lvlJc w:val="left"/>
      <w:lvlText w:val="(%1)"/>
      <w:numFmt w:val="lowerLetter"/>
      <w:start w:val="3"/>
    </w:lvl>
  </w:abstractNum>
  <w:abstractNum w:abstractNumId="63">
    <w:nsid w:val="1978EBEB"/>
    <w:multiLevelType w:val="hybridMultilevel"/>
    <w:lvl w:ilvl="0">
      <w:lvlJc w:val="left"/>
      <w:lvlText w:val="(%1)"/>
      <w:numFmt w:val="lowerRoman"/>
      <w:start w:val="1"/>
    </w:lvl>
  </w:abstractNum>
  <w:abstractNum w:abstractNumId="64">
    <w:nsid w:val="52C12C61"/>
    <w:multiLevelType w:val="hybridMultilevel"/>
    <w:lvl w:ilvl="0">
      <w:lvlJc w:val="left"/>
      <w:lvlText w:val="%1"/>
      <w:numFmt w:val="lowerLetter"/>
      <w:start w:val="1"/>
    </w:lvl>
    <w:lvl w:ilvl="1">
      <w:lvlJc w:val="left"/>
      <w:lvlText w:val="(%2)"/>
      <w:numFmt w:val="lowerLetter"/>
      <w:start w:val="1"/>
    </w:lvl>
  </w:abstractNum>
  <w:abstractNum w:abstractNumId="65">
    <w:nsid w:val="4BDD53FD"/>
    <w:multiLevelType w:val="hybridMultilevel"/>
    <w:lvl w:ilvl="0">
      <w:lvlJc w:val="left"/>
      <w:lvlText w:val="(%1)"/>
      <w:numFmt w:val="lowerLetter"/>
      <w:start w:val="9"/>
    </w:lvl>
    <w:lvl w:ilvl="1">
      <w:lvlJc w:val="left"/>
      <w:lvlText w:val="(%2)"/>
      <w:numFmt w:val="lowerLetter"/>
      <w:start w:val="2"/>
    </w:lvl>
  </w:abstractNum>
  <w:abstractNum w:abstractNumId="66">
    <w:nsid w:val="569951FE"/>
    <w:multiLevelType w:val="hybridMultilevel"/>
    <w:lvl w:ilvl="0">
      <w:lvlJc w:val="left"/>
      <w:lvlText w:val="(%1)"/>
      <w:numFmt w:val="lowerLetter"/>
      <w:start w:val="3"/>
    </w:lvl>
    <w:lvl w:ilvl="1">
      <w:lvlJc w:val="left"/>
      <w:lvlText w:val="(%2)"/>
      <w:numFmt w:val="lowerLetter"/>
      <w:start w:val="35"/>
    </w:lvl>
  </w:abstractNum>
  <w:abstractNum w:abstractNumId="67">
    <w:nsid w:val="4C54E2C3"/>
    <w:multiLevelType w:val="hybridMultilevel"/>
    <w:lvl w:ilvl="0">
      <w:lvlJc w:val="left"/>
      <w:lvlText w:val="%1"/>
      <w:numFmt w:val="lowerLetter"/>
      <w:start w:val="1"/>
    </w:lvl>
    <w:lvl w:ilvl="1">
      <w:lvlJc w:val="left"/>
      <w:lvlText w:val="(%2)"/>
      <w:numFmt w:val="lowerRoman"/>
      <w:start w:val="3"/>
    </w:lvl>
  </w:abstractNum>
  <w:abstractNum w:abstractNumId="68">
    <w:nsid w:val="788BD9B"/>
    <w:multiLevelType w:val="hybridMultilevel"/>
    <w:lvl w:ilvl="0">
      <w:lvlJc w:val="left"/>
      <w:lvlText w:val="(%1)"/>
      <w:numFmt w:val="lowerLetter"/>
      <w:start w:val="4"/>
    </w:lvl>
    <w:lvl w:ilvl="1">
      <w:lvlJc w:val="left"/>
      <w:lvlText w:val="%2"/>
      <w:numFmt w:val="lowerRoman"/>
      <w:start w:val="1"/>
    </w:lvl>
  </w:abstractNum>
  <w:abstractNum w:abstractNumId="69">
    <w:nsid w:val="47CAA567"/>
    <w:multiLevelType w:val="hybridMultilevel"/>
    <w:lvl w:ilvl="0">
      <w:lvlJc w:val="left"/>
      <w:lvlText w:val="%1"/>
      <w:numFmt w:val="lowerLetter"/>
      <w:start w:val="1"/>
    </w:lvl>
    <w:lvl w:ilvl="1">
      <w:lvlJc w:val="left"/>
      <w:lvlText w:val="(%2)"/>
      <w:numFmt w:val="lowerLetter"/>
      <w:start w:val="35"/>
    </w:lvl>
  </w:abstractNum>
  <w:abstractNum w:abstractNumId="70">
    <w:nsid w:val="48249DBF"/>
    <w:multiLevelType w:val="hybridMultilevel"/>
    <w:lvl w:ilvl="0">
      <w:lvlJc w:val="left"/>
      <w:lvlText w:val="(%1)"/>
      <w:numFmt w:val="lowerLetter"/>
      <w:start w:val="5"/>
    </w:lvl>
    <w:lvl w:ilvl="1">
      <w:lvlJc w:val="left"/>
      <w:lvlText w:val="%2"/>
      <w:numFmt w:val="lowerLetter"/>
      <w:start w:val="1"/>
    </w:lvl>
  </w:abstractNum>
  <w:abstractNum w:abstractNumId="71">
    <w:nsid w:val="1F0E5D0D"/>
    <w:multiLevelType w:val="hybridMultilevel"/>
    <w:lvl w:ilvl="0">
      <w:lvlJc w:val="left"/>
      <w:lvlText w:val="(%1)"/>
      <w:numFmt w:val="lowerLetter"/>
      <w:start w:val="1"/>
    </w:lvl>
  </w:abstractNum>
  <w:abstractNum w:abstractNumId="72">
    <w:nsid w:val="26BAAE9"/>
    <w:multiLevelType w:val="hybridMultilevel"/>
    <w:lvl w:ilvl="0">
      <w:lvlJc w:val="left"/>
      <w:lvlText w:val="(%1)"/>
      <w:numFmt w:val="lowerLetter"/>
      <w:start w:val="3"/>
    </w:lvl>
    <w:lvl w:ilvl="1">
      <w:lvlJc w:val="left"/>
      <w:lvlText w:val="(%2)"/>
      <w:numFmt w:val="lowerLetter"/>
      <w:start w:val="35"/>
    </w:lvl>
  </w:abstractNum>
  <w:abstractNum w:abstractNumId="73">
    <w:nsid w:val="2C02FE8C"/>
    <w:multiLevelType w:val="hybridMultilevel"/>
    <w:lvl w:ilvl="0">
      <w:lvlJc w:val="left"/>
      <w:lvlText w:val="(%1)"/>
      <w:numFmt w:val="lowerLetter"/>
      <w:start w:val="1"/>
    </w:lvl>
  </w:abstractNum>
  <w:abstractNum w:abstractNumId="74">
    <w:nsid w:val="129517E"/>
    <w:multiLevelType w:val="hybridMultilevel"/>
    <w:lvl w:ilvl="0">
      <w:lvlJc w:val="left"/>
      <w:lvlText w:val="(%1)"/>
      <w:numFmt w:val="lowerLetter"/>
      <w:start w:val="2"/>
    </w:lvl>
    <w:lvl w:ilvl="1">
      <w:lvlJc w:val="left"/>
      <w:lvlText w:val="(%2)"/>
      <w:numFmt w:val="lowerRoman"/>
      <w:start w:val="1"/>
    </w:lvl>
  </w:abstractNum>
  <w:abstractNum w:abstractNumId="75">
    <w:nsid w:val="763B8C4E"/>
    <w:multiLevelType w:val="hybridMultilevel"/>
    <w:lvl w:ilvl="0">
      <w:lvlJc w:val="left"/>
      <w:lvlText w:val="(%1)"/>
      <w:numFmt w:val="lowerLetter"/>
      <w:start w:val="4"/>
    </w:lvl>
  </w:abstractNum>
  <w:abstractNum w:abstractNumId="76">
    <w:nsid w:val="4CFB8D32"/>
    <w:multiLevelType w:val="hybridMultilevel"/>
    <w:lvl w:ilvl="0">
      <w:lvlJc w:val="left"/>
      <w:lvlText w:val="(%1)"/>
      <w:numFmt w:val="lowerLetter"/>
      <w:start w:val="1"/>
    </w:lvl>
    <w:lvl w:ilvl="1">
      <w:lvlJc w:val="left"/>
      <w:lvlText w:val="(%2)"/>
      <w:numFmt w:val="lowerRoman"/>
      <w:start w:val="1"/>
    </w:lvl>
  </w:abstractNum>
  <w:abstractNum w:abstractNumId="77">
    <w:nsid w:val="62A5D5BD"/>
    <w:multiLevelType w:val="hybridMultilevel"/>
    <w:lvl w:ilvl="0">
      <w:lvlJc w:val="left"/>
      <w:lvlText w:val="%1"/>
      <w:numFmt w:val="lowerLetter"/>
      <w:start w:val="1"/>
    </w:lvl>
    <w:lvl w:ilvl="1">
      <w:lvlJc w:val="left"/>
      <w:lvlText w:val="(%2)"/>
      <w:numFmt w:val="lowerLetter"/>
      <w:start w:val="35"/>
    </w:lvl>
  </w:abstractNum>
  <w:abstractNum w:abstractNumId="78">
    <w:nsid w:val="718FABF9"/>
    <w:multiLevelType w:val="hybridMultilevel"/>
    <w:lvl w:ilvl="0">
      <w:lvlJc w:val="left"/>
      <w:lvlText w:val="(%1)"/>
      <w:numFmt w:val="lowerLetter"/>
      <w:start w:val="3"/>
    </w:lvl>
    <w:lvl w:ilvl="1">
      <w:lvlJc w:val="left"/>
      <w:lvlText w:val="(%2)"/>
      <w:numFmt w:val="lowerLetter"/>
      <w:start w:val="9"/>
    </w:lvl>
  </w:abstractNum>
  <w:abstractNum w:abstractNumId="79">
    <w:nsid w:val="7775797C"/>
    <w:multiLevelType w:val="hybridMultilevel"/>
    <w:lvl w:ilvl="0">
      <w:lvlJc w:val="left"/>
      <w:lvlText w:val="%1"/>
      <w:numFmt w:val="lowerLetter"/>
      <w:start w:val="1"/>
    </w:lvl>
    <w:lvl w:ilvl="1">
      <w:lvlJc w:val="left"/>
      <w:lvlText w:val="(%2)"/>
      <w:numFmt w:val="lowerLetter"/>
      <w:start w:val="35"/>
    </w:lvl>
  </w:abstractNum>
  <w:abstractNum w:abstractNumId="80">
    <w:nsid w:val="1626FB8C"/>
    <w:multiLevelType w:val="hybridMultilevel"/>
    <w:lvl w:ilvl="0">
      <w:lvlJc w:val="left"/>
      <w:lvlText w:val="(%1)"/>
      <w:numFmt w:val="lowerLetter"/>
      <w:start w:val="4"/>
    </w:lvl>
    <w:lvl w:ilvl="1">
      <w:lvlJc w:val="left"/>
      <w:lvlText w:val="(%2)"/>
      <w:numFmt w:val="lowerLetter"/>
      <w:start w:val="9"/>
    </w:lvl>
  </w:abstractNum>
  <w:abstractNum w:abstractNumId="81">
    <w:nsid w:val="3957756A"/>
    <w:multiLevelType w:val="hybridMultilevel"/>
    <w:lvl w:ilvl="0">
      <w:lvlJc w:val="left"/>
      <w:lvlText w:val="(%1)"/>
      <w:numFmt w:val="lowerRoman"/>
      <w:start w:val="2"/>
    </w:lvl>
  </w:abstractNum>
  <w:abstractNum w:abstractNumId="82">
    <w:nsid w:val="3E6DA1C7"/>
    <w:multiLevelType w:val="hybridMultilevel"/>
    <w:lvl w:ilvl="0">
      <w:lvlJc w:val="left"/>
      <w:lvlText w:val="(%1)"/>
      <w:numFmt w:val="lowerLetter"/>
      <w:start w:val="5"/>
    </w:lvl>
  </w:abstractNum>
  <w:abstractNum w:abstractNumId="83">
    <w:nsid w:val="65CA235B"/>
    <w:multiLevelType w:val="hybridMultilevel"/>
    <w:lvl w:ilvl="0">
      <w:lvlJc w:val="left"/>
      <w:lvlText w:val="%1"/>
      <w:numFmt w:val="upperLetter"/>
      <w:start w:val="1"/>
    </w:lvl>
    <w:lvl w:ilvl="1">
      <w:lvlJc w:val="left"/>
      <w:lvlText w:val="(%2)"/>
      <w:numFmt w:val="lowerRoman"/>
      <w:start w:val="1"/>
    </w:lvl>
  </w:abstractNum>
  <w:abstractNum w:abstractNumId="84">
    <w:nsid w:val="51CB0DA4"/>
    <w:multiLevelType w:val="hybridMultilevel"/>
    <w:lvl w:ilvl="0">
      <w:lvlJc w:val="left"/>
      <w:lvlText w:val="(%1)"/>
      <w:numFmt w:val="upperLetter"/>
      <w:start w:val="1"/>
    </w:lvl>
    <w:lvl w:ilvl="1">
      <w:lvlJc w:val="left"/>
      <w:lvlText w:val="(%2)"/>
      <w:numFmt w:val="lowerRoman"/>
      <w:start w:val="2"/>
    </w:lvl>
  </w:abstractNum>
  <w:abstractNum w:abstractNumId="85">
    <w:nsid w:val="7B9B743C"/>
    <w:multiLevelType w:val="hybridMultilevel"/>
    <w:lvl w:ilvl="0">
      <w:lvlJc w:val="left"/>
      <w:lvlText w:val="(%1)"/>
      <w:numFmt w:val="lowerLetter"/>
      <w:start w:val="6"/>
    </w:lvl>
  </w:abstractNum>
  <w:abstractNum w:abstractNumId="86">
    <w:nsid w:val="13E21002"/>
    <w:multiLevelType w:val="hybridMultilevel"/>
    <w:lvl w:ilvl="0">
      <w:lvlJc w:val="left"/>
      <w:lvlText w:val="(%1)"/>
      <w:numFmt w:val="lowerLetter"/>
      <w:start w:val="1"/>
    </w:lvl>
  </w:abstractNum>
  <w:abstractNum w:abstractNumId="87">
    <w:nsid w:val="257D63F4"/>
    <w:multiLevelType w:val="hybridMultilevel"/>
    <w:lvl w:ilvl="0">
      <w:lvlJc w:val="left"/>
      <w:lvlText w:val="(%1)"/>
      <w:numFmt w:val="lowerLetter"/>
      <w:start w:val="3"/>
    </w:lvl>
  </w:abstractNum>
  <w:abstractNum w:abstractNumId="88">
    <w:nsid w:val="70EC11B2"/>
    <w:multiLevelType w:val="hybridMultilevel"/>
    <w:lvl w:ilvl="0">
      <w:lvlJc w:val="left"/>
      <w:lvlText w:val="(%1)"/>
      <w:numFmt w:val="lowerLetter"/>
      <w:start w:val="1"/>
    </w:lvl>
  </w:abstractNum>
  <w:abstractNum w:abstractNumId="89">
    <w:nsid w:val="2EDA00ED"/>
    <w:multiLevelType w:val="hybridMultilevel"/>
    <w:lvl w:ilvl="0">
      <w:lvlJc w:val="left"/>
      <w:lvlText w:val="%1"/>
      <w:numFmt w:val="lowerLetter"/>
      <w:start w:val="1"/>
    </w:lvl>
    <w:lvl w:ilvl="1">
      <w:lvlJc w:val="left"/>
      <w:lvlText w:val="(%2)"/>
      <w:numFmt w:val="lowerLetter"/>
      <w:start w:val="3"/>
    </w:lvl>
  </w:abstractNum>
  <w:abstractNum w:abstractNumId="90">
    <w:nsid w:val="73209072"/>
    <w:multiLevelType w:val="hybridMultilevel"/>
    <w:lvl w:ilvl="0">
      <w:lvlJc w:val="left"/>
      <w:lvlText w:val="(%1)"/>
      <w:numFmt w:val="lowerLetter"/>
      <w:start w:val="9"/>
    </w:lvl>
    <w:lvl w:ilvl="1">
      <w:lvlJc w:val="left"/>
      <w:lvlText w:val="(%2)"/>
      <w:numFmt w:val="lowerLetter"/>
      <w:start w:val="4"/>
    </w:lvl>
  </w:abstractNum>
  <w:abstractNum w:abstractNumId="91">
    <w:nsid w:val="5FB29816"/>
    <w:multiLevelType w:val="hybridMultilevel"/>
    <w:lvl w:ilvl="0">
      <w:lvlJc w:val="left"/>
      <w:lvlText w:val="(%1)"/>
      <w:numFmt w:val="lowerLetter"/>
      <w:start w:val="9"/>
    </w:lvl>
    <w:lvl w:ilvl="1">
      <w:lvlJc w:val="left"/>
      <w:lvlText w:val="%2"/>
      <w:numFmt w:val="lowerLetter"/>
      <w:start w:val="1"/>
    </w:lvl>
  </w:abstractNum>
  <w:abstractNum w:abstractNumId="92">
    <w:nsid w:val="3CE732EC"/>
    <w:multiLevelType w:val="hybridMultilevel"/>
    <w:lvl w:ilvl="0">
      <w:lvlJc w:val="left"/>
      <w:lvlText w:val="(%1)"/>
      <w:numFmt w:val="lowerLetter"/>
      <w:start w:val="1"/>
    </w:lvl>
  </w:abstractNum>
  <w:abstractNum w:abstractNumId="93">
    <w:nsid w:val="22F13DF3"/>
    <w:multiLevelType w:val="hybridMultilevel"/>
    <w:lvl w:ilvl="0">
      <w:lvlJc w:val="left"/>
      <w:lvlText w:val="(%1)"/>
      <w:numFmt w:val="lowerLetter"/>
      <w:start w:val="2"/>
    </w:lvl>
    <w:lvl w:ilvl="1">
      <w:lvlJc w:val="left"/>
      <w:lvlText w:val="(%2)"/>
      <w:numFmt w:val="lowerRoman"/>
      <w:start w:val="1"/>
    </w:lvl>
  </w:abstractNum>
  <w:abstractNum w:abstractNumId="94">
    <w:nsid w:val="792B8401"/>
    <w:multiLevelType w:val="hybridMultilevel"/>
    <w:lvl w:ilvl="0">
      <w:lvlJc w:val="left"/>
      <w:lvlText w:val="(%1)"/>
      <w:numFmt w:val="lowerLetter"/>
      <w:start w:val="3"/>
    </w:lvl>
  </w:abstractNum>
  <w:abstractNum w:abstractNumId="95">
    <w:nsid w:val="FA85F4D"/>
    <w:multiLevelType w:val="hybridMultilevel"/>
    <w:lvl w:ilvl="0">
      <w:lvlJc w:val="left"/>
      <w:lvlText w:val="(%1)"/>
      <w:numFmt w:val="lowerLetter"/>
      <w:start w:val="1"/>
    </w:lvl>
  </w:abstractNum>
  <w:abstractNum w:abstractNumId="96">
    <w:nsid w:val="6ECE91F0"/>
    <w:multiLevelType w:val="hybridMultilevel"/>
    <w:lvl w:ilvl="0">
      <w:lvlJc w:val="left"/>
      <w:lvlText w:val="(%1)"/>
      <w:numFmt w:val="lowerLetter"/>
      <w:start w:val="2"/>
    </w:lvl>
  </w:abstractNum>
  <w:abstractNum w:abstractNumId="97">
    <w:nsid w:val="4FC4D600"/>
    <w:multiLevelType w:val="hybridMultilevel"/>
    <w:lvl w:ilvl="0">
      <w:lvlJc w:val="left"/>
      <w:lvlText w:val="(%1)"/>
      <w:numFmt w:val="lowerLetter"/>
      <w:start w:val="7"/>
    </w:lvl>
  </w:abstractNum>
  <w:abstractNum w:abstractNumId="98">
    <w:nsid w:val="5BFD4210"/>
    <w:multiLevelType w:val="hybridMultilevel"/>
    <w:lvl w:ilvl="0">
      <w:lvlJc w:val="left"/>
      <w:lvlText w:val="(%1)"/>
      <w:numFmt w:val="lowerLetter"/>
      <w:start w:val="1"/>
    </w:lvl>
    <w:lvl w:ilvl="1">
      <w:lvlJc w:val="left"/>
      <w:lvlText w:val="(%2)"/>
      <w:numFmt w:val="lowerRoman"/>
      <w:start w:val="1"/>
    </w:lvl>
  </w:abstractNum>
  <w:abstractNum w:abstractNumId="99">
    <w:nsid w:val="76574F8B"/>
    <w:multiLevelType w:val="hybridMultilevel"/>
    <w:lvl w:ilvl="0">
      <w:lvlJc w:val="left"/>
      <w:lvlText w:val="(%1)"/>
      <w:numFmt w:val="lowerLetter"/>
      <w:start w:val="2"/>
    </w:lvl>
  </w:abstractNum>
  <w:abstractNum w:abstractNumId="100">
    <w:nsid w:val="178F7B67"/>
    <w:multiLevelType w:val="hybridMultilevel"/>
    <w:lvl w:ilvl="0">
      <w:lvlJc w:val="left"/>
      <w:lvlText w:val="(%1)"/>
      <w:numFmt w:val="lowerLetter"/>
      <w:start w:val="1"/>
    </w:lvl>
    <w:lvl w:ilvl="1">
      <w:lvlJc w:val="left"/>
      <w:lvlText w:val="(%2)"/>
      <w:numFmt w:val="lowerRoman"/>
      <w:start w:val="1"/>
    </w:lvl>
  </w:abstractNum>
  <w:abstractNum w:abstractNumId="101">
    <w:nsid w:val="2421DFCF"/>
    <w:multiLevelType w:val="hybridMultilevel"/>
    <w:lvl w:ilvl="0">
      <w:lvlJc w:val="left"/>
      <w:lvlText w:val="(%1)"/>
      <w:numFmt w:val="lowerLetter"/>
      <w:start w:val="2"/>
    </w:lvl>
  </w:abstractNum>
  <w:abstractNum w:abstractNumId="102">
    <w:nsid w:val="1565AC99"/>
    <w:multiLevelType w:val="hybridMultilevel"/>
    <w:lvl w:ilvl="0">
      <w:lvlJc w:val="left"/>
      <w:lvlText w:val="(%1)"/>
      <w:numFmt w:val="lowerLetter"/>
      <w:start w:val="4"/>
    </w:lvl>
  </w:abstractNum>
  <w:abstractNum w:abstractNumId="103">
    <w:nsid w:val="19FB2650"/>
    <w:multiLevelType w:val="hybridMultilevel"/>
    <w:lvl w:ilvl="0">
      <w:lvlJc w:val="left"/>
      <w:lvlText w:val="(%1)"/>
      <w:numFmt w:val="lowerLetter"/>
      <w:start w:val="1"/>
    </w:lvl>
  </w:abstractNum>
  <w:abstractNum w:abstractNumId="104">
    <w:nsid w:val="5024DE5B"/>
    <w:multiLevelType w:val="hybridMultilevel"/>
    <w:lvl w:ilvl="0">
      <w:lvlJc w:val="left"/>
      <w:lvlText w:val="(%1)"/>
      <w:numFmt w:val="lowerLetter"/>
      <w:start w:val="1"/>
    </w:lvl>
  </w:abstractNum>
  <w:abstractNum w:abstractNumId="105">
    <w:nsid w:val="168EFE17"/>
    <w:multiLevelType w:val="hybridMultilevel"/>
    <w:lvl w:ilvl="0">
      <w:lvlJc w:val="left"/>
      <w:lvlText w:val="(%1)"/>
      <w:numFmt w:val="lowerRoman"/>
      <w:start w:val="1"/>
    </w:lvl>
  </w:abstractNum>
  <w:abstractNum w:abstractNumId="106">
    <w:nsid w:val="1036B29F"/>
    <w:multiLevelType w:val="hybridMultilevel"/>
    <w:lvl w:ilvl="0">
      <w:lvlJc w:val="left"/>
      <w:lvlText w:val="(%1)"/>
      <w:numFmt w:val="lowerRoman"/>
      <w:start w:val="2"/>
    </w:lvl>
  </w:abstractNum>
  <w:abstractNum w:abstractNumId="107">
    <w:nsid w:val="1D206B8E"/>
    <w:multiLevelType w:val="hybridMultilevel"/>
    <w:lvl w:ilvl="0">
      <w:lvlJc w:val="left"/>
      <w:lvlText w:val="(%1)"/>
      <w:numFmt w:val="upperLetter"/>
      <w:start w:val="1"/>
    </w:lvl>
  </w:abstractNum>
  <w:abstractNum w:abstractNumId="108">
    <w:nsid w:val="7934D3D4"/>
    <w:multiLevelType w:val="hybridMultilevel"/>
    <w:lvl w:ilvl="0">
      <w:lvlJc w:val="left"/>
      <w:lvlText w:val="(%1)"/>
      <w:numFmt w:val="upperLetter"/>
      <w:start w:val="3"/>
    </w:lvl>
  </w:abstractNum>
  <w:abstractNum w:abstractNumId="109">
    <w:nsid w:val="1C65E98"/>
    <w:multiLevelType w:val="hybridMultilevel"/>
    <w:lvl w:ilvl="0">
      <w:lvlJc w:val="left"/>
      <w:lvlText w:val="%1"/>
      <w:numFmt w:val="lowerLetter"/>
      <w:start w:val="1"/>
    </w:lvl>
    <w:lvl w:ilvl="1">
      <w:lvlJc w:val="left"/>
      <w:lvlText w:val="(%2)"/>
      <w:numFmt w:val="lowerRoman"/>
      <w:start w:val="4"/>
    </w:lvl>
  </w:abstractNum>
  <w:abstractNum w:abstractNumId="110">
    <w:nsid w:val="1495E50A"/>
    <w:multiLevelType w:val="hybridMultilevel"/>
    <w:lvl w:ilvl="0">
      <w:lvlJc w:val="left"/>
      <w:lvlText w:val="(%1)"/>
      <w:numFmt w:val="lowerLetter"/>
      <w:start w:val="2"/>
    </w:lvl>
    <w:lvl w:ilvl="1">
      <w:lvlJc w:val="left"/>
      <w:lvlText w:val="%2"/>
      <w:numFmt w:val="lowerRoman"/>
      <w:start w:val="1"/>
    </w:lvl>
  </w:abstractNum>
  <w:abstractNum w:abstractNumId="111">
    <w:nsid w:val="F5BCF61"/>
    <w:multiLevelType w:val="hybridMultilevel"/>
    <w:lvl w:ilvl="0">
      <w:lvlJc w:val="left"/>
      <w:lvlText w:val="(%1)"/>
      <w:numFmt w:val="lowerLetter"/>
      <w:start w:val="1"/>
    </w:lvl>
  </w:abstractNum>
  <w:abstractNum w:abstractNumId="112">
    <w:nsid w:val="3B1DD403"/>
    <w:multiLevelType w:val="hybridMultilevel"/>
    <w:lvl w:ilvl="0">
      <w:lvlJc w:val="left"/>
      <w:lvlText w:val="(%1)"/>
      <w:numFmt w:val="lowerLetter"/>
      <w:start w:val="2"/>
    </w:lvl>
  </w:abstractNum>
  <w:abstractNum w:abstractNumId="113">
    <w:nsid w:val="530386D1"/>
    <w:multiLevelType w:val="hybridMultilevel"/>
    <w:lvl w:ilvl="0">
      <w:lvlJc w:val="left"/>
      <w:lvlText w:val="(%1)"/>
      <w:numFmt w:val="lowerRoman"/>
      <w:start w:val="1"/>
    </w:lvl>
  </w:abstractNum>
  <w:abstractNum w:abstractNumId="114">
    <w:nsid w:val="7525F2BC"/>
    <w:multiLevelType w:val="hybridMultilevel"/>
    <w:lvl w:ilvl="0">
      <w:lvlJc w:val="left"/>
      <w:lvlText w:val="(%1)"/>
      <w:numFmt w:val="lowerLetter"/>
      <w:start w:val="3"/>
    </w:lvl>
  </w:abstractNum>
  <w:abstractNum w:abstractNumId="115">
    <w:nsid w:val="CE8E1A7"/>
    <w:multiLevelType w:val="hybridMultilevel"/>
    <w:lvl w:ilvl="0">
      <w:lvlJc w:val="left"/>
      <w:lvlText w:val="(%1)"/>
      <w:numFmt w:val="lowerLetter"/>
      <w:start w:val="4"/>
    </w:lvl>
  </w:abstractNum>
  <w:abstractNum w:abstractNumId="116">
    <w:nsid w:val="4E9EFB0D"/>
    <w:multiLevelType w:val="hybridMultilevel"/>
    <w:lvl w:ilvl="0">
      <w:lvlJc w:val="left"/>
      <w:lvlText w:val="(%1)"/>
      <w:numFmt w:val="lowerLetter"/>
      <w:start w:val="1"/>
    </w:lvl>
  </w:abstractNum>
  <w:abstractNum w:abstractNumId="117">
    <w:nsid w:val="90802BE"/>
    <w:multiLevelType w:val="hybridMultilevel"/>
    <w:lvl w:ilvl="0">
      <w:lvlJc w:val="left"/>
      <w:lvlText w:val="(%1)"/>
      <w:numFmt w:val="lowerLetter"/>
      <w:start w:val="3"/>
    </w:lvl>
  </w:abstractNum>
  <w:abstractNum w:abstractNumId="118">
    <w:nsid w:val="3266459B"/>
    <w:multiLevelType w:val="hybridMultilevel"/>
    <w:lvl w:ilvl="0">
      <w:lvlJc w:val="left"/>
      <w:lvlText w:val="(%1)"/>
      <w:numFmt w:val="lowerLetter"/>
      <w:start w:val="5"/>
    </w:lvl>
  </w:abstractNum>
  <w:abstractNum w:abstractNumId="119">
    <w:nsid w:val="3F8B0CBF"/>
    <w:multiLevelType w:val="hybridMultilevel"/>
    <w:lvl w:ilvl="0">
      <w:lvlJc w:val="left"/>
      <w:lvlText w:val="(%1)"/>
      <w:numFmt w:val="lowerLetter"/>
      <w:start w:val="6"/>
    </w:lvl>
  </w:abstractNum>
  <w:abstractNum w:abstractNumId="120">
    <w:nsid w:val="37E203AB"/>
    <w:multiLevelType w:val="hybridMultilevel"/>
    <w:lvl w:ilvl="0">
      <w:lvlJc w:val="left"/>
      <w:lvlText w:val="(%1)"/>
      <w:numFmt w:val="lowerLetter"/>
      <w:start w:val="7"/>
    </w:lvl>
  </w:abstractNum>
  <w:abstractNum w:abstractNumId="121">
    <w:nsid w:val="2586D60E"/>
    <w:multiLevelType w:val="hybridMultilevel"/>
    <w:lvl w:ilvl="0">
      <w:lvlJc w:val="left"/>
      <w:lvlText w:val="(%1)"/>
      <w:numFmt w:val="lowerRoman"/>
      <w:start w:val="1"/>
    </w:lvl>
    <w:lvl w:ilvl="1">
      <w:lvlJc w:val="left"/>
      <w:lvlText w:val="(%2)"/>
      <w:numFmt w:val="lowerRoman"/>
      <w:start w:val="1"/>
    </w:lvl>
  </w:abstractNum>
  <w:abstractNum w:abstractNumId="122">
    <w:nsid w:val="1F3DA4D5"/>
    <w:multiLevelType w:val="hybridMultilevel"/>
    <w:lvl w:ilvl="0">
      <w:lvlJc w:val="left"/>
      <w:lvlText w:val="(%1)"/>
      <w:numFmt w:val="lowerLetter"/>
      <w:start w:val="10"/>
    </w:lvl>
  </w:abstractNum>
  <w:abstractNum w:abstractNumId="123">
    <w:nsid w:val="74C93698"/>
    <w:multiLevelType w:val="hybridMultilevel"/>
    <w:lvl w:ilvl="0">
      <w:lvlJc w:val="left"/>
      <w:lvlText w:val="(%1)"/>
      <w:numFmt w:val="lowerRoman"/>
      <w:start w:val="1"/>
    </w:lvl>
  </w:abstractNum>
  <w:abstractNum w:abstractNumId="124">
    <w:nsid w:val="48781401"/>
    <w:multiLevelType w:val="hybridMultilevel"/>
    <w:lvl w:ilvl="0">
      <w:lvlJc w:val="left"/>
      <w:lvlText w:val="(%1)"/>
      <w:numFmt w:val="upperLetter"/>
      <w:start w:val="1"/>
    </w:lvl>
  </w:abstractNum>
  <w:abstractNum w:abstractNumId="125">
    <w:nsid w:val="186928D6"/>
    <w:multiLevelType w:val="hybridMultilevel"/>
    <w:lvl w:ilvl="0">
      <w:lvlJc w:val="left"/>
      <w:lvlText w:val="(%1)"/>
      <w:numFmt w:val="lowerRoman"/>
      <w:start w:val="2"/>
    </w:lvl>
  </w:abstractNum>
  <w:abstractNum w:abstractNumId="126">
    <w:nsid w:val="47195E5"/>
    <w:multiLevelType w:val="hybridMultilevel"/>
    <w:lvl w:ilvl="0">
      <w:lvlJc w:val="left"/>
      <w:lvlText w:val="(%1)"/>
      <w:numFmt w:val="lowerLetter"/>
      <w:start w:val="5"/>
    </w:lvl>
    <w:lvl w:ilvl="1">
      <w:lvlJc w:val="left"/>
      <w:lvlText w:val="(%2)"/>
      <w:numFmt w:val="lowerLetter"/>
      <w:start w:val="11"/>
    </w:lvl>
  </w:abstractNum>
  <w:abstractNum w:abstractNumId="127">
    <w:nsid w:val="3746A5F2"/>
    <w:multiLevelType w:val="hybridMultilevel"/>
    <w:lvl w:ilvl="0">
      <w:lvlJc w:val="left"/>
      <w:lvlText w:val="(%1)"/>
      <w:numFmt w:val="lowerLetter"/>
      <w:start w:val="12"/>
    </w:lvl>
  </w:abstractNum>
  <w:abstractNum w:abstractNumId="128">
    <w:nsid w:val="682DFED6"/>
    <w:multiLevelType w:val="hybridMultilevel"/>
    <w:lvl w:ilvl="0">
      <w:lvlJc w:val="left"/>
      <w:lvlText w:val="(%1)"/>
      <w:numFmt w:val="lowerLetter"/>
      <w:start w:val="13"/>
    </w:lvl>
  </w:abstractNum>
  <w:abstractNum w:abstractNumId="129">
    <w:nsid w:val="606ED7F6"/>
    <w:multiLevelType w:val="hybridMultilevel"/>
    <w:lvl w:ilvl="0">
      <w:lvlJc w:val="left"/>
      <w:lvlText w:val="%1"/>
      <w:numFmt w:val="lowerLetter"/>
      <w:start w:val="1"/>
    </w:lvl>
    <w:lvl w:ilvl="1">
      <w:lvlJc w:val="left"/>
      <w:lvlText w:val="(%2)"/>
      <w:numFmt w:val="lowerLetter"/>
      <w:start w:val="1"/>
    </w:lvl>
  </w:abstractNum>
  <w:abstractNum w:abstractNumId="130">
    <w:nsid w:val="2D9DF57D"/>
    <w:multiLevelType w:val="hybridMultilevel"/>
    <w:lvl w:ilvl="0">
      <w:lvlJc w:val="left"/>
      <w:lvlText w:val="(%1)"/>
      <w:numFmt w:val="lowerLetter"/>
      <w:start w:val="35"/>
    </w:lvl>
    <w:lvl w:ilvl="1">
      <w:lvlJc w:val="left"/>
      <w:lvlText w:val="%2"/>
      <w:numFmt w:val="lowerLetter"/>
      <w:start w:val="1"/>
    </w:lvl>
  </w:abstractNum>
  <w:abstractNum w:abstractNumId="131">
    <w:nsid w:val="7FBD7A3E"/>
    <w:multiLevelType w:val="hybridMultilevel"/>
    <w:lvl w:ilvl="0">
      <w:lvlJc w:val="left"/>
      <w:lvlText w:val="(%1)"/>
      <w:numFmt w:val="lowerLetter"/>
      <w:start w:val="2"/>
    </w:lvl>
  </w:abstractNum>
  <w:abstractNum w:abstractNumId="132">
    <w:nsid w:val="490B7C5"/>
    <w:multiLevelType w:val="hybridMultilevel"/>
    <w:lvl w:ilvl="0">
      <w:lvlJc w:val="left"/>
      <w:lvlText w:val="(%1)"/>
      <w:numFmt w:val="lowerLetter"/>
      <w:start w:val="4"/>
    </w:lvl>
  </w:abstractNum>
  <w:abstractNum w:abstractNumId="133">
    <w:nsid w:val="4303A216"/>
    <w:multiLevelType w:val="hybridMultilevel"/>
    <w:lvl w:ilvl="0">
      <w:lvlJc w:val="left"/>
      <w:lvlText w:val="(%1)"/>
      <w:numFmt w:val="lowerLetter"/>
      <w:start w:val="1"/>
    </w:lvl>
  </w:abstractNum>
  <w:abstractNum w:abstractNumId="134">
    <w:nsid w:val="19B8A08E"/>
    <w:multiLevelType w:val="hybridMultilevel"/>
    <w:lvl w:ilvl="0">
      <w:lvlJc w:val="left"/>
      <w:lvlText w:val="(%1)"/>
      <w:numFmt w:val="lowerLetter"/>
      <w:start w:val="3"/>
    </w:lvl>
  </w:abstractNum>
  <w:abstractNum w:abstractNumId="135">
    <w:nsid w:val="54B59621"/>
    <w:multiLevelType w:val="hybridMultilevel"/>
    <w:lvl w:ilvl="0">
      <w:lvlJc w:val="left"/>
      <w:lvlText w:val="(%1)"/>
      <w:numFmt w:val="lowerLetter"/>
      <w:start w:val="6"/>
    </w:lvl>
  </w:abstractNum>
  <w:abstractNum w:abstractNumId="136">
    <w:nsid w:val="5992A02E"/>
    <w:multiLevelType w:val="hybridMultilevel"/>
    <w:lvl w:ilvl="0">
      <w:lvlJc w:val="left"/>
      <w:lvlText w:val="(%1)"/>
      <w:numFmt w:val="lowerLetter"/>
      <w:start w:val="8"/>
    </w:lvl>
  </w:abstractNum>
  <w:abstractNum w:abstractNumId="137">
    <w:nsid w:val="29EF532D"/>
    <w:multiLevelType w:val="hybridMultilevel"/>
    <w:lvl w:ilvl="0">
      <w:lvlJc w:val="left"/>
      <w:lvlText w:val="(%1)"/>
      <w:numFmt w:val="lowerLetter"/>
      <w:start w:val="1"/>
    </w:lvl>
  </w:abstractNum>
  <w:abstractNum w:abstractNumId="138">
    <w:nsid w:val="71D601AF"/>
    <w:multiLevelType w:val="hybridMultilevel"/>
    <w:lvl w:ilvl="0">
      <w:lvlJc w:val="left"/>
      <w:lvlText w:val="%1"/>
      <w:numFmt w:val="decimal"/>
      <w:start w:val="1"/>
    </w:lvl>
    <w:lvl w:ilvl="1">
      <w:lvlJc w:val="left"/>
      <w:lvlText w:val="(%2)"/>
      <w:numFmt w:val="lowerLetter"/>
      <w:start w:val="2"/>
    </w:lvl>
  </w:abstractNum>
  <w:abstractNum w:abstractNumId="139">
    <w:nsid w:val="52C77402"/>
    <w:multiLevelType w:val="hybridMultilevel"/>
    <w:lvl w:ilvl="0">
      <w:lvlJc w:val="left"/>
      <w:lvlText w:val="(%1)"/>
      <w:numFmt w:val="decimal"/>
      <w:start w:val="1"/>
    </w:lvl>
    <w:lvl w:ilvl="1">
      <w:lvlJc w:val="left"/>
      <w:lvlText w:val="%2"/>
      <w:numFmt w:val="lowerLetter"/>
      <w:start w:val="1"/>
    </w:lvl>
  </w:abstractNum>
  <w:abstractNum w:abstractNumId="140">
    <w:nsid w:val="2BB5B1C6"/>
    <w:multiLevelType w:val="hybridMultilevel"/>
    <w:lvl w:ilvl="0">
      <w:lvlJc w:val="left"/>
      <w:lvlText w:val="(%1)"/>
      <w:numFmt w:val="lowerLetter"/>
      <w:start w:val="1"/>
    </w:lvl>
  </w:abstractNum>
  <w:abstractNum w:abstractNumId="141">
    <w:nsid w:val="66BE6B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2">
    <w:nsid w:val="62234363"/>
    <w:multiLevelType w:val="hybridMultilevel"/>
    <w:lvl w:ilvl="0">
      <w:lvlJc w:val="left"/>
      <w:lvlText w:val="(%1)"/>
      <w:numFmt w:val="lowerRoman"/>
      <w:start w:val="3"/>
    </w:lvl>
  </w:abstractNum>
  <w:abstractNum w:abstractNumId="143">
    <w:nsid w:val="66D385C9"/>
    <w:multiLevelType w:val="hybridMultilevel"/>
    <w:lvl w:ilvl="0">
      <w:lvlJc w:val="left"/>
      <w:lvlText w:val="(%1)"/>
      <w:numFmt w:val="lowerLetter"/>
      <w:start w:val="1"/>
    </w:lvl>
    <w:lvl w:ilvl="1">
      <w:lvlJc w:val="left"/>
      <w:lvlText w:val="(%2)"/>
      <w:numFmt w:val="lowerRoman"/>
      <w:start w:val="1"/>
    </w:lvl>
  </w:abstractNum>
  <w:abstractNum w:abstractNumId="144">
    <w:nsid w:val="596F6D8A"/>
    <w:multiLevelType w:val="hybridMultilevel"/>
    <w:lvl w:ilvl="0">
      <w:lvlJc w:val="left"/>
      <w:lvlText w:val="%1"/>
      <w:numFmt w:val="upperLetter"/>
      <w:start w:val="1"/>
    </w:lvl>
    <w:lvl w:ilvl="1">
      <w:lvlJc w:val="left"/>
      <w:lvlText w:val="(%2)"/>
      <w:numFmt w:val="lowerRoman"/>
      <w:start w:val="7"/>
    </w:lvl>
  </w:abstractNum>
  <w:abstractNum w:abstractNumId="145">
    <w:nsid w:val="5749361F"/>
    <w:multiLevelType w:val="hybridMultilevel"/>
    <w:lvl w:ilvl="0">
      <w:lvlJc w:val="left"/>
      <w:lvlText w:val="(%1)"/>
      <w:numFmt w:val="upperLetter"/>
      <w:start w:val="2"/>
    </w:lvl>
    <w:lvl w:ilvl="1">
      <w:lvlJc w:val="left"/>
      <w:lvlText w:val="(%2)"/>
      <w:numFmt w:val="lowerRoman"/>
      <w:start w:val="8"/>
    </w:lvl>
  </w:abstractNum>
  <w:abstractNum w:abstractNumId="146">
    <w:nsid w:val="73BC6770"/>
    <w:multiLevelType w:val="hybridMultilevel"/>
    <w:lvl w:ilvl="0">
      <w:lvlJc w:val="left"/>
      <w:lvlText w:val="(%1)"/>
      <w:numFmt w:val="upperLetter"/>
      <w:start w:val="2"/>
    </w:lvl>
    <w:lvl w:ilvl="1">
      <w:lvlJc w:val="left"/>
      <w:lvlText w:val="(%2)"/>
      <w:numFmt w:val="lowerRoman"/>
      <w:start w:val="9"/>
    </w:lvl>
  </w:abstractNum>
  <w:abstractNum w:abstractNumId="147">
    <w:nsid w:val="280E6897"/>
    <w:multiLevelType w:val="hybridMultilevel"/>
    <w:lvl w:ilvl="0">
      <w:lvlJc w:val="left"/>
      <w:lvlText w:val="(%1)"/>
      <w:numFmt w:val="lowerRoman"/>
      <w:start w:val="11"/>
    </w:lvl>
  </w:abstractNum>
  <w:abstractNum w:abstractNumId="148">
    <w:nsid w:val="605138DE"/>
    <w:multiLevelType w:val="hybridMultilevel"/>
    <w:lvl w:ilvl="0">
      <w:lvlJc w:val="left"/>
      <w:lvlText w:val="(%1)"/>
      <w:numFmt w:val="lowerLetter"/>
      <w:start w:val="2"/>
    </w:lvl>
  </w:abstractNum>
  <w:abstractNum w:abstractNumId="149">
    <w:nsid w:val="2622AD0C"/>
    <w:multiLevelType w:val="hybridMultilevel"/>
    <w:lvl w:ilvl="0">
      <w:lvlJc w:val="left"/>
      <w:lvlText w:val="(%1)"/>
      <w:numFmt w:val="lowerLetter"/>
      <w:start w:val="5"/>
    </w:lvl>
  </w:abstractNum>
  <w:abstractNum w:abstractNumId="150">
    <w:nsid w:val="67997556"/>
    <w:multiLevelType w:val="hybridMultilevel"/>
    <w:lvl w:ilvl="0">
      <w:lvlJc w:val="left"/>
      <w:lvlText w:val="%1"/>
      <w:numFmt w:val="lowerLetter"/>
      <w:start w:val="1"/>
    </w:lvl>
    <w:lvl w:ilvl="1">
      <w:lvlJc w:val="left"/>
      <w:lvlText w:val="(%2)"/>
      <w:numFmt w:val="lowerLetter"/>
      <w:start w:val="1"/>
    </w:lvl>
  </w:abstractNum>
  <w:abstractNum w:abstractNumId="151">
    <w:nsid w:val="18333C89"/>
    <w:multiLevelType w:val="hybridMultilevel"/>
    <w:lvl w:ilvl="0">
      <w:lvlJc w:val="left"/>
      <w:lvlText w:val="(%1)"/>
      <w:numFmt w:val="lowerLetter"/>
      <w:start w:val="9"/>
    </w:lvl>
    <w:lvl w:ilvl="1">
      <w:lvlJc w:val="left"/>
      <w:lvlText w:val="%2"/>
      <w:numFmt w:val="lowerLetter"/>
      <w:start w:val="1"/>
    </w:lvl>
  </w:abstractNum>
  <w:abstractNum w:abstractNumId="152">
    <w:nsid w:val="4BA9831A"/>
    <w:multiLevelType w:val="hybridMultilevel"/>
    <w:lvl w:ilvl="0">
      <w:lvlJc w:val="left"/>
      <w:lvlText w:val="(%1)"/>
      <w:numFmt w:val="lowerLetter"/>
      <w:start w:val="3"/>
    </w:lvl>
  </w:abstractNum>
  <w:abstractNum w:abstractNumId="153">
    <w:nsid w:val="6D71A2B"/>
    <w:multiLevelType w:val="hybridMultilevel"/>
    <w:lvl w:ilvl="0">
      <w:lvlJc w:val="left"/>
      <w:lvlText w:val="(%1)"/>
      <w:numFmt w:val="lowerLetter"/>
      <w:start w:val="4"/>
    </w:lvl>
  </w:abstractNum>
  <w:abstractNum w:abstractNumId="154">
    <w:nsid w:val="CFC7321"/>
    <w:multiLevelType w:val="hybridMultilevel"/>
    <w:lvl w:ilvl="0">
      <w:lvlJc w:val="left"/>
      <w:lvlText w:val="(%1)"/>
      <w:numFmt w:val="lowerLetter"/>
      <w:start w:val="1"/>
    </w:lvl>
  </w:abstractNum>
  <w:abstractNum w:abstractNumId="155">
    <w:nsid w:val="1421971B"/>
    <w:multiLevelType w:val="hybridMultilevel"/>
    <w:lvl w:ilvl="0">
      <w:lvlJc w:val="left"/>
      <w:lvlText w:val="(%1)"/>
      <w:numFmt w:val="lowerLetter"/>
      <w:start w:val="2"/>
    </w:lvl>
  </w:abstractNum>
  <w:abstractNum w:abstractNumId="156">
    <w:nsid w:val="1F404301"/>
    <w:multiLevelType w:val="hybridMultilevel"/>
    <w:lvl w:ilvl="0">
      <w:lvlJc w:val="left"/>
      <w:lvlText w:val="(%1)"/>
      <w:numFmt w:val="lowerLetter"/>
      <w:start w:val="1"/>
    </w:lvl>
  </w:abstractNum>
  <w:abstractNum w:abstractNumId="157">
    <w:nsid w:val="116E0907"/>
    <w:multiLevelType w:val="hybridMultilevel"/>
    <w:lvl w:ilvl="0">
      <w:lvlJc w:val="left"/>
      <w:lvlText w:val="(%1)"/>
      <w:numFmt w:val="lowerLetter"/>
      <w:start w:val="1"/>
    </w:lvl>
  </w:abstractNum>
  <w:abstractNum w:abstractNumId="158">
    <w:nsid w:val="4B683D0D"/>
    <w:multiLevelType w:val="hybridMultilevel"/>
    <w:lvl w:ilvl="0">
      <w:lvlJc w:val="left"/>
      <w:lvlText w:val="(%1)"/>
      <w:numFmt w:val="lowerLetter"/>
      <w:start w:val="1"/>
    </w:lvl>
  </w:abstractNum>
  <w:abstractNum w:abstractNumId="159">
    <w:nsid w:val="76E41D8"/>
    <w:multiLevelType w:val="hybridMultilevel"/>
    <w:lvl w:ilvl="0">
      <w:lvlJc w:val="left"/>
      <w:lvlText w:val="(%1)"/>
      <w:numFmt w:val="lowerLetter"/>
      <w:start w:val="1"/>
    </w:lvl>
  </w:abstractNum>
  <w:abstractNum w:abstractNumId="160">
    <w:nsid w:val="71DCE0FD"/>
    <w:multiLevelType w:val="hybridMultilevel"/>
    <w:lvl w:ilvl="0">
      <w:lvlJc w:val="left"/>
      <w:lvlText w:val="(%1)"/>
      <w:numFmt w:val="lowerLetter"/>
      <w:start w:val="1"/>
    </w:lvl>
  </w:abstractNum>
  <w:abstractNum w:abstractNumId="161">
    <w:nsid w:val="7906328B"/>
    <w:multiLevelType w:val="hybridMultilevel"/>
    <w:lvl w:ilvl="0">
      <w:lvlJc w:val="left"/>
      <w:lvlText w:val="(%1)"/>
      <w:numFmt w:val="lowerLetter"/>
      <w:start w:val="1"/>
    </w:lvl>
    <w:lvl w:ilvl="1">
      <w:lvlJc w:val="left"/>
      <w:lvlText w:val="(%2)"/>
      <w:numFmt w:val="lowerRoman"/>
      <w:start w:val="1"/>
    </w:lvl>
  </w:abstractNum>
  <w:abstractNum w:abstractNumId="162">
    <w:nsid w:val="72BBC16"/>
    <w:multiLevelType w:val="hybridMultilevel"/>
    <w:lvl w:ilvl="0">
      <w:lvlJc w:val="left"/>
      <w:lvlText w:val="(%1)"/>
      <w:numFmt w:val="lowerLetter"/>
      <w:start w:val="1"/>
    </w:lvl>
  </w:abstractNum>
  <w:abstractNum w:abstractNumId="163">
    <w:nsid w:val="766D98C2"/>
    <w:multiLevelType w:val="hybridMultilevel"/>
    <w:lvl w:ilvl="0">
      <w:lvlJc w:val="left"/>
      <w:lvlText w:val="(%1)"/>
      <w:numFmt w:val="lowerLetter"/>
      <w:start w:val="2"/>
    </w:lvl>
  </w:abstractNum>
  <w:abstractNum w:abstractNumId="164">
    <w:nsid w:val="3C09D4A1"/>
    <w:multiLevelType w:val="hybridMultilevel"/>
    <w:lvl w:ilvl="0">
      <w:lvlJc w:val="left"/>
      <w:lvlText w:val="(%1)"/>
      <w:numFmt w:val="lowerLetter"/>
      <w:start w:val="4"/>
    </w:lvl>
    <w:lvl w:ilvl="1">
      <w:lvlJc w:val="left"/>
      <w:lvlText w:val="(%2)"/>
      <w:numFmt w:val="lowerRoman"/>
      <w:start w:val="1"/>
    </w:lvl>
  </w:abstractNum>
  <w:abstractNum w:abstractNumId="165">
    <w:nsid w:val="20E45CA4"/>
    <w:multiLevelType w:val="hybridMultilevel"/>
    <w:lvl w:ilvl="0">
      <w:lvlJc w:val="left"/>
      <w:lvlText w:val="(%1)"/>
      <w:numFmt w:val="lowerLetter"/>
      <w:start w:val="5"/>
    </w:lvl>
    <w:lvl w:ilvl="1">
      <w:lvlJc w:val="left"/>
      <w:lvlText w:val="(%2)"/>
      <w:numFmt w:val="lowerRoman"/>
      <w:start w:val="1"/>
    </w:lvl>
  </w:abstractNum>
  <w:abstractNum w:abstractNumId="166">
    <w:nsid w:val="4B232EE3"/>
    <w:multiLevelType w:val="hybridMultilevel"/>
    <w:lvl w:ilvl="0">
      <w:lvlJc w:val="left"/>
      <w:lvlText w:val="(%1)"/>
      <w:numFmt w:val="lowerLetter"/>
      <w:start w:val="8"/>
    </w:lvl>
  </w:abstractNum>
  <w:abstractNum w:abstractNumId="167">
    <w:nsid w:val="159C74CF"/>
    <w:multiLevelType w:val="hybridMultilevel"/>
    <w:lvl w:ilvl="0">
      <w:lvlJc w:val="left"/>
      <w:lvlText w:val="%1"/>
      <w:numFmt w:val="lowerLetter"/>
      <w:start w:val="1"/>
    </w:lvl>
    <w:lvl w:ilvl="1">
      <w:lvlJc w:val="left"/>
      <w:lvlText w:val="(%2)"/>
      <w:numFmt w:val="lowerLetter"/>
      <w:start w:val="9"/>
    </w:lvl>
  </w:abstractNum>
  <w:abstractNum w:abstractNumId="168">
    <w:nsid w:val="4AD3AFD2"/>
    <w:multiLevelType w:val="hybridMultilevel"/>
    <w:lvl w:ilvl="0">
      <w:lvlJc w:val="left"/>
      <w:lvlText w:val="(%1)"/>
      <w:numFmt w:val="lowerLetter"/>
      <w:start w:val="25"/>
    </w:lvl>
    <w:lvl w:ilvl="1">
      <w:lvlJc w:val="left"/>
      <w:lvlText w:val="%2"/>
      <w:numFmt w:val="lowerLetter"/>
      <w:start w:val="1"/>
    </w:lvl>
  </w:abstractNum>
  <w:abstractNum w:abstractNumId="169">
    <w:nsid w:val="3CF93092"/>
    <w:multiLevelType w:val="hybridMultilevel"/>
    <w:lvl w:ilvl="0">
      <w:lvlJc w:val="left"/>
      <w:lvlText w:val="(%1)"/>
      <w:numFmt w:val="lowerRoman"/>
      <w:start w:val="1"/>
    </w:lvl>
  </w:abstractNum>
  <w:abstractNum w:abstractNumId="170">
    <w:nsid w:val="6863E8D2"/>
    <w:multiLevelType w:val="hybridMultilevel"/>
    <w:lvl w:ilvl="0">
      <w:lvlJc w:val="left"/>
      <w:lvlText w:val="(%1)"/>
      <w:numFmt w:val="lowerRoman"/>
      <w:start w:val="1"/>
    </w:lvl>
  </w:abstractNum>
  <w:abstractNum w:abstractNumId="171">
    <w:nsid w:val="76896198"/>
    <w:multiLevelType w:val="hybridMultilevel"/>
    <w:lvl w:ilvl="0">
      <w:lvlJc w:val="left"/>
      <w:lvlText w:val="(%1)"/>
      <w:numFmt w:val="lowerLetter"/>
      <w:start w:val="1"/>
    </w:lvl>
  </w:abstractNum>
  <w:abstractNum w:abstractNumId="172">
    <w:nsid w:val="4365174B"/>
    <w:multiLevelType w:val="hybridMultilevel"/>
    <w:lvl w:ilvl="0">
      <w:lvlJc w:val="left"/>
      <w:lvlText w:val="(%1)"/>
      <w:numFmt w:val="lowerLetter"/>
      <w:start w:val="2"/>
    </w:lvl>
  </w:abstractNum>
  <w:abstractNum w:abstractNumId="173">
    <w:nsid w:val="4A872C35"/>
    <w:multiLevelType w:val="hybridMultilevel"/>
    <w:lvl w:ilvl="0">
      <w:lvlJc w:val="left"/>
      <w:lvlText w:val="(%1)"/>
      <w:numFmt w:val="lowerLetter"/>
      <w:start w:val="1"/>
    </w:lvl>
  </w:abstractNum>
  <w:abstractNum w:abstractNumId="174">
    <w:nsid w:val="5D5CE761"/>
    <w:multiLevelType w:val="hybridMultilevel"/>
    <w:lvl w:ilvl="0">
      <w:lvlJc w:val="left"/>
      <w:lvlText w:val="%1"/>
      <w:numFmt w:val="lowerLetter"/>
      <w:start w:val="1"/>
    </w:lvl>
    <w:lvl w:ilvl="1">
      <w:lvlJc w:val="left"/>
      <w:lvlText w:val="(%2)"/>
      <w:numFmt w:val="lowerLetter"/>
      <w:start w:val="2"/>
    </w:lvl>
  </w:abstractNum>
  <w:abstractNum w:abstractNumId="175">
    <w:nsid w:val="1CD484D5"/>
    <w:multiLevelType w:val="hybridMultilevel"/>
    <w:lvl w:ilvl="0">
      <w:lvlJc w:val="left"/>
      <w:lvlText w:val="(%1)"/>
      <w:numFmt w:val="lowerLetter"/>
      <w:start w:val="9"/>
    </w:lvl>
    <w:lvl w:ilvl="1">
      <w:lvlJc w:val="left"/>
      <w:lvlText w:val="%2"/>
      <w:numFmt w:val="lowerLetter"/>
      <w:start w:val="1"/>
    </w:lvl>
  </w:abstractNum>
  <w:abstractNum w:abstractNumId="176">
    <w:nsid w:val="21D06255"/>
    <w:multiLevelType w:val="hybridMultilevel"/>
    <w:lvl w:ilvl="0">
      <w:lvlJc w:val="left"/>
      <w:lvlText w:val="%1"/>
      <w:numFmt w:val="lowerLetter"/>
      <w:start w:val="1"/>
    </w:lvl>
    <w:lvl w:ilvl="1">
      <w:lvlJc w:val="left"/>
      <w:lvlText w:val="(%2)"/>
      <w:numFmt w:val="lowerLetter"/>
      <w:start w:val="4"/>
    </w:lvl>
  </w:abstractNum>
  <w:abstractNum w:abstractNumId="177">
    <w:nsid w:val="51194ED1"/>
    <w:multiLevelType w:val="hybridMultilevel"/>
    <w:lvl w:ilvl="0">
      <w:lvlJc w:val="left"/>
      <w:lvlText w:val="(%1)"/>
      <w:numFmt w:val="lowerLetter"/>
      <w:start w:val="9"/>
    </w:lvl>
    <w:lvl w:ilvl="1">
      <w:lvlJc w:val="left"/>
      <w:lvlText w:val="(%2)"/>
      <w:numFmt w:val="lowerLetter"/>
      <w:start w:val="5"/>
    </w:lvl>
  </w:abstractNum>
  <w:abstractNum w:abstractNumId="178">
    <w:nsid w:val="44E2ED6C"/>
    <w:multiLevelType w:val="hybridMultilevel"/>
    <w:lvl w:ilvl="0">
      <w:lvlJc w:val="left"/>
      <w:lvlText w:val="%1"/>
      <w:numFmt w:val="lowerLetter"/>
      <w:start w:val="1"/>
    </w:lvl>
    <w:lvl w:ilvl="1">
      <w:lvlJc w:val="left"/>
      <w:lvlText w:val="(%2)"/>
      <w:numFmt w:val="lowerLetter"/>
      <w:start w:val="1"/>
    </w:lvl>
  </w:abstractNum>
  <w:abstractNum w:abstractNumId="179">
    <w:nsid w:val="2219B33"/>
    <w:multiLevelType w:val="hybridMultilevel"/>
    <w:lvl w:ilvl="0">
      <w:lvlJc w:val="left"/>
      <w:lvlText w:val="(%1)"/>
      <w:numFmt w:val="lowerLetter"/>
      <w:start w:val="9"/>
    </w:lvl>
    <w:lvl w:ilvl="1">
      <w:lvlJc w:val="left"/>
      <w:lvlText w:val="%2"/>
      <w:numFmt w:val="lowerLetter"/>
      <w:start w:val="1"/>
    </w:lvl>
  </w:abstractNum>
  <w:abstractNum w:abstractNumId="180">
    <w:nsid w:val="773BFBDD"/>
    <w:multiLevelType w:val="hybridMultilevel"/>
    <w:lvl w:ilvl="0">
      <w:lvlJc w:val="left"/>
      <w:lvlText w:val="(%1)"/>
      <w:numFmt w:val="lowerLetter"/>
      <w:start w:val="2"/>
    </w:lvl>
  </w:abstractNum>
  <w:abstractNum w:abstractNumId="181">
    <w:nsid w:val="2C7C62C2"/>
    <w:multiLevelType w:val="hybridMultilevel"/>
    <w:lvl w:ilvl="0">
      <w:lvlJc w:val="left"/>
      <w:lvlText w:val="(%1)"/>
      <w:numFmt w:val="lowerLetter"/>
      <w:start w:val="1"/>
    </w:lvl>
    <w:lvl w:ilvl="1">
      <w:lvlJc w:val="left"/>
      <w:lvlText w:val="(%2)"/>
      <w:numFmt w:val="lowerRoman"/>
      <w:start w:val="1"/>
    </w:lvl>
  </w:abstractNum>
  <w:abstractNum w:abstractNumId="182">
    <w:nsid w:val="1A54D7BC"/>
    <w:multiLevelType w:val="hybridMultilevel"/>
    <w:lvl w:ilvl="0">
      <w:lvlJc w:val="left"/>
      <w:lvlText w:val="(%1)"/>
      <w:numFmt w:val="lowerLetter"/>
      <w:start w:val="1"/>
    </w:lvl>
  </w:abstractNum>
  <w:abstractNum w:abstractNumId="183">
    <w:nsid w:val="42E57EF7"/>
    <w:multiLevelType w:val="hybridMultilevel"/>
    <w:lvl w:ilvl="0">
      <w:lvlJc w:val="left"/>
      <w:lvlText w:val="(%1)"/>
      <w:numFmt w:val="lowerLetter"/>
      <w:start w:val="3"/>
    </w:lvl>
  </w:abstractNum>
  <w:abstractNum w:abstractNumId="184">
    <w:nsid w:val="33537CED"/>
    <w:multiLevelType w:val="hybridMultilevel"/>
    <w:lvl w:ilvl="0">
      <w:lvlJc w:val="left"/>
      <w:lvlText w:val="%1"/>
      <w:numFmt w:val="upperLetter"/>
      <w:start w:val="1"/>
    </w:lvl>
    <w:lvl w:ilvl="1">
      <w:lvlJc w:val="left"/>
      <w:lvlText w:val="(%2)"/>
      <w:numFmt w:val="lowerLetter"/>
      <w:start w:val="7"/>
    </w:lvl>
  </w:abstractNum>
  <w:abstractNum w:abstractNumId="185">
    <w:nsid w:val="27514ADE"/>
    <w:multiLevelType w:val="hybridMultilevel"/>
    <w:lvl w:ilvl="0">
      <w:lvlJc w:val="left"/>
      <w:lvlText w:val="(%1)"/>
      <w:numFmt w:val="upperLetter"/>
      <w:start w:val="2"/>
    </w:lvl>
    <w:lvl w:ilvl="1">
      <w:lvlJc w:val="left"/>
      <w:lvlText w:val="(%2)"/>
      <w:numFmt w:val="lowerLetter"/>
      <w:start w:val="12"/>
    </w:lvl>
  </w:abstractNum>
  <w:abstractNum w:abstractNumId="186">
    <w:nsid w:val="57071613"/>
    <w:multiLevelType w:val="hybridMultilevel"/>
    <w:lvl w:ilvl="0">
      <w:lvlJc w:val="left"/>
      <w:lvlText w:val="(%1)"/>
      <w:numFmt w:val="upperLetter"/>
      <w:start w:val="1"/>
    </w:lvl>
    <w:lvl w:ilvl="1">
      <w:lvlJc w:val="left"/>
      <w:lvlText w:val="(%2)"/>
      <w:numFmt w:val="lowerLetter"/>
      <w:start w:val="13"/>
    </w:lvl>
  </w:abstractNum>
  <w:abstractNum w:abstractNumId="187">
    <w:nsid w:val="5293BFEF"/>
    <w:multiLevelType w:val="hybridMultilevel"/>
    <w:lvl w:ilvl="0">
      <w:lvlJc w:val="left"/>
      <w:lvlText w:val="(%1)"/>
      <w:numFmt w:val="lowerLetter"/>
      <w:start w:val="17"/>
    </w:lvl>
  </w:abstractNum>
  <w:abstractNum w:abstractNumId="188">
    <w:nsid w:val="38BF53E5"/>
    <w:multiLevelType w:val="hybridMultilevel"/>
    <w:lvl w:ilvl="0">
      <w:lvlJc w:val="left"/>
      <w:lvlText w:val="(%1)"/>
      <w:numFmt w:val="lowerLetter"/>
      <w:start w:val="1"/>
    </w:lvl>
  </w:abstractNum>
  <w:abstractNum w:abstractNumId="189">
    <w:nsid w:val="226F5320"/>
    <w:multiLevelType w:val="hybridMultilevel"/>
    <w:lvl w:ilvl="0">
      <w:lvlJc w:val="left"/>
      <w:lvlText w:val="(%1)"/>
      <w:numFmt w:val="lowerLetter"/>
      <w:start w:val="1"/>
    </w:lvl>
  </w:abstractNum>
  <w:abstractNum w:abstractNumId="190">
    <w:nsid w:val="5A0201C7"/>
    <w:multiLevelType w:val="hybridMultilevel"/>
    <w:lvl w:ilvl="0">
      <w:lvlJc w:val="left"/>
      <w:lvlText w:val="(%1)"/>
      <w:numFmt w:val="lowerLetter"/>
      <w:start w:val="3"/>
    </w:lvl>
  </w:abstractNum>
  <w:abstractNum w:abstractNumId="191">
    <w:nsid w:val="2A9C34E2"/>
    <w:multiLevelType w:val="hybridMultilevel"/>
    <w:lvl w:ilvl="0">
      <w:lvlJc w:val="left"/>
      <w:lvlText w:val="(%1)"/>
      <w:numFmt w:val="lowerLetter"/>
      <w:start w:val="4"/>
    </w:lvl>
  </w:abstractNum>
  <w:abstractNum w:abstractNumId="192">
    <w:nsid w:val="1B7585AB"/>
    <w:multiLevelType w:val="hybridMultilevel"/>
    <w:lvl w:ilvl="0">
      <w:lvlJc w:val="left"/>
      <w:lvlText w:val="(%1)"/>
      <w:numFmt w:val="lowerLetter"/>
      <w:start w:val="1"/>
    </w:lvl>
  </w:abstractNum>
  <w:abstractNum w:abstractNumId="193">
    <w:nsid w:val="612DBDDD"/>
    <w:multiLevelType w:val="hybridMultilevel"/>
    <w:lvl w:ilvl="0">
      <w:lvlJc w:val="left"/>
      <w:lvlText w:val="(%1)"/>
      <w:numFmt w:val="lowerLetter"/>
      <w:start w:val="5"/>
    </w:lvl>
  </w:abstractNum>
  <w:abstractNum w:abstractNumId="194">
    <w:nsid w:val="2109CDA4"/>
    <w:multiLevelType w:val="hybridMultilevel"/>
    <w:lvl w:ilvl="0">
      <w:lvlJc w:val="left"/>
      <w:lvlText w:val="%1"/>
      <w:numFmt w:val="lowerLetter"/>
      <w:start w:val="1"/>
    </w:lvl>
    <w:lvl w:ilvl="1">
      <w:lvlJc w:val="left"/>
      <w:lvlText w:val="(%2)"/>
      <w:numFmt w:val="lowerLetter"/>
      <w:start w:val="6"/>
    </w:lvl>
  </w:abstractNum>
  <w:abstractNum w:abstractNumId="195">
    <w:nsid w:val="577F5A4D"/>
    <w:multiLevelType w:val="hybridMultilevel"/>
    <w:lvl w:ilvl="0">
      <w:lvlJc w:val="left"/>
      <w:lvlText w:val="(%1)"/>
      <w:numFmt w:val="lowerLetter"/>
      <w:start w:val="35"/>
    </w:lvl>
    <w:lvl w:ilvl="1">
      <w:lvlJc w:val="left"/>
      <w:lvlText w:val="(%2)"/>
      <w:numFmt w:val="lowerLetter"/>
      <w:start w:val="12"/>
    </w:lvl>
  </w:abstractNum>
  <w:abstractNum w:abstractNumId="196">
    <w:nsid w:val="2121A81"/>
    <w:multiLevelType w:val="hybridMultilevel"/>
    <w:lvl w:ilvl="0">
      <w:lvlJc w:val="left"/>
      <w:lvlText w:val="(%1)"/>
      <w:numFmt w:val="lowerLetter"/>
      <w:start w:val="13"/>
    </w:lvl>
  </w:abstractNum>
  <w:abstractNum w:abstractNumId="197">
    <w:nsid w:val="6C2CFC88"/>
    <w:multiLevelType w:val="hybridMultilevel"/>
    <w:lvl w:ilvl="0">
      <w:lvlJc w:val="left"/>
      <w:lvlText w:val="(%1)"/>
      <w:numFmt w:val="lowerLetter"/>
      <w:start w:val="1"/>
    </w:lvl>
  </w:abstractNum>
  <w:abstractNum w:abstractNumId="198">
    <w:nsid w:val="6D1BCF1C"/>
    <w:multiLevelType w:val="hybridMultilevel"/>
    <w:lvl w:ilvl="0">
      <w:lvlJc w:val="left"/>
      <w:lvlText w:val="(%1)"/>
      <w:numFmt w:val="lowerLetter"/>
      <w:start w:val="9"/>
    </w:lvl>
  </w:abstractNum>
  <w:abstractNum w:abstractNumId="199">
    <w:nsid w:val="4CE5CA53"/>
    <w:multiLevelType w:val="hybridMultilevel"/>
    <w:lvl w:ilvl="0">
      <w:lvlJc w:val="left"/>
      <w:lvlText w:val="(%1)"/>
      <w:numFmt w:val="lowerLetter"/>
      <w:start w:val="1"/>
    </w:lvl>
  </w:abstractNum>
  <w:abstractNum w:abstractNumId="200">
    <w:nsid w:val="29262D1A"/>
    <w:multiLevelType w:val="hybridMultilevel"/>
    <w:lvl w:ilvl="0">
      <w:lvlJc w:val="left"/>
      <w:lvlText w:val="%1"/>
      <w:numFmt w:val="lowerLetter"/>
      <w:start w:val="1"/>
    </w:lvl>
    <w:lvl w:ilvl="1">
      <w:lvlJc w:val="left"/>
      <w:lvlText w:val="(%2)"/>
      <w:numFmt w:val="lowerLetter"/>
      <w:start w:val="2"/>
    </w:lvl>
  </w:abstractNum>
  <w:abstractNum w:abstractNumId="201">
    <w:nsid w:val="557FB7EE"/>
    <w:multiLevelType w:val="hybridMultilevel"/>
    <w:lvl w:ilvl="0">
      <w:lvlJc w:val="left"/>
      <w:lvlText w:val="(%1)"/>
      <w:numFmt w:val="lowerLetter"/>
      <w:start w:val="35"/>
    </w:lvl>
    <w:lvl w:ilvl="1">
      <w:lvlJc w:val="left"/>
      <w:lvlText w:val="%2"/>
      <w:numFmt w:val="lowerLetter"/>
      <w:start w:val="1"/>
    </w:lvl>
  </w:abstractNum>
  <w:abstractNum w:abstractNumId="202">
    <w:nsid w:val="436F2BEB"/>
    <w:multiLevelType w:val="hybridMultilevel"/>
    <w:lvl w:ilvl="0">
      <w:lvlJc w:val="left"/>
      <w:lvlText w:val="%1"/>
      <w:numFmt w:val="lowerLetter"/>
      <w:start w:val="1"/>
    </w:lvl>
    <w:lvl w:ilvl="1">
      <w:lvlJc w:val="left"/>
      <w:lvlText w:val="(%2)"/>
      <w:numFmt w:val="lowerLetter"/>
      <w:start w:val="7"/>
    </w:lvl>
  </w:abstractNum>
  <w:abstractNum w:abstractNumId="203">
    <w:nsid w:val="6C8B4466"/>
    <w:multiLevelType w:val="hybridMultilevel"/>
    <w:lvl w:ilvl="0">
      <w:lvlJc w:val="left"/>
      <w:lvlText w:val="(%1)"/>
      <w:numFmt w:val="lowerLetter"/>
      <w:start w:val="35"/>
    </w:lvl>
    <w:lvl w:ilvl="1">
      <w:lvlJc w:val="left"/>
      <w:lvlText w:val="%2"/>
      <w:numFmt w:val="lowerLetter"/>
      <w:start w:val="1"/>
    </w:lvl>
  </w:abstractNum>
  <w:abstractNum w:abstractNumId="204">
    <w:nsid w:val="2006E424"/>
    <w:multiLevelType w:val="hybridMultilevel"/>
    <w:lvl w:ilvl="0">
      <w:lvlJc w:val="left"/>
      <w:lvlText w:val="(%1)"/>
      <w:numFmt w:val="lowerLetter"/>
      <w:start w:val="1"/>
    </w:lvl>
  </w:abstractNum>
  <w:abstractNum w:abstractNumId="205">
    <w:nsid w:val="20CC134C"/>
    <w:multiLevelType w:val="hybridMultilevel"/>
    <w:lvl w:ilvl="0">
      <w:lvlJc w:val="left"/>
      <w:lvlText w:val="(%1)"/>
      <w:numFmt w:val="lowerLetter"/>
      <w:start w:val="3"/>
    </w:lvl>
  </w:abstractNum>
  <w:abstractNum w:abstractNumId="206">
    <w:nsid w:val="95FC93B"/>
    <w:multiLevelType w:val="hybridMultilevel"/>
    <w:lvl w:ilvl="0">
      <w:lvlJc w:val="left"/>
      <w:lvlText w:val="(%1)"/>
      <w:numFmt w:val="lowerLetter"/>
      <w:start w:val="1"/>
    </w:lvl>
  </w:abstractNum>
  <w:abstractNum w:abstractNumId="207">
    <w:nsid w:val="41D74679"/>
    <w:multiLevelType w:val="hybridMultilevel"/>
    <w:lvl w:ilvl="0">
      <w:lvlJc w:val="left"/>
      <w:lvlText w:val="(%1)"/>
      <w:numFmt w:val="lowerLetter"/>
      <w:start w:val="1"/>
    </w:lvl>
  </w:abstractNum>
  <w:abstractNum w:abstractNumId="208">
    <w:nsid w:val="71E5621E"/>
    <w:multiLevelType w:val="hybridMultilevel"/>
    <w:lvl w:ilvl="0">
      <w:lvlJc w:val="left"/>
      <w:lvlText w:val="(%1)"/>
      <w:numFmt w:val="lowerLetter"/>
      <w:start w:val="3"/>
    </w:lvl>
  </w:abstractNum>
  <w:abstractNum w:abstractNumId="209">
    <w:nsid w:val="4E42B6A8"/>
    <w:multiLevelType w:val="hybridMultilevel"/>
    <w:lvl w:ilvl="0">
      <w:lvlJc w:val="left"/>
      <w:lvlText w:val="(%1)"/>
      <w:numFmt w:val="lowerLetter"/>
      <w:start w:val="1"/>
    </w:lvl>
  </w:abstractNum>
  <w:abstractNum w:abstractNumId="210">
    <w:nsid w:val="43F8E1AC"/>
    <w:multiLevelType w:val="hybridMultilevel"/>
    <w:lvl w:ilvl="0">
      <w:lvlJc w:val="left"/>
      <w:lvlText w:val="%1"/>
      <w:numFmt w:val="lowerLetter"/>
      <w:start w:val="1"/>
    </w:lvl>
    <w:lvl w:ilvl="1">
      <w:lvlJc w:val="left"/>
      <w:lvlText w:val="(%2)"/>
      <w:numFmt w:val="lowerLetter"/>
      <w:start w:val="5"/>
    </w:lvl>
  </w:abstractNum>
  <w:abstractNum w:abstractNumId="211">
    <w:nsid w:val="69215DFB"/>
    <w:multiLevelType w:val="hybridMultilevel"/>
    <w:lvl w:ilvl="0">
      <w:lvlJc w:val="left"/>
      <w:lvlText w:val="(%1)"/>
      <w:numFmt w:val="lowerLetter"/>
      <w:start w:val="35"/>
    </w:lvl>
    <w:lvl w:ilvl="1">
      <w:lvlJc w:val="left"/>
      <w:lvlText w:val="(%2)"/>
      <w:numFmt w:val="lowerLetter"/>
      <w:start w:val="8"/>
    </w:lvl>
  </w:abstractNum>
  <w:abstractNum w:abstractNumId="212">
    <w:nsid w:val="7ABF196A"/>
    <w:multiLevelType w:val="hybridMultilevel"/>
    <w:lvl w:ilvl="0">
      <w:lvlJc w:val="left"/>
      <w:lvlText w:val="(%1)"/>
      <w:numFmt w:val="lowerLetter"/>
      <w:start w:val="35"/>
    </w:lvl>
    <w:lvl w:ilvl="1">
      <w:lvlJc w:val="left"/>
      <w:lvlText w:val="(%2)"/>
      <w:numFmt w:val="lowerLetter"/>
      <w:start w:val="10"/>
    </w:lvl>
  </w:abstractNum>
  <w:abstractNum w:abstractNumId="213">
    <w:nsid w:val="5E4DB968"/>
    <w:multiLevelType w:val="hybridMultilevel"/>
    <w:lvl w:ilvl="0">
      <w:lvlJc w:val="left"/>
      <w:lvlText w:val="(%1)"/>
      <w:numFmt w:val="lowerLetter"/>
      <w:start w:val="11"/>
    </w:lvl>
  </w:abstractNum>
  <w:abstractNum w:abstractNumId="214">
    <w:nsid w:val="2C06DCF3"/>
    <w:multiLevelType w:val="hybridMultilevel"/>
    <w:lvl w:ilvl="0">
      <w:lvlJc w:val="left"/>
      <w:lvlText w:val="(%1)"/>
      <w:numFmt w:val="lowerRoman"/>
      <w:start w:val="1"/>
    </w:lvl>
  </w:abstractNum>
  <w:abstractNum w:abstractNumId="215">
    <w:nsid w:val="2E129658"/>
    <w:multiLevelType w:val="hybridMultilevel"/>
    <w:lvl w:ilvl="0">
      <w:lvlJc w:val="left"/>
      <w:lvlText w:val="(%1)"/>
      <w:numFmt w:val="lowerLetter"/>
      <w:start w:val="1"/>
    </w:lvl>
  </w:abstractNum>
  <w:abstractNum w:abstractNumId="216">
    <w:nsid w:val="59F0446"/>
    <w:multiLevelType w:val="hybridMultilevel"/>
    <w:lvl w:ilvl="0">
      <w:lvlJc w:val="left"/>
      <w:lvlText w:val="(%1)"/>
      <w:numFmt w:val="lowerLetter"/>
      <w:start w:val="2"/>
    </w:lvl>
  </w:abstractNum>
  <w:abstractNum w:abstractNumId="217">
    <w:nsid w:val="30DF306"/>
    <w:multiLevelType w:val="hybridMultilevel"/>
    <w:lvl w:ilvl="0">
      <w:lvlJc w:val="left"/>
      <w:lvlText w:val="(%1)"/>
      <w:numFmt w:val="lowerLetter"/>
      <w:start w:val="25"/>
    </w:lvl>
  </w:abstractNum>
  <w:abstractNum w:abstractNumId="218">
    <w:nsid w:val="A65647"/>
    <w:multiLevelType w:val="hybridMultilevel"/>
    <w:lvl w:ilvl="0">
      <w:lvlJc w:val="left"/>
      <w:lvlText w:val="%1"/>
      <w:numFmt w:val="lowerLetter"/>
      <w:start w:val="1"/>
    </w:lvl>
    <w:lvl w:ilvl="1">
      <w:lvlJc w:val="left"/>
      <w:lvlText w:val="(%2)"/>
      <w:numFmt w:val="lowerRoman"/>
      <w:start w:val="1"/>
    </w:lvl>
  </w:abstractNum>
  <w:abstractNum w:abstractNumId="219">
    <w:nsid w:val="3E5E582B"/>
    <w:multiLevelType w:val="hybridMultilevel"/>
    <w:lvl w:ilvl="0">
      <w:lvlJc w:val="left"/>
      <w:lvlText w:val="(%1)"/>
      <w:numFmt w:val="lowerLetter"/>
      <w:start w:val="7"/>
    </w:lvl>
    <w:lvl w:ilvl="1">
      <w:lvlJc w:val="left"/>
      <w:lvlText w:val="(%2)"/>
      <w:numFmt w:val="lowerRoman"/>
      <w:start w:val="4"/>
    </w:lvl>
  </w:abstractNum>
  <w:abstractNum w:abstractNumId="220">
    <w:nsid w:val="257D4626"/>
    <w:multiLevelType w:val="hybridMultilevel"/>
    <w:lvl w:ilvl="0">
      <w:lvlJc w:val="left"/>
      <w:lvlText w:val="(%1)"/>
      <w:numFmt w:val="lowerLetter"/>
      <w:start w:val="2"/>
    </w:lvl>
    <w:lvl w:ilvl="1">
      <w:lvlJc w:val="left"/>
      <w:lvlText w:val="(%2)"/>
      <w:numFmt w:val="lowerLetter"/>
      <w:start w:val="9"/>
    </w:lvl>
  </w:abstractNum>
  <w:abstractNum w:abstractNumId="221">
    <w:nsid w:val="5AA8580E"/>
    <w:multiLevelType w:val="hybridMultilevel"/>
    <w:lvl w:ilvl="0">
      <w:lvlJc w:val="left"/>
      <w:lvlText w:val="(%1)"/>
      <w:numFmt w:val="lowerRoman"/>
      <w:start w:val="2"/>
    </w:lvl>
  </w:abstractNum>
  <w:abstractNum w:abstractNumId="222">
    <w:nsid w:val="68FA8D0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223">
    <w:nsid w:val="40F2CBD2"/>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224">
    <w:nsid w:val="3BD615EB"/>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225">
    <w:nsid w:val="A045AB2"/>
    <w:multiLevelType w:val="hybridMultilevel"/>
    <w:lvl w:ilvl="0">
      <w:lvlJc w:val="left"/>
      <w:lvlText w:val="(%1)"/>
      <w:numFmt w:val="lowerLetter"/>
      <w:start w:val="1"/>
    </w:lvl>
  </w:abstractNum>
  <w:abstractNum w:abstractNumId="226">
    <w:nsid w:val="1872261F"/>
    <w:multiLevelType w:val="hybridMultilevel"/>
    <w:lvl w:ilvl="0">
      <w:lvlJc w:val="left"/>
      <w:lvlText w:val="(%1)"/>
      <w:numFmt w:val="lowerLetter"/>
      <w:start w:val="3"/>
    </w:lvl>
  </w:abstractNum>
  <w:abstractNum w:abstractNumId="227">
    <w:nsid w:val="3DE8306C"/>
    <w:multiLevelType w:val="hybridMultilevel"/>
    <w:lvl w:ilvl="0">
      <w:lvlJc w:val="left"/>
      <w:lvlText w:val="(%1)"/>
      <w:numFmt w:val="lowerRoman"/>
      <w:start w:val="3"/>
    </w:lvl>
  </w:abstractNum>
  <w:abstractNum w:abstractNumId="228">
    <w:nsid w:val="7631573A"/>
    <w:multiLevelType w:val="hybridMultilevel"/>
    <w:lvl w:ilvl="0">
      <w:lvlJc w:val="left"/>
      <w:lvlText w:val="(%1)"/>
      <w:numFmt w:val="lowerLetter"/>
      <w:start w:val="4"/>
    </w:lvl>
  </w:abstractNum>
  <w:abstractNum w:abstractNumId="229">
    <w:nsid w:val="58DF53B"/>
    <w:multiLevelType w:val="hybridMultilevel"/>
    <w:lvl w:ilvl="0">
      <w:lvlJc w:val="left"/>
      <w:lvlText w:val="(%1)"/>
      <w:numFmt w:val="lowerLetter"/>
      <w:start w:val="1"/>
    </w:lvl>
  </w:abstractNum>
  <w:abstractNum w:abstractNumId="230">
    <w:nsid w:val="ACDFAC0"/>
    <w:multiLevelType w:val="hybridMultilevel"/>
    <w:lvl w:ilvl="0">
      <w:lvlJc w:val="left"/>
      <w:lvlText w:val="(%1)"/>
      <w:numFmt w:val="lowerRoman"/>
      <w:start w:val="1"/>
    </w:lvl>
  </w:abstractNum>
  <w:abstractNum w:abstractNumId="231">
    <w:nsid w:val="1F578454"/>
    <w:multiLevelType w:val="hybridMultilevel"/>
    <w:lvl w:ilvl="0">
      <w:lvlJc w:val="left"/>
      <w:lvlText w:val="(%1)"/>
      <w:numFmt w:val="lowerRoman"/>
      <w:start w:val="2"/>
    </w:lvl>
  </w:abstractNum>
  <w:abstractNum w:abstractNumId="232">
    <w:nsid w:val="5B0DAD2A"/>
    <w:multiLevelType w:val="hybridMultilevel"/>
    <w:lvl w:ilvl="0">
      <w:lvlJc w:val="left"/>
      <w:lvlText w:val="(%1)"/>
      <w:numFmt w:val="lowerRoman"/>
      <w:start w:val="3"/>
    </w:lvl>
  </w:abstractNum>
  <w:abstractNum w:abstractNumId="233">
    <w:nsid w:val="4E3D26AB"/>
    <w:multiLevelType w:val="hybridMultilevel"/>
    <w:lvl w:ilvl="0">
      <w:lvlJc w:val="left"/>
      <w:lvlText w:val="(%1)"/>
      <w:numFmt w:val="lowerRoman"/>
      <w:start w:val="4"/>
    </w:lvl>
  </w:abstractNum>
  <w:abstractNum w:abstractNumId="234">
    <w:nsid w:val="BE2C8BA"/>
    <w:multiLevelType w:val="hybridMultilevel"/>
    <w:lvl w:ilvl="0">
      <w:lvlJc w:val="left"/>
      <w:lvlText w:val="(%1)"/>
      <w:numFmt w:val="lowerRoman"/>
      <w:start w:val="6"/>
    </w:lvl>
  </w:abstractNum>
  <w:abstractNum w:abstractNumId="235">
    <w:nsid w:val="7B14914E"/>
    <w:multiLevelType w:val="hybridMultilevel"/>
    <w:lvl w:ilvl="0">
      <w:lvlJc w:val="left"/>
      <w:lvlText w:val="(%1)"/>
      <w:numFmt w:val="lowerRoman"/>
      <w:start w:val="7"/>
    </w:lvl>
  </w:abstractNum>
  <w:abstractNum w:abstractNumId="236">
    <w:nsid w:val="6F0939F8"/>
    <w:multiLevelType w:val="hybridMultilevel"/>
    <w:lvl w:ilvl="0">
      <w:lvlJc w:val="left"/>
      <w:lvlText w:val="(%1)"/>
      <w:numFmt w:val="lowerLetter"/>
      <w:start w:val="2"/>
    </w:lvl>
  </w:abstractNum>
  <w:abstractNum w:abstractNumId="237">
    <w:nsid w:val="154291F6"/>
    <w:multiLevelType w:val="hybridMultilevel"/>
    <w:lvl w:ilvl="0">
      <w:lvlJc w:val="left"/>
      <w:lvlText w:val="(%1)"/>
      <w:numFmt w:val="lowerLetter"/>
      <w:start w:val="3"/>
    </w:lvl>
    <w:lvl w:ilvl="1">
      <w:lvlJc w:val="left"/>
      <w:lvlText w:val="(%2)"/>
      <w:numFmt w:val="lowerRoman"/>
      <w:start w:val="1"/>
    </w:lvl>
  </w:abstractNum>
  <w:abstractNum w:abstractNumId="238">
    <w:nsid w:val="3CEBD7C7"/>
    <w:multiLevelType w:val="hybridMultilevel"/>
    <w:lvl w:ilvl="0">
      <w:lvlJc w:val="left"/>
      <w:lvlText w:val="(%1)"/>
      <w:numFmt w:val="lowerRoman"/>
      <w:start w:val="2"/>
    </w:lvl>
  </w:abstractNum>
  <w:abstractNum w:abstractNumId="239">
    <w:nsid w:val="60EE9C16"/>
    <w:multiLevelType w:val="hybridMultilevel"/>
    <w:lvl w:ilvl="0">
      <w:lvlJc w:val="left"/>
      <w:lvlText w:val="(%1)"/>
      <w:numFmt w:val="lowerLetter"/>
      <w:start w:val="1"/>
    </w:lvl>
  </w:abstractNum>
  <w:abstractNum w:abstractNumId="240">
    <w:nsid w:val="6385489E"/>
    <w:multiLevelType w:val="hybridMultilevel"/>
    <w:lvl w:ilvl="0">
      <w:lvlJc w:val="left"/>
      <w:lvlText w:val="(%1)"/>
      <w:numFmt w:val="lowerLetter"/>
      <w:start w:val="2"/>
    </w:lvl>
  </w:abstractNum>
  <w:abstractNum w:abstractNumId="241">
    <w:nsid w:val="E4B973"/>
    <w:multiLevelType w:val="hybridMultilevel"/>
    <w:lvl w:ilvl="0">
      <w:lvlJc w:val="left"/>
      <w:lvlText w:val="(%1)"/>
      <w:numFmt w:val="lowerLetter"/>
      <w:start w:val="5"/>
    </w:lvl>
  </w:abstractNum>
  <w:abstractNum w:abstractNumId="242">
    <w:nsid w:val="4A0FFA11"/>
    <w:multiLevelType w:val="hybridMultilevel"/>
    <w:lvl w:ilvl="0">
      <w:lvlJc w:val="left"/>
      <w:lvlText w:val="(%1)"/>
      <w:numFmt w:val="lowerLetter"/>
      <w:start w:val="1"/>
    </w:lvl>
    <w:lvl w:ilvl="1">
      <w:lvlJc w:val="left"/>
      <w:lvlText w:val="(%2)"/>
      <w:numFmt w:val="upperLetter"/>
      <w:start w:val="1"/>
    </w:lvl>
  </w:abstractNum>
  <w:abstractNum w:abstractNumId="243">
    <w:nsid w:val="5E446208"/>
    <w:multiLevelType w:val="hybridMultilevel"/>
    <w:lvl w:ilvl="0">
      <w:lvlJc w:val="left"/>
      <w:lvlText w:val="(%1)"/>
      <w:numFmt w:val="lowerRoman"/>
      <w:start w:val="2"/>
    </w:lvl>
  </w:abstractNum>
  <w:abstractNum w:abstractNumId="244">
    <w:nsid w:val="5F3272DB"/>
    <w:multiLevelType w:val="hybridMultilevel"/>
    <w:lvl w:ilvl="0">
      <w:lvlJc w:val="left"/>
      <w:lvlText w:val="(%1)"/>
      <w:numFmt w:val="upperLetter"/>
      <w:start w:val="1"/>
    </w:lvl>
  </w:abstractNum>
  <w:abstractNum w:abstractNumId="245">
    <w:nsid w:val="7616D704"/>
    <w:multiLevelType w:val="hybridMultilevel"/>
    <w:lvl w:ilvl="0">
      <w:lvlJc w:val="left"/>
      <w:lvlText w:val="(%1)"/>
      <w:numFmt w:val="upperLetter"/>
      <w:start w:val="6"/>
    </w:lvl>
  </w:abstractNum>
  <w:abstractNum w:abstractNumId="246">
    <w:nsid w:val="C56F860"/>
    <w:multiLevelType w:val="hybridMultilevel"/>
    <w:lvl w:ilvl="0">
      <w:lvlJc w:val="left"/>
      <w:lvlText w:val="(%1)"/>
      <w:numFmt w:val="lowerRoman"/>
      <w:start w:val="3"/>
    </w:lvl>
  </w:abstractNum>
  <w:abstractNum w:abstractNumId="247">
    <w:nsid w:val="64D17722"/>
    <w:multiLevelType w:val="hybridMultilevel"/>
    <w:lvl w:ilvl="0">
      <w:lvlJc w:val="left"/>
      <w:lvlText w:val="(%1)"/>
      <w:numFmt w:val="lowerRoman"/>
      <w:start w:val="4"/>
    </w:lvl>
  </w:abstractNum>
  <w:abstractNum w:abstractNumId="248">
    <w:nsid w:val="7924CA0A"/>
    <w:multiLevelType w:val="hybridMultilevel"/>
    <w:lvl w:ilvl="0">
      <w:lvlJc w:val="left"/>
      <w:lvlText w:val="(%1)"/>
      <w:numFmt w:val="lowerLetter"/>
      <w:start w:val="3"/>
    </w:lvl>
  </w:abstractNum>
  <w:abstractNum w:abstractNumId="249">
    <w:nsid w:val="CFD4EA7"/>
    <w:multiLevelType w:val="hybridMultilevel"/>
    <w:lvl w:ilvl="0">
      <w:lvlJc w:val="left"/>
      <w:lvlText w:val="%1"/>
      <w:numFmt w:val="lowerLetter"/>
      <w:start w:val="1"/>
    </w:lvl>
    <w:lvl w:ilvl="1">
      <w:lvlJc w:val="left"/>
      <w:lvlText w:val="(%2)"/>
      <w:numFmt w:val="lowerLetter"/>
      <w:start w:val="35"/>
    </w:lvl>
  </w:abstractNum>
  <w:abstractNum w:abstractNumId="250">
    <w:nsid w:val="232FCF4D"/>
    <w:multiLevelType w:val="hybridMultilevel"/>
    <w:lvl w:ilvl="0">
      <w:lvlJc w:val="left"/>
      <w:lvlText w:val="(%1)"/>
      <w:numFmt w:val="lowerLetter"/>
      <w:start w:val="4"/>
    </w:lvl>
    <w:lvl w:ilvl="1">
      <w:lvlJc w:val="left"/>
      <w:lvlText w:val="%2"/>
      <w:numFmt w:val="lowerLetter"/>
      <w:start w:val="1"/>
    </w:lvl>
  </w:abstractNum>
  <w:abstractNum w:abstractNumId="251">
    <w:nsid w:val="1EA21031"/>
    <w:multiLevelType w:val="hybridMultilevel"/>
    <w:lvl w:ilvl="0">
      <w:lvlJc w:val="left"/>
      <w:lvlText w:val="(%1)"/>
      <w:numFmt w:val="lowerLetter"/>
      <w:start w:val="1"/>
    </w:lvl>
  </w:abstractNum>
  <w:abstractNum w:abstractNumId="252">
    <w:nsid w:val="67A5A6B5"/>
    <w:multiLevelType w:val="hybridMultilevel"/>
    <w:lvl w:ilvl="0">
      <w:lvlJc w:val="left"/>
      <w:lvlText w:val="(%1)"/>
      <w:numFmt w:val="lowerLetter"/>
      <w:start w:val="6"/>
    </w:lvl>
  </w:abstractNum>
  <w:abstractNum w:abstractNumId="253">
    <w:nsid w:val="C2A5C5B"/>
    <w:multiLevelType w:val="hybridMultilevel"/>
    <w:lvl w:ilvl="0">
      <w:lvlJc w:val="left"/>
      <w:lvlText w:val="(%1)"/>
      <w:numFmt w:val="lowerLetter"/>
      <w:start w:val="1"/>
    </w:lvl>
  </w:abstractNum>
  <w:abstractNum w:abstractNumId="254">
    <w:nsid w:val="5F94DC03"/>
    <w:multiLevelType w:val="hybridMultilevel"/>
    <w:lvl w:ilvl="0">
      <w:lvlJc w:val="left"/>
      <w:lvlText w:val="(%1)"/>
      <w:numFmt w:val="lowerLetter"/>
      <w:start w:val="1"/>
    </w:lvl>
    <w:lvl w:ilvl="1">
      <w:lvlJc w:val="left"/>
      <w:lvlText w:val="(%2)"/>
      <w:numFmt w:val="lowerLetter"/>
      <w:start w:val="9"/>
    </w:lvl>
  </w:abstractNum>
  <w:abstractNum w:abstractNumId="255">
    <w:nsid w:val="237BBCA0"/>
    <w:multiLevelType w:val="hybridMultilevel"/>
    <w:lvl w:ilvl="0">
      <w:lvlJc w:val="left"/>
      <w:lvlText w:val="(%1)"/>
      <w:numFmt w:val="lowerRoman"/>
      <w:start w:val="2"/>
    </w:lvl>
  </w:abstractNum>
  <w:abstractNum w:abstractNumId="256">
    <w:nsid w:val="162EB70D"/>
    <w:multiLevelType w:val="hybridMultilevel"/>
    <w:lvl w:ilvl="0">
      <w:lvlJc w:val="left"/>
      <w:lvlText w:val="(%1)"/>
      <w:numFmt w:val="lowerLetter"/>
      <w:start w:val="1"/>
    </w:lvl>
    <w:lvl w:ilvl="1">
      <w:lvlJc w:val="left"/>
      <w:lvlText w:val="(%2)"/>
      <w:numFmt w:val="lowerRoman"/>
      <w:start w:val="1"/>
    </w:lvl>
  </w:abstractNum>
  <w:abstractNum w:abstractNumId="257">
    <w:nsid w:val="78070222"/>
    <w:multiLevelType w:val="hybridMultilevel"/>
    <w:lvl w:ilvl="0">
      <w:lvlJc w:val="left"/>
      <w:lvlText w:val="(%1)"/>
      <w:numFmt w:val="lowerLetter"/>
      <w:start w:val="1"/>
    </w:lvl>
  </w:abstractNum>
  <w:abstractNum w:abstractNumId="258">
    <w:nsid w:val="6163ED0D"/>
    <w:multiLevelType w:val="hybridMultilevel"/>
    <w:lvl w:ilvl="0">
      <w:lvlJc w:val="left"/>
      <w:lvlText w:val="(%1)"/>
      <w:numFmt w:val="lowerLetter"/>
      <w:start w:val="2"/>
    </w:lvl>
    <w:lvl w:ilvl="1">
      <w:lvlJc w:val="left"/>
      <w:lvlText w:val="(%2)"/>
      <w:numFmt w:val="lowerRoman"/>
      <w:start w:val="1"/>
    </w:lvl>
  </w:abstractNum>
  <w:abstractNum w:abstractNumId="259">
    <w:nsid w:val="C600E47"/>
    <w:multiLevelType w:val="hybridMultilevel"/>
    <w:lvl w:ilvl="0">
      <w:lvlJc w:val="left"/>
      <w:lvlText w:val="(%1)"/>
      <w:numFmt w:val="lowerLetter"/>
      <w:start w:val="2"/>
    </w:lvl>
  </w:abstractNum>
  <w:abstractNum w:abstractNumId="260">
    <w:nsid w:val="7D94F75D"/>
    <w:multiLevelType w:val="hybridMultilevel"/>
    <w:lvl w:ilvl="0">
      <w:lvlJc w:val="left"/>
      <w:lvlText w:val="(%1)"/>
      <w:numFmt w:val="lowerRoman"/>
      <w:start w:val="3"/>
    </w:lvl>
  </w:abstractNum>
  <w:abstractNum w:abstractNumId="261">
    <w:nsid w:val="6C31E7CD"/>
    <w:multiLevelType w:val="hybridMultilevel"/>
    <w:lvl w:ilvl="0">
      <w:lvlJc w:val="left"/>
      <w:lvlText w:val="(%1)"/>
      <w:numFmt w:val="lowerRoman"/>
      <w:start w:val="4"/>
    </w:lvl>
  </w:abstractNum>
  <w:abstractNum w:abstractNumId="262">
    <w:nsid w:val="2BB7929B"/>
    <w:multiLevelType w:val="hybridMultilevel"/>
    <w:lvl w:ilvl="0">
      <w:lvlJc w:val="left"/>
      <w:lvlText w:val="(%1)"/>
      <w:numFmt w:val="lowerLetter"/>
      <w:start w:val="2"/>
    </w:lvl>
  </w:abstractNum>
  <w:abstractNum w:abstractNumId="263">
    <w:nsid w:val="58A2A487"/>
    <w:multiLevelType w:val="hybridMultilevel"/>
    <w:lvl w:ilvl="0">
      <w:lvlJc w:val="left"/>
      <w:lvlText w:val="(%1)"/>
      <w:numFmt w:val="lowerRoman"/>
      <w:start w:val="5"/>
    </w:lvl>
  </w:abstractNum>
  <w:abstractNum w:abstractNumId="264">
    <w:nsid w:val="3A6F0E78"/>
    <w:multiLevelType w:val="hybridMultilevel"/>
    <w:lvl w:ilvl="0">
      <w:lvlJc w:val="left"/>
      <w:lvlText w:val=";"/>
      <w:numFmt w:val="bullet"/>
      <w:start w:val="1"/>
    </w:lvl>
  </w:abstractNum>
  <w:abstractNum w:abstractNumId="265">
    <w:nsid w:val="379A5B56"/>
    <w:multiLevelType w:val="hybridMultilevel"/>
    <w:lvl w:ilvl="0">
      <w:lvlJc w:val="left"/>
      <w:lvlText w:val="(%1)"/>
      <w:numFmt w:val="lowerRoman"/>
      <w:start w:val="7"/>
    </w:lvl>
  </w:abstractNum>
  <w:abstractNum w:abstractNumId="266">
    <w:nsid w:val="53B735D5"/>
    <w:multiLevelType w:val="hybridMultilevel"/>
    <w:lvl w:ilvl="0">
      <w:lvlJc w:val="left"/>
      <w:lvlText w:val="(%1)"/>
      <w:numFmt w:val="lowerRoman"/>
      <w:start w:val="8"/>
    </w:lvl>
  </w:abstractNum>
  <w:abstractNum w:abstractNumId="267">
    <w:nsid w:val="29784870"/>
    <w:multiLevelType w:val="hybridMultilevel"/>
    <w:lvl w:ilvl="0">
      <w:lvlJc w:val="left"/>
      <w:lvlText w:val="(%1)"/>
      <w:numFmt w:val="lowerRoman"/>
      <w:start w:val="13"/>
    </w:lvl>
  </w:abstractNum>
  <w:abstractNum w:abstractNumId="268">
    <w:nsid w:val="4CDCED4C"/>
    <w:multiLevelType w:val="hybridMultilevel"/>
    <w:lvl w:ilvl="0">
      <w:lvlJc w:val="left"/>
      <w:lvlText w:val="(%1)"/>
      <w:numFmt w:val="lowerRoman"/>
      <w:start w:val="14"/>
    </w:lvl>
  </w:abstractNum>
  <w:abstractNum w:abstractNumId="269">
    <w:nsid w:val="10A30D9C"/>
    <w:multiLevelType w:val="hybridMultilevel"/>
    <w:lvl w:ilvl="0">
      <w:lvlJc w:val="left"/>
      <w:lvlText w:val="(%1)"/>
      <w:numFmt w:val="lowerRoman"/>
      <w:start w:val="15"/>
    </w:lvl>
  </w:abstractNum>
  <w:abstractNum w:abstractNumId="270">
    <w:nsid w:val="A66E486"/>
    <w:multiLevelType w:val="hybridMultilevel"/>
    <w:lvl w:ilvl="0">
      <w:lvlJc w:val="left"/>
      <w:lvlText w:val="(%1)"/>
      <w:numFmt w:val="lowerRoman"/>
      <w:start w:val="1"/>
    </w:lvl>
  </w:abstractNum>
  <w:abstractNum w:abstractNumId="271">
    <w:nsid w:val="306235EA"/>
    <w:multiLevelType w:val="hybridMultilevel"/>
    <w:lvl w:ilvl="0">
      <w:lvlJc w:val="left"/>
      <w:lvlText w:val="(%1)"/>
      <w:numFmt w:val="lowerRoman"/>
      <w:start w:val="16"/>
    </w:lvl>
  </w:abstractNum>
  <w:abstractNum w:abstractNumId="272">
    <w:nsid w:val="1187C70F"/>
    <w:multiLevelType w:val="hybridMultilevel"/>
    <w:lvl w:ilvl="0">
      <w:lvlJc w:val="left"/>
      <w:lvlText w:val="(%1)"/>
      <w:numFmt w:val="lowerLetter"/>
      <w:start w:val="3"/>
    </w:lvl>
  </w:abstractNum>
  <w:abstractNum w:abstractNumId="273">
    <w:nsid w:val="5476DE98"/>
    <w:multiLevelType w:val="hybridMultilevel"/>
    <w:lvl w:ilvl="0">
      <w:lvlJc w:val="left"/>
      <w:lvlText w:val="(%1)"/>
      <w:numFmt w:val="lowerLetter"/>
      <w:start w:val="4"/>
    </w:lvl>
    <w:lvl w:ilvl="1">
      <w:lvlJc w:val="left"/>
      <w:lvlText w:val="(%2)"/>
      <w:numFmt w:val="lowerLetter"/>
      <w:start w:val="35"/>
    </w:lvl>
    <w:lvl w:ilvl="2">
      <w:lvlJc w:val="left"/>
      <w:lvlText w:val="(%3)"/>
      <w:numFmt w:val="lowerLetter"/>
      <w:start w:val="10"/>
    </w:lvl>
  </w:abstractNum>
  <w:abstractNum w:abstractNumId="274">
    <w:nsid w:val="EA697F2"/>
    <w:multiLevelType w:val="hybridMultilevel"/>
    <w:lvl w:ilvl="0">
      <w:lvlJc w:val="left"/>
      <w:lvlText w:val="(%1)"/>
      <w:numFmt w:val="lowerLetter"/>
      <w:start w:val="6"/>
    </w:lvl>
  </w:abstractNum>
  <w:abstractNum w:abstractNumId="275">
    <w:nsid w:val="70BA39EB"/>
    <w:multiLevelType w:val="hybridMultilevel"/>
    <w:lvl w:ilvl="0">
      <w:lvlJc w:val="left"/>
      <w:lvlText w:val="(%1)"/>
      <w:numFmt w:val="lowerLetter"/>
      <w:start w:val="7"/>
    </w:lvl>
    <w:lvl w:ilvl="1">
      <w:lvlJc w:val="left"/>
      <w:lvlText w:val="(%2)"/>
      <w:numFmt w:val="lowerLetter"/>
      <w:start w:val="2"/>
    </w:lvl>
  </w:abstractNum>
  <w:abstractNum w:abstractNumId="276">
    <w:nsid w:val="4A8DB59C"/>
    <w:multiLevelType w:val="hybridMultilevel"/>
    <w:lvl w:ilvl="0">
      <w:lvlJc w:val="left"/>
      <w:lvlText w:val="%1"/>
      <w:numFmt w:val="lowerLetter"/>
      <w:start w:val="1"/>
    </w:lvl>
    <w:lvl w:ilvl="1">
      <w:lvlJc w:val="left"/>
      <w:lvlText w:val="(%2)"/>
      <w:numFmt w:val="lowerLetter"/>
      <w:start w:val="10"/>
    </w:lvl>
  </w:abstractNum>
  <w:abstractNum w:abstractNumId="277">
    <w:nsid w:val="1AFD9053"/>
    <w:multiLevelType w:val="hybridMultilevel"/>
    <w:lvl w:ilvl="0">
      <w:lvlJc w:val="left"/>
      <w:lvlText w:val="(%1)"/>
      <w:numFmt w:val="lowerLetter"/>
      <w:start w:val="10"/>
    </w:lvl>
    <w:lvl w:ilvl="1">
      <w:lvlJc w:val="left"/>
      <w:lvlText w:val="(%2)"/>
      <w:numFmt w:val="lowerLetter"/>
      <w:start w:val="11"/>
    </w:lvl>
  </w:abstractNum>
  <w:abstractNum w:abstractNumId="278">
    <w:nsid w:val="558BB10D"/>
    <w:multiLevelType w:val="hybridMultilevel"/>
    <w:lvl w:ilvl="0">
      <w:lvlJc w:val="left"/>
      <w:lvlText w:val="(%1)"/>
      <w:numFmt w:val="lowerLetter"/>
      <w:start w:val="11"/>
    </w:lvl>
    <w:lvl w:ilvl="1">
      <w:lvlJc w:val="left"/>
      <w:lvlText w:val="(%2)"/>
      <w:numFmt w:val="lowerLetter"/>
      <w:start w:val="12"/>
    </w:lvl>
  </w:abstractNum>
  <w:abstractNum w:abstractNumId="279">
    <w:nsid w:val="43B27FA7"/>
    <w:multiLevelType w:val="hybridMultilevel"/>
    <w:lvl w:ilvl="0">
      <w:lvlJc w:val="left"/>
      <w:lvlText w:val="%1"/>
      <w:numFmt w:val="lowerLetter"/>
      <w:start w:val="1"/>
    </w:lvl>
    <w:lvl w:ilvl="1">
      <w:lvlJc w:val="left"/>
      <w:lvlText w:val="(%2)"/>
      <w:numFmt w:val="lowerLetter"/>
      <w:start w:val="2"/>
    </w:lvl>
  </w:abstractNum>
  <w:abstractNum w:abstractNumId="280">
    <w:nsid w:val="27FADEFA"/>
    <w:multiLevelType w:val="hybridMultilevel"/>
    <w:lvl w:ilvl="0">
      <w:lvlJc w:val="left"/>
      <w:lvlText w:val="(%1)"/>
      <w:numFmt w:val="lowerLetter"/>
      <w:start w:val="13"/>
    </w:lvl>
    <w:lvl w:ilvl="1">
      <w:lvlJc w:val="left"/>
      <w:lvlText w:val="%2"/>
      <w:numFmt w:val="lowerLetter"/>
      <w:start w:val="1"/>
    </w:lvl>
  </w:abstractNum>
  <w:abstractNum w:abstractNumId="281">
    <w:nsid w:val="78BB805A"/>
    <w:multiLevelType w:val="hybridMultilevel"/>
    <w:lvl w:ilvl="0">
      <w:lvlJc w:val="left"/>
      <w:lvlText w:val="(%1)"/>
      <w:numFmt w:val="lowerLetter"/>
      <w:start w:val="14"/>
    </w:lvl>
    <w:lvl w:ilvl="1">
      <w:lvlJc w:val="left"/>
      <w:lvlText w:val="(%2)"/>
      <w:numFmt w:val="lowerLetter"/>
      <w:start w:val="4"/>
    </w:lvl>
  </w:abstractNum>
  <w:abstractNum w:abstractNumId="282">
    <w:nsid w:val="62548FD8"/>
    <w:multiLevelType w:val="hybridMultilevel"/>
    <w:lvl w:ilvl="0">
      <w:lvlJc w:val="left"/>
      <w:lvlText w:val="(%1)"/>
      <w:numFmt w:val="lowerLetter"/>
      <w:start w:val="16"/>
    </w:lvl>
  </w:abstractNum>
  <w:abstractNum w:abstractNumId="283">
    <w:nsid w:val="FA085B0"/>
    <w:multiLevelType w:val="hybridMultilevel"/>
    <w:lvl w:ilvl="0">
      <w:lvlJc w:val="left"/>
      <w:lvlText w:val="(%1)"/>
      <w:numFmt w:val="lowerLetter"/>
      <w:start w:val="17"/>
    </w:lvl>
    <w:lvl w:ilvl="1">
      <w:lvlJc w:val="left"/>
      <w:lvlText w:val="(%2)"/>
      <w:numFmt w:val="lowerLetter"/>
      <w:start w:val="4"/>
    </w:lvl>
  </w:abstractNum>
  <w:abstractNum w:abstractNumId="284">
    <w:nsid w:val="4E5DCB5"/>
    <w:multiLevelType w:val="hybridMultilevel"/>
    <w:lvl w:ilvl="0">
      <w:lvlJc w:val="left"/>
      <w:lvlText w:val="(%1)"/>
      <w:numFmt w:val="lowerLetter"/>
      <w:start w:val="20"/>
    </w:lvl>
    <w:lvl w:ilvl="1">
      <w:lvlJc w:val="left"/>
      <w:lvlText w:val="(%2)"/>
      <w:numFmt w:val="lowerLetter"/>
      <w:start w:val="15"/>
    </w:lvl>
  </w:abstractNum>
  <w:abstractNum w:abstractNumId="285">
    <w:nsid w:val="41E96BDB"/>
    <w:multiLevelType w:val="hybridMultilevel"/>
    <w:lvl w:ilvl="0">
      <w:lvlJc w:val="left"/>
      <w:lvlText w:val="(%1)"/>
      <w:numFmt w:val="lowerRoman"/>
      <w:start w:val="1"/>
    </w:lvl>
  </w:abstractNum>
  <w:abstractNum w:abstractNumId="286">
    <w:nsid w:val="331C4250"/>
    <w:multiLevelType w:val="hybridMultilevel"/>
    <w:lvl w:ilvl="0">
      <w:lvlJc w:val="left"/>
      <w:lvlText w:val="%1"/>
      <w:numFmt w:val="lowerLetter"/>
      <w:start w:val="1"/>
    </w:lvl>
    <w:lvl w:ilvl="1">
      <w:lvlJc w:val="left"/>
      <w:lvlText w:val="(%2)"/>
      <w:numFmt w:val="lowerRoman"/>
      <w:start w:val="3"/>
    </w:lvl>
  </w:abstractNum>
  <w:abstractNum w:abstractNumId="287">
    <w:nsid w:val="1B1493C2"/>
    <w:multiLevelType w:val="hybridMultilevel"/>
    <w:lvl w:ilvl="0">
      <w:lvlJc w:val="left"/>
      <w:lvlText w:val="(%1)"/>
      <w:numFmt w:val="lowerLetter"/>
      <w:start w:val="2"/>
    </w:lvl>
    <w:lvl w:ilvl="1">
      <w:lvlJc w:val="left"/>
      <w:lvlText w:val="(%2)"/>
      <w:numFmt w:val="lowerRoman"/>
      <w:start w:val="1"/>
    </w:lvl>
  </w:abstractNum>
  <w:abstractNum w:abstractNumId="288">
    <w:nsid w:val="39F06DF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289">
    <w:nsid w:val="14802F5D"/>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290">
    <w:nsid w:val="2774A209"/>
    <w:multiLevelType w:val="hybridMultilevel"/>
    <w:lvl w:ilvl="0">
      <w:lvlJc w:val="left"/>
      <w:lvlText w:val="(%1)"/>
      <w:numFmt w:val="lowerRoman"/>
      <w:start w:val="5"/>
    </w:lvl>
    <w:lvl w:ilvl="1">
      <w:lvlJc w:val="left"/>
      <w:lvlText w:val="%2"/>
      <w:numFmt w:val="lowerLetter"/>
      <w:start w:val="1"/>
    </w:lvl>
    <w:lvl w:ilvl="2">
      <w:lvlJc w:val="left"/>
      <w:lvlText w:val="%3"/>
      <w:numFmt w:val="lowerRoman"/>
      <w:start w:val="1"/>
    </w:lvl>
  </w:abstractNum>
  <w:abstractNum w:abstractNumId="291">
    <w:nsid w:val="3785655A"/>
    <w:multiLevelType w:val="hybridMultilevel"/>
    <w:lvl w:ilvl="0">
      <w:lvlJc w:val="left"/>
      <w:lvlText w:val="(%1)"/>
      <w:numFmt w:val="lowerLetter"/>
      <w:start w:val="23"/>
    </w:lvl>
  </w:abstractNum>
  <w:abstractNum w:abstractNumId="292">
    <w:nsid w:val="B2172A"/>
    <w:multiLevelType w:val="hybridMultilevel"/>
    <w:lvl w:ilvl="0">
      <w:lvlJc w:val="left"/>
      <w:lvlText w:val="(%1)"/>
      <w:numFmt w:val="lowerLetter"/>
      <w:start w:val="1"/>
    </w:lvl>
  </w:abstractNum>
  <w:abstractNum w:abstractNumId="293">
    <w:nsid w:val="532C34A5"/>
    <w:multiLevelType w:val="hybridMultilevel"/>
    <w:lvl w:ilvl="0">
      <w:lvlJc w:val="left"/>
      <w:lvlText w:val="(%1)"/>
      <w:numFmt w:val="lowerLetter"/>
      <w:start w:val="1"/>
    </w:lvl>
    <w:lvl w:ilvl="1">
      <w:lvlJc w:val="left"/>
      <w:lvlText w:val="(%2)"/>
      <w:numFmt w:val="lowerRoman"/>
      <w:start w:val="1"/>
    </w:lvl>
  </w:abstractNum>
  <w:abstractNum w:abstractNumId="294">
    <w:nsid w:val="102809E2"/>
    <w:multiLevelType w:val="hybridMultilevel"/>
    <w:lvl w:ilvl="0">
      <w:lvlJc w:val="left"/>
      <w:lvlText w:val="(%1)"/>
      <w:numFmt w:val="lowerLetter"/>
      <w:start w:val="2"/>
    </w:lvl>
  </w:abstractNum>
  <w:abstractNum w:abstractNumId="295">
    <w:nsid w:val="3B2125A3"/>
    <w:multiLevelType w:val="hybridMultilevel"/>
    <w:lvl w:ilvl="0">
      <w:lvlJc w:val="left"/>
      <w:lvlText w:val="(%1)"/>
      <w:numFmt w:val="lowerLetter"/>
      <w:start w:val="1"/>
    </w:lvl>
  </w:abstractNum>
  <w:abstractNum w:abstractNumId="296">
    <w:nsid w:val="AC68FFB"/>
    <w:multiLevelType w:val="hybridMultilevel"/>
    <w:lvl w:ilvl="0">
      <w:lvlJc w:val="left"/>
      <w:lvlText w:val="%1"/>
      <w:numFmt w:val="lowerLetter"/>
      <w:start w:val="1"/>
    </w:lvl>
    <w:lvl w:ilvl="1">
      <w:lvlJc w:val="left"/>
      <w:lvlText w:val="(%2)"/>
      <w:numFmt w:val="lowerLetter"/>
      <w:start w:val="1"/>
    </w:lvl>
  </w:abstractNum>
  <w:abstractNum w:abstractNumId="297">
    <w:nsid w:val="63DF3FB7"/>
    <w:multiLevelType w:val="hybridMultilevel"/>
    <w:lvl w:ilvl="0">
      <w:lvlJc w:val="left"/>
      <w:lvlText w:val="(%1)"/>
      <w:numFmt w:val="lowerLetter"/>
      <w:start w:val="9"/>
    </w:lvl>
    <w:lvl w:ilvl="1">
      <w:lvlJc w:val="left"/>
      <w:lvlText w:val="%2"/>
      <w:numFmt w:val="lowerLetter"/>
      <w:start w:val="1"/>
    </w:lvl>
  </w:abstractNum>
  <w:abstractNum w:abstractNumId="298">
    <w:nsid w:val="64996E13"/>
    <w:multiLevelType w:val="hybridMultilevel"/>
    <w:lvl w:ilvl="0">
      <w:lvlJc w:val="left"/>
      <w:lvlText w:val="(%1)"/>
      <w:numFmt w:val="lowerLetter"/>
      <w:start w:val="2"/>
    </w:lvl>
  </w:abstractNum>
  <w:abstractNum w:abstractNumId="299">
    <w:nsid w:val="57A37D47"/>
    <w:multiLevelType w:val="hybridMultilevel"/>
    <w:lvl w:ilvl="0">
      <w:lvlJc w:val="left"/>
      <w:lvlText w:val="(%1)"/>
      <w:numFmt w:val="lowerLetter"/>
      <w:start w:val="2"/>
    </w:lvl>
  </w:abstractNum>
  <w:abstractNum w:abstractNumId="300">
    <w:nsid w:val="74824D54"/>
    <w:multiLevelType w:val="hybridMultilevel"/>
    <w:lvl w:ilvl="0">
      <w:lvlJc w:val="left"/>
      <w:lvlText w:val="%1"/>
      <w:numFmt w:val="upperLetter"/>
      <w:start w:val="1"/>
    </w:lvl>
    <w:lvl w:ilvl="1">
      <w:lvlJc w:val="left"/>
      <w:lvlText w:val="(%2)"/>
      <w:numFmt w:val="lowerLetter"/>
      <w:start w:val="1"/>
    </w:lvl>
  </w:abstractNum>
  <w:abstractNum w:abstractNumId="301">
    <w:nsid w:val="6F00529A"/>
    <w:multiLevelType w:val="hybridMultilevel"/>
    <w:lvl w:ilvl="0">
      <w:lvlJc w:val="left"/>
      <w:lvlText w:val="(%1)"/>
      <w:numFmt w:val="lowerRoman"/>
      <w:start w:val="5"/>
    </w:lvl>
  </w:abstractNum>
  <w:abstractNum w:abstractNumId="302">
    <w:nsid w:val="805B331"/>
    <w:multiLevelType w:val="hybridMultilevel"/>
    <w:lvl w:ilvl="0">
      <w:lvlJc w:val="left"/>
      <w:lvlText w:val="(%1)"/>
      <w:numFmt w:val="lowerRoman"/>
      <w:start w:val="7"/>
    </w:lvl>
  </w:abstractNum>
  <w:abstractNum w:abstractNumId="303">
    <w:nsid w:val="60A1463"/>
    <w:multiLevelType w:val="hybridMultilevel"/>
    <w:lvl w:ilvl="0">
      <w:lvlJc w:val="left"/>
      <w:lvlText w:val="(%1)"/>
      <w:numFmt w:val="lowerLetter"/>
      <w:start w:val="1"/>
    </w:lvl>
  </w:abstractNum>
  <w:abstractNum w:abstractNumId="304">
    <w:nsid w:val="43773132"/>
    <w:multiLevelType w:val="hybridMultilevel"/>
    <w:lvl w:ilvl="0">
      <w:lvlJc w:val="left"/>
      <w:lvlText w:val="(%1)"/>
      <w:numFmt w:val="lowerLetter"/>
      <w:start w:val="3"/>
    </w:lvl>
  </w:abstractNum>
  <w:abstractNum w:abstractNumId="305">
    <w:nsid w:val="16AC4B23"/>
    <w:multiLevelType w:val="hybridMultilevel"/>
    <w:lvl w:ilvl="0">
      <w:lvlJc w:val="left"/>
      <w:lvlText w:val="(%1)"/>
      <w:numFmt w:val="lowerLetter"/>
      <w:start w:val="14"/>
    </w:lvl>
  </w:abstractNum>
  <w:abstractNum w:abstractNumId="306">
    <w:nsid w:val="76C44E4E"/>
    <w:multiLevelType w:val="hybridMultilevel"/>
    <w:lvl w:ilvl="0">
      <w:lvlJc w:val="left"/>
      <w:lvlText w:val="(%1)"/>
      <w:numFmt w:val="lowerLetter"/>
      <w:start w:val="16"/>
    </w:lvl>
  </w:abstractNum>
  <w:abstractNum w:abstractNumId="307">
    <w:nsid w:val="E04E6CE"/>
    <w:multiLevelType w:val="hybridMultilevel"/>
    <w:lvl w:ilvl="0">
      <w:lvlJc w:val="left"/>
      <w:lvlText w:val="(%1)"/>
      <w:numFmt w:val="lowerLetter"/>
      <w:start w:val="4"/>
    </w:lvl>
  </w:abstractNum>
  <w:abstractNum w:abstractNumId="308">
    <w:nsid w:val="31A9DB76"/>
    <w:multiLevelType w:val="hybridMultilevel"/>
    <w:lvl w:ilvl="0">
      <w:lvlJc w:val="left"/>
      <w:lvlText w:val="(%1)"/>
      <w:numFmt w:val="lowerLetter"/>
      <w:start w:val="1"/>
    </w:lvl>
  </w:abstractNum>
  <w:abstractNum w:abstractNumId="309">
    <w:nsid w:val="4C4FFF5B"/>
    <w:multiLevelType w:val="hybridMultilevel"/>
    <w:lvl w:ilvl="0">
      <w:lvlJc w:val="left"/>
      <w:lvlText w:val="(%1)"/>
      <w:numFmt w:val="lowerLetter"/>
      <w:start w:val="2"/>
    </w:lvl>
  </w:abstractNum>
  <w:abstractNum w:abstractNumId="310">
    <w:nsid w:val="51B76675"/>
    <w:multiLevelType w:val="hybridMultilevel"/>
    <w:lvl w:ilvl="0">
      <w:lvlJc w:val="left"/>
      <w:lvlText w:val="%1"/>
      <w:numFmt w:val="lowerLetter"/>
      <w:start w:val="1"/>
    </w:lvl>
    <w:lvl w:ilvl="1">
      <w:lvlJc w:val="left"/>
      <w:lvlText w:val="(%2)"/>
      <w:numFmt w:val="lowerLetter"/>
      <w:start w:val="8"/>
    </w:lvl>
  </w:abstractNum>
  <w:abstractNum w:abstractNumId="311">
    <w:nsid w:val="59A4BA71"/>
    <w:multiLevelType w:val="hybridMultilevel"/>
    <w:lvl w:ilvl="0">
      <w:lvlJc w:val="left"/>
      <w:lvlText w:val="(%1)"/>
      <w:numFmt w:val="lowerLetter"/>
      <w:start w:val="35"/>
    </w:lvl>
    <w:lvl w:ilvl="1">
      <w:lvlJc w:val="left"/>
      <w:lvlText w:val="%2"/>
      <w:numFmt w:val="lowerLetter"/>
      <w:start w:val="1"/>
    </w:lvl>
  </w:abstractNum>
  <w:abstractNum w:abstractNumId="312">
    <w:nsid w:val="450B7FB6"/>
    <w:multiLevelType w:val="hybridMultilevel"/>
    <w:lvl w:ilvl="0">
      <w:lvlJc w:val="left"/>
      <w:lvlText w:val="(%1)"/>
      <w:numFmt w:val="lowerLetter"/>
      <w:start w:val="2"/>
    </w:lvl>
  </w:abstractNum>
  <w:abstractNum w:abstractNumId="313">
    <w:nsid w:val="340BF64D"/>
    <w:multiLevelType w:val="hybridMultilevel"/>
    <w:lvl w:ilvl="0">
      <w:lvlJc w:val="left"/>
      <w:lvlText w:val="(%1)"/>
      <w:numFmt w:val="lowerLetter"/>
      <w:start w:val="2"/>
    </w:lvl>
  </w:abstractNum>
  <w:abstractNum w:abstractNumId="314">
    <w:nsid w:val="69454021"/>
    <w:multiLevelType w:val="hybridMultilevel"/>
    <w:lvl w:ilvl="0">
      <w:lvlJc w:val="left"/>
      <w:lvlText w:val="(%1)"/>
      <w:numFmt w:val="lowerLetter"/>
      <w:start w:val="1"/>
    </w:lvl>
  </w:abstractNum>
  <w:abstractNum w:abstractNumId="315">
    <w:nsid w:val="49F15C6B"/>
    <w:multiLevelType w:val="hybridMultilevel"/>
    <w:lvl w:ilvl="0">
      <w:lvlJc w:val="left"/>
      <w:lvlText w:val="(%1)"/>
      <w:numFmt w:val="lowerLetter"/>
      <w:start w:val="24"/>
    </w:lvl>
  </w:abstractNum>
  <w:abstractNum w:abstractNumId="316">
    <w:nsid w:val="75F56228"/>
    <w:multiLevelType w:val="hybridMultilevel"/>
    <w:lvl w:ilvl="0">
      <w:lvlJc w:val="left"/>
      <w:lvlText w:val="(%1)"/>
      <w:numFmt w:val="lowerRoman"/>
      <w:start w:val="1"/>
    </w:lvl>
  </w:abstractNum>
  <w:abstractNum w:abstractNumId="317">
    <w:nsid w:val="1C618271"/>
    <w:multiLevelType w:val="hybridMultilevel"/>
    <w:lvl w:ilvl="0">
      <w:lvlJc w:val="left"/>
      <w:lvlText w:val="(%1)"/>
      <w:numFmt w:val="lowerLetter"/>
      <w:start w:val="3"/>
    </w:lvl>
  </w:abstractNum>
  <w:abstractNum w:abstractNumId="318">
    <w:nsid w:val="6505F02E"/>
    <w:multiLevelType w:val="hybridMultilevel"/>
    <w:lvl w:ilvl="0">
      <w:lvlJc w:val="left"/>
      <w:lvlText w:val="(%1)"/>
      <w:numFmt w:val="lowerRoman"/>
      <w:start w:val="1"/>
    </w:lvl>
  </w:abstractNum>
  <w:abstractNum w:abstractNumId="319">
    <w:nsid w:val="2FE5D025"/>
    <w:multiLevelType w:val="hybridMultilevel"/>
    <w:lvl w:ilvl="0">
      <w:lvlJc w:val="left"/>
      <w:lvlText w:val="(%1)"/>
      <w:numFmt w:val="lowerLetter"/>
      <w:start w:val="1"/>
    </w:lvl>
  </w:abstractNum>
  <w:abstractNum w:abstractNumId="320">
    <w:nsid w:val="30E1B1CF"/>
    <w:multiLevelType w:val="hybridMultilevel"/>
    <w:lvl w:ilvl="0">
      <w:lvlJc w:val="left"/>
      <w:lvlText w:val="(%1)"/>
      <w:numFmt w:val="lowerLetter"/>
      <w:start w:val="4"/>
    </w:lvl>
  </w:abstractNum>
  <w:abstractNum w:abstractNumId="321">
    <w:nsid w:val="C7A9237"/>
    <w:multiLevelType w:val="hybridMultilevel"/>
    <w:lvl w:ilvl="0">
      <w:lvlJc w:val="left"/>
      <w:lvlText w:val="(%1)"/>
      <w:numFmt w:val="lowerRoman"/>
      <w:start w:val="7"/>
    </w:lvl>
  </w:abstractNum>
  <w:abstractNum w:abstractNumId="322">
    <w:nsid w:val="676B3580"/>
    <w:multiLevelType w:val="hybridMultilevel"/>
    <w:lvl w:ilvl="0">
      <w:lvlJc w:val="left"/>
      <w:lvlText w:val="(%1)"/>
      <w:numFmt w:val="lowerLetter"/>
      <w:start w:val="1"/>
    </w:lvl>
    <w:lvl w:ilvl="1">
      <w:lvlJc w:val="left"/>
      <w:lvlText w:val="(%2)"/>
      <w:numFmt w:val="lowerRoman"/>
      <w:start w:val="1"/>
    </w:lvl>
  </w:abstractNum>
  <w:abstractNum w:abstractNumId="323">
    <w:nsid w:val="3193C8F9"/>
    <w:multiLevelType w:val="hybridMultilevel"/>
    <w:lvl w:ilvl="0">
      <w:lvlJc w:val="left"/>
      <w:lvlText w:val="%1"/>
      <w:numFmt w:val="lowerLetter"/>
      <w:start w:val="1"/>
    </w:lvl>
    <w:lvl w:ilvl="1">
      <w:lvlJc w:val="left"/>
      <w:lvlText w:val="(%2)"/>
      <w:numFmt w:val="lowerRoman"/>
      <w:start w:val="10"/>
    </w:lvl>
  </w:abstractNum>
  <w:abstractNum w:abstractNumId="324">
    <w:nsid w:val="5FA6C6DC"/>
    <w:multiLevelType w:val="hybridMultilevel"/>
    <w:lvl w:ilvl="0">
      <w:lvlJc w:val="left"/>
      <w:lvlText w:val="(%1)"/>
      <w:numFmt w:val="lowerLetter"/>
      <w:start w:val="2"/>
    </w:lvl>
    <w:lvl w:ilvl="1">
      <w:lvlJc w:val="left"/>
      <w:lvlText w:val="%2"/>
      <w:numFmt w:val="lowerRoman"/>
      <w:start w:val="1"/>
    </w:lvl>
  </w:abstractNum>
  <w:abstractNum w:abstractNumId="325">
    <w:nsid w:val="77933F62"/>
    <w:multiLevelType w:val="hybridMultilevel"/>
    <w:lvl w:ilvl="0">
      <w:lvlJc w:val="left"/>
      <w:lvlText w:val="(%1)"/>
      <w:numFmt w:val="lowerLetter"/>
      <w:start w:val="3"/>
    </w:lvl>
  </w:abstractNum>
  <w:abstractNum w:abstractNumId="326">
    <w:nsid w:val="6CB4EE9C"/>
    <w:multiLevelType w:val="hybridMultilevel"/>
    <w:lvl w:ilvl="0">
      <w:lvlJc w:val="left"/>
      <w:lvlText w:val="(%1)"/>
      <w:numFmt w:val="lowerLetter"/>
      <w:start w:val="1"/>
    </w:lvl>
  </w:abstractNum>
  <w:abstractNum w:abstractNumId="327">
    <w:nsid w:val="6A6D56D7"/>
    <w:multiLevelType w:val="hybridMultilevel"/>
    <w:lvl w:ilvl="0">
      <w:lvlJc w:val="left"/>
      <w:lvlText w:val="(%1)"/>
      <w:numFmt w:val="lowerLetter"/>
      <w:start w:val="2"/>
    </w:lvl>
  </w:abstractNum>
  <w:abstractNum w:abstractNumId="328">
    <w:nsid w:val="5B727F19"/>
    <w:multiLevelType w:val="hybridMultilevel"/>
    <w:lvl w:ilvl="0">
      <w:lvlJc w:val="left"/>
      <w:lvlText w:val="(%1)"/>
      <w:numFmt w:val="lowerLetter"/>
      <w:start w:val="4"/>
    </w:lvl>
  </w:abstractNum>
  <w:abstractNum w:abstractNumId="329">
    <w:nsid w:val="514E5CB0"/>
    <w:multiLevelType w:val="hybridMultilevel"/>
    <w:lvl w:ilvl="0">
      <w:lvlJc w:val="left"/>
      <w:lvlText w:val="(%1)"/>
      <w:numFmt w:val="lowerRoman"/>
      <w:start w:val="1"/>
    </w:lvl>
  </w:abstractNum>
  <w:abstractNum w:abstractNumId="330">
    <w:nsid w:val="4210D41E"/>
    <w:multiLevelType w:val="hybridMultilevel"/>
    <w:lvl w:ilvl="0">
      <w:lvlJc w:val="left"/>
      <w:lvlText w:val="(%1)"/>
      <w:numFmt w:val="lowerLetter"/>
      <w:start w:val="1"/>
    </w:lvl>
  </w:abstractNum>
  <w:abstractNum w:abstractNumId="331">
    <w:nsid w:val="4FF4CC6D"/>
    <w:multiLevelType w:val="hybridMultilevel"/>
    <w:lvl w:ilvl="0">
      <w:lvlJc w:val="left"/>
      <w:lvlText w:val="(%1)"/>
      <w:numFmt w:val="lowerLetter"/>
      <w:start w:val="3"/>
    </w:lvl>
  </w:abstractNum>
  <w:abstractNum w:abstractNumId="332">
    <w:nsid w:val="404EAF4A"/>
    <w:multiLevelType w:val="hybridMultilevel"/>
    <w:lvl w:ilvl="0">
      <w:lvlJc w:val="left"/>
      <w:lvlText w:val="(%1)"/>
      <w:numFmt w:val="lowerRoman"/>
      <w:start w:val="2"/>
    </w:lvl>
  </w:abstractNum>
  <w:abstractNum w:abstractNumId="333">
    <w:nsid w:val="4A16874F"/>
    <w:multiLevelType w:val="hybridMultilevel"/>
    <w:lvl w:ilvl="0">
      <w:lvlJc w:val="left"/>
      <w:lvlText w:val="%1"/>
      <w:numFmt w:val="lowerLetter"/>
      <w:start w:val="1"/>
    </w:lvl>
    <w:lvl w:ilvl="1">
      <w:lvlJc w:val="left"/>
      <w:lvlText w:val="(%2)"/>
      <w:numFmt w:val="lowerRoman"/>
      <w:start w:val="4"/>
    </w:lvl>
  </w:abstractNum>
  <w:abstractNum w:abstractNumId="334">
    <w:nsid w:val="55FEE0D1"/>
    <w:multiLevelType w:val="hybridMultilevel"/>
    <w:lvl w:ilvl="0">
      <w:lvlJc w:val="left"/>
      <w:lvlText w:val="(%1)"/>
      <w:numFmt w:val="lowerLetter"/>
      <w:start w:val="4"/>
    </w:lvl>
    <w:lvl w:ilvl="1">
      <w:lvlJc w:val="left"/>
      <w:lvlText w:val="(%2)"/>
      <w:numFmt w:val="lowerRoman"/>
      <w:start w:val="2"/>
    </w:lvl>
  </w:abstractNum>
  <w:abstractNum w:abstractNumId="335">
    <w:nsid w:val="3C5E07C"/>
    <w:multiLevelType w:val="hybridMultilevel"/>
    <w:lvl w:ilvl="0">
      <w:lvlJc w:val="left"/>
      <w:lvlText w:val="(%1)"/>
      <w:numFmt w:val="lowerLetter"/>
      <w:start w:val="1"/>
    </w:lvl>
  </w:abstractNum>
  <w:abstractNum w:abstractNumId="336">
    <w:nsid w:val="60C2D273"/>
    <w:multiLevelType w:val="hybridMultilevel"/>
    <w:lvl w:ilvl="0">
      <w:lvlJc w:val="left"/>
      <w:lvlText w:val="(%1)"/>
      <w:numFmt w:val="lowerLetter"/>
      <w:start w:val="2"/>
    </w:lvl>
    <w:lvl w:ilvl="1">
      <w:lvlJc w:val="left"/>
      <w:lvlText w:val="(%2)"/>
      <w:numFmt w:val="lowerLetter"/>
      <w:start w:val="35"/>
    </w:lvl>
  </w:abstractNum>
  <w:abstractNum w:abstractNumId="337">
    <w:nsid w:val="4CC32F1F"/>
    <w:multiLevelType w:val="hybridMultilevel"/>
    <w:lvl w:ilvl="0">
      <w:lvlJc w:val="left"/>
      <w:lvlText w:val="(%1)"/>
      <w:numFmt w:val="lowerLetter"/>
      <w:start w:val="1"/>
    </w:lvl>
    <w:lvl w:ilvl="1">
      <w:lvlJc w:val="left"/>
      <w:lvlText w:val="(%2)"/>
      <w:numFmt w:val="lowerRoman"/>
      <w:start w:val="1"/>
    </w:lvl>
  </w:abstractNum>
  <w:abstractNum w:abstractNumId="338">
    <w:nsid w:val="11CAC74A"/>
    <w:multiLevelType w:val="hybridMultilevel"/>
    <w:lvl w:ilvl="0">
      <w:lvlJc w:val="left"/>
      <w:lvlText w:val="(%1)"/>
      <w:numFmt w:val="lowerRoman"/>
      <w:start w:val="3"/>
    </w:lvl>
  </w:abstractNum>
  <w:abstractNum w:abstractNumId="339">
    <w:nsid w:val="126CADE9"/>
    <w:multiLevelType w:val="hybridMultilevel"/>
    <w:lvl w:ilvl="0">
      <w:lvlJc w:val="left"/>
      <w:lvlText w:val="(%1)"/>
      <w:numFmt w:val="lowerLetter"/>
      <w:start w:val="4"/>
    </w:lvl>
  </w:abstractNum>
  <w:abstractNum w:abstractNumId="340">
    <w:nsid w:val="19132E7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341">
    <w:nsid w:val="63822DC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342">
    <w:nsid w:val="6C11685A"/>
    <w:multiLevelType w:val="hybridMultilevel"/>
    <w:lvl w:ilvl="0">
      <w:lvlJc w:val="left"/>
      <w:lvlText w:val="(%1)"/>
      <w:numFmt w:val="lowerLetter"/>
      <w:start w:val="4"/>
    </w:lvl>
  </w:abstractNum>
  <w:abstractNum w:abstractNumId="343">
    <w:nsid w:val="5E1EAE31"/>
    <w:multiLevelType w:val="hybridMultilevel"/>
    <w:lvl w:ilvl="0">
      <w:lvlJc w:val="left"/>
      <w:lvlText w:val="(%1)"/>
      <w:numFmt w:val="lowerLetter"/>
      <w:start w:val="1"/>
    </w:lvl>
  </w:abstractNum>
  <w:abstractNum w:abstractNumId="344">
    <w:nsid w:val="178E240D"/>
    <w:multiLevelType w:val="hybridMultilevel"/>
    <w:lvl w:ilvl="0">
      <w:lvlJc w:val="left"/>
      <w:lvlText w:val="(%1)"/>
      <w:numFmt w:val="lowerLetter"/>
      <w:start w:val="5"/>
    </w:lvl>
  </w:abstractNum>
  <w:abstractNum w:abstractNumId="345">
    <w:nsid w:val="5556A87B"/>
    <w:multiLevelType w:val="hybridMultilevel"/>
    <w:lvl w:ilvl="0">
      <w:lvlJc w:val="left"/>
      <w:lvlText w:val="(%1)"/>
      <w:numFmt w:val="lowerLetter"/>
      <w:start w:val="6"/>
    </w:lvl>
  </w:abstractNum>
  <w:abstractNum w:abstractNumId="346">
    <w:nsid w:val="28100A9C"/>
    <w:multiLevelType w:val="hybridMultilevel"/>
    <w:lvl w:ilvl="0">
      <w:lvlJc w:val="left"/>
      <w:lvlText w:val="(%1)"/>
      <w:numFmt w:val="lowerLetter"/>
      <w:start w:val="1"/>
    </w:lvl>
  </w:abstractNum>
  <w:abstractNum w:abstractNumId="347">
    <w:nsid w:val="D838636"/>
    <w:multiLevelType w:val="hybridMultilevel"/>
    <w:lvl w:ilvl="0">
      <w:lvlJc w:val="left"/>
      <w:lvlText w:val="(%1)"/>
      <w:numFmt w:val="lowerLetter"/>
      <w:start w:val="5"/>
    </w:lvl>
  </w:abstractNum>
  <w:abstractNum w:abstractNumId="348">
    <w:nsid w:val="71B82AED"/>
    <w:multiLevelType w:val="hybridMultilevel"/>
    <w:lvl w:ilvl="0">
      <w:lvlJc w:val="left"/>
      <w:lvlText w:val="(%1)"/>
      <w:numFmt w:val="lowerLetter"/>
      <w:start w:val="1"/>
    </w:lvl>
  </w:abstractNum>
  <w:abstractNum w:abstractNumId="349">
    <w:nsid w:val="D15FACA"/>
    <w:multiLevelType w:val="hybridMultilevel"/>
    <w:lvl w:ilvl="0">
      <w:lvlJc w:val="left"/>
      <w:lvlText w:val="(%1)"/>
      <w:numFmt w:val="lowerLetter"/>
      <w:start w:val="1"/>
    </w:lvl>
  </w:abstractNum>
  <w:abstractNum w:abstractNumId="350">
    <w:nsid w:val="3D69565B"/>
    <w:multiLevelType w:val="hybridMultilevel"/>
    <w:lvl w:ilvl="0">
      <w:lvlJc w:val="left"/>
      <w:lvlText w:val="(%1)"/>
      <w:numFmt w:val="lowerLetter"/>
      <w:start w:val="2"/>
    </w:lvl>
  </w:abstractNum>
  <w:abstractNum w:abstractNumId="351">
    <w:nsid w:val="2299DCBC"/>
    <w:multiLevelType w:val="hybridMultilevel"/>
    <w:lvl w:ilvl="0">
      <w:lvlJc w:val="left"/>
      <w:lvlText w:val="(%1)"/>
      <w:numFmt w:val="lowerLetter"/>
      <w:start w:val="1"/>
    </w:lvl>
    <w:lvl w:ilvl="1">
      <w:lvlJc w:val="left"/>
      <w:lvlText w:val="(%2)"/>
      <w:numFmt w:val="lowerRoman"/>
      <w:start w:val="1"/>
    </w:lvl>
  </w:abstractNum>
  <w:abstractNum w:abstractNumId="352">
    <w:nsid w:val="19908D02"/>
    <w:multiLevelType w:val="hybridMultilevel"/>
    <w:lvl w:ilvl="0">
      <w:lvlJc w:val="left"/>
      <w:lvlText w:val="(%1)"/>
      <w:numFmt w:val="lowerLetter"/>
      <w:start w:val="2"/>
    </w:lvl>
  </w:abstractNum>
  <w:abstractNum w:abstractNumId="353">
    <w:nsid w:val="24D48BDB"/>
    <w:multiLevelType w:val="hybridMultilevel"/>
    <w:lvl w:ilvl="0">
      <w:lvlJc w:val="left"/>
      <w:lvlText w:val="(%1)"/>
      <w:numFmt w:val="lowerLetter"/>
      <w:start w:val="1"/>
    </w:lvl>
    <w:lvl w:ilvl="1">
      <w:lvlJc w:val="left"/>
      <w:lvlText w:val="(%2)"/>
      <w:numFmt w:val="lowerRoman"/>
      <w:start w:val="1"/>
    </w:lvl>
  </w:abstractNum>
  <w:abstractNum w:abstractNumId="354">
    <w:nsid w:val="542DA5B5"/>
    <w:multiLevelType w:val="hybridMultilevel"/>
    <w:lvl w:ilvl="0">
      <w:lvlJc w:val="left"/>
      <w:lvlText w:val="(%1)"/>
      <w:numFmt w:val="lowerLetter"/>
      <w:start w:val="2"/>
    </w:lvl>
  </w:abstractNum>
  <w:abstractNum w:abstractNumId="355">
    <w:nsid w:val="793753DE"/>
    <w:multiLevelType w:val="hybridMultilevel"/>
    <w:lvl w:ilvl="0">
      <w:lvlJc w:val="left"/>
      <w:lvlText w:val="(%1)"/>
      <w:numFmt w:val="lowerLetter"/>
      <w:start w:val="1"/>
    </w:lvl>
    <w:lvl w:ilvl="1">
      <w:lvlJc w:val="left"/>
      <w:lvlText w:val="(%2)"/>
      <w:numFmt w:val="lowerRoman"/>
      <w:start w:val="1"/>
    </w:lvl>
  </w:abstractNum>
  <w:abstractNum w:abstractNumId="356">
    <w:nsid w:val="1C67CB3D"/>
    <w:multiLevelType w:val="hybridMultilevel"/>
    <w:lvl w:ilvl="0">
      <w:lvlJc w:val="left"/>
      <w:lvlText w:val="(%1)"/>
      <w:numFmt w:val="upperLetter"/>
      <w:start w:val="1"/>
    </w:lvl>
  </w:abstractNum>
  <w:abstractNum w:abstractNumId="357">
    <w:nsid w:val="40E29452"/>
    <w:multiLevelType w:val="hybridMultilevel"/>
    <w:lvl w:ilvl="0">
      <w:lvlJc w:val="left"/>
      <w:lvlText w:val="(%1)"/>
      <w:numFmt w:val="lowerRoman"/>
      <w:start w:val="4"/>
    </w:lvl>
  </w:abstractNum>
  <w:abstractNum w:abstractNumId="358">
    <w:nsid w:val="63A4AAB6"/>
    <w:multiLevelType w:val="hybridMultilevel"/>
    <w:lvl w:ilvl="0">
      <w:lvlJc w:val="left"/>
      <w:lvlText w:val="(%1)"/>
      <w:numFmt w:val="lowerLetter"/>
      <w:start w:val="2"/>
    </w:lvl>
  </w:abstractNum>
  <w:abstractNum w:abstractNumId="359">
    <w:nsid w:val="77DA4A57"/>
    <w:multiLevelType w:val="hybridMultilevel"/>
    <w:lvl w:ilvl="0">
      <w:lvlJc w:val="left"/>
      <w:lvlText w:val="(%1)"/>
      <w:numFmt w:val="lowerLetter"/>
      <w:start w:val="3"/>
    </w:lvl>
  </w:abstractNum>
  <w:abstractNum w:abstractNumId="360">
    <w:nsid w:val="1230F102"/>
    <w:multiLevelType w:val="hybridMultilevel"/>
    <w:lvl w:ilvl="0">
      <w:lvlJc w:val="left"/>
      <w:lvlText w:val="(%1)"/>
      <w:numFmt w:val="lowerLetter"/>
      <w:start w:val="1"/>
    </w:lvl>
  </w:abstractNum>
  <w:abstractNum w:abstractNumId="361">
    <w:nsid w:val="25B57ED4"/>
    <w:multiLevelType w:val="hybridMultilevel"/>
    <w:lvl w:ilvl="0">
      <w:lvlJc w:val="left"/>
      <w:lvlText w:val="(%1)"/>
      <w:numFmt w:val="lowerLetter"/>
      <w:start w:val="2"/>
    </w:lvl>
    <w:lvl w:ilvl="1">
      <w:lvlJc w:val="left"/>
      <w:lvlText w:val="(%2)"/>
      <w:numFmt w:val="lowerRoman"/>
      <w:start w:val="1"/>
    </w:lvl>
  </w:abstractNum>
  <w:abstractNum w:abstractNumId="362">
    <w:nsid w:val="47CF16C4"/>
    <w:multiLevelType w:val="hybridMultilevel"/>
    <w:lvl w:ilvl="0">
      <w:lvlJc w:val="left"/>
      <w:lvlText w:val="(%1)"/>
      <w:numFmt w:val="lowerRoman"/>
      <w:start w:val="7"/>
    </w:lvl>
  </w:abstractNum>
  <w:abstractNum w:abstractNumId="363">
    <w:nsid w:val="527FA04C"/>
    <w:multiLevelType w:val="hybridMultilevel"/>
    <w:lvl w:ilvl="0">
      <w:lvlJc w:val="left"/>
      <w:lvlText w:val="(%1)"/>
      <w:numFmt w:val="lowerLetter"/>
      <w:start w:val="3"/>
    </w:lvl>
  </w:abstractNum>
  <w:abstractNum w:abstractNumId="364">
    <w:nsid w:val="6FCC0624"/>
    <w:multiLevelType w:val="hybridMultilevel"/>
    <w:lvl w:ilvl="0">
      <w:lvlJc w:val="left"/>
      <w:lvlText w:val="(%1)"/>
      <w:numFmt w:val="lowerLetter"/>
      <w:start w:val="1"/>
    </w:lvl>
  </w:abstractNum>
  <w:abstractNum w:abstractNumId="365">
    <w:nsid w:val="1DCDF795"/>
    <w:multiLevelType w:val="hybridMultilevel"/>
    <w:lvl w:ilvl="0">
      <w:lvlJc w:val="left"/>
      <w:lvlText w:val="(%1)"/>
      <w:numFmt w:val="lowerLetter"/>
      <w:start w:val="2"/>
    </w:lvl>
  </w:abstractNum>
  <w:abstractNum w:abstractNumId="366">
    <w:nsid w:val="564580C8"/>
    <w:multiLevelType w:val="hybridMultilevel"/>
    <w:lvl w:ilvl="0">
      <w:lvlJc w:val="left"/>
      <w:lvlText w:val="(%1)"/>
      <w:numFmt w:val="lowerLetter"/>
      <w:start w:val="5"/>
    </w:lvl>
  </w:abstractNum>
  <w:abstractNum w:abstractNumId="367">
    <w:nsid w:val="508ED897"/>
    <w:multiLevelType w:val="hybridMultilevel"/>
    <w:lvl w:ilvl="0">
      <w:lvlJc w:val="left"/>
      <w:lvlText w:val="(%1)"/>
      <w:numFmt w:val="lowerLetter"/>
      <w:start w:val="1"/>
    </w:lvl>
  </w:abstractNum>
  <w:abstractNum w:abstractNumId="368">
    <w:nsid w:val="6A9126B5"/>
    <w:multiLevelType w:val="hybridMultilevel"/>
    <w:lvl w:ilvl="0">
      <w:lvlJc w:val="left"/>
      <w:lvlText w:val="%1"/>
      <w:numFmt w:val="lowerLetter"/>
      <w:start w:val="1"/>
    </w:lvl>
    <w:lvl w:ilvl="1">
      <w:lvlJc w:val="left"/>
      <w:lvlText w:val="(%2)"/>
      <w:numFmt w:val="lowerLetter"/>
      <w:start w:val="4"/>
    </w:lvl>
  </w:abstractNum>
  <w:abstractNum w:abstractNumId="369">
    <w:nsid w:val="68104812"/>
    <w:multiLevelType w:val="hybridMultilevel"/>
    <w:lvl w:ilvl="0">
      <w:lvlJc w:val="left"/>
      <w:lvlText w:val="(%1)"/>
      <w:numFmt w:val="lowerLetter"/>
      <w:start w:val="35"/>
    </w:lvl>
    <w:lvl w:ilvl="1">
      <w:lvlJc w:val="left"/>
      <w:lvlText w:val="%2"/>
      <w:numFmt w:val="lowerLetter"/>
      <w:start w:val="1"/>
    </w:lvl>
  </w:abstractNum>
  <w:abstractNum w:abstractNumId="370">
    <w:nsid w:val="62FB8680"/>
    <w:multiLevelType w:val="hybridMultilevel"/>
    <w:lvl w:ilvl="0">
      <w:lvlJc w:val="left"/>
      <w:lvlText w:val="(%1)"/>
      <w:numFmt w:val="lowerLetter"/>
      <w:start w:val="6"/>
    </w:lvl>
  </w:abstractNum>
  <w:abstractNum w:abstractNumId="371">
    <w:nsid w:val="3A45530"/>
    <w:multiLevelType w:val="hybridMultilevel"/>
    <w:lvl w:ilvl="0">
      <w:lvlJc w:val="left"/>
      <w:lvlText w:val="%1"/>
      <w:numFmt w:val="decimal"/>
      <w:start w:val="1"/>
    </w:lvl>
    <w:lvl w:ilvl="1">
      <w:lvlJc w:val="left"/>
      <w:lvlText w:val="(%2)"/>
      <w:numFmt w:val="lowerLetter"/>
      <w:start w:val="1"/>
    </w:lvl>
  </w:abstractNum>
  <w:abstractNum w:abstractNumId="372">
    <w:nsid w:val="4B9275D2"/>
    <w:multiLevelType w:val="hybridMultilevel"/>
    <w:lvl w:ilvl="0">
      <w:lvlJc w:val="left"/>
      <w:lvlText w:val="(%1)"/>
      <w:numFmt w:val="decimal"/>
      <w:start w:val="1"/>
    </w:lvl>
    <w:lvl w:ilvl="1">
      <w:lvlJc w:val="left"/>
      <w:lvlText w:val="%2"/>
      <w:numFmt w:val="lowerLetter"/>
      <w:start w:val="1"/>
    </w:lvl>
  </w:abstractNum>
  <w:abstractNum w:abstractNumId="373">
    <w:nsid w:val="4F0CEED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4">
    <w:nsid w:val="61C30361"/>
    <w:multiLevelType w:val="hybridMultilevel"/>
    <w:lvl w:ilvl="0">
      <w:lvlJc w:val="left"/>
      <w:lvlText w:val="%1"/>
      <w:numFmt w:val="lowerLetter"/>
      <w:start w:val="1"/>
    </w:lvl>
    <w:lvl w:ilvl="1">
      <w:lvlJc w:val="left"/>
      <w:lvlText w:val="(%2)"/>
      <w:numFmt w:val="lowerLetter"/>
      <w:start w:val="35"/>
    </w:lvl>
  </w:abstractNum>
  <w:abstractNum w:abstractNumId="375">
    <w:nsid w:val="632099E0"/>
    <w:multiLevelType w:val="hybridMultilevel"/>
    <w:lvl w:ilvl="0">
      <w:lvlJc w:val="left"/>
      <w:lvlText w:val="(%1)"/>
      <w:numFmt w:val="lowerLetter"/>
      <w:start w:val="3"/>
    </w:lvl>
    <w:lvl w:ilvl="1">
      <w:lvlJc w:val="left"/>
      <w:lvlText w:val="(%2)"/>
      <w:numFmt w:val="lowerLetter"/>
      <w:start w:val="9"/>
    </w:lvl>
  </w:abstractNum>
  <w:abstractNum w:abstractNumId="376">
    <w:nsid w:val="24639756"/>
    <w:multiLevelType w:val="hybridMultilevel"/>
    <w:lvl w:ilvl="0">
      <w:lvlJc w:val="left"/>
      <w:lvlText w:val="(%1)"/>
      <w:numFmt w:val="lowerRoman"/>
      <w:start w:val="2"/>
    </w:lvl>
  </w:abstractNum>
  <w:abstractNum w:abstractNumId="377">
    <w:nsid w:val="9D30DFD"/>
    <w:multiLevelType w:val="hybridMultilevel"/>
    <w:lvl w:ilvl="0">
      <w:lvlJc w:val="left"/>
      <w:lvlText w:val="(%1)"/>
      <w:numFmt w:val="lowerRoman"/>
      <w:start w:val="3"/>
    </w:lvl>
  </w:abstractNum>
  <w:abstractNum w:abstractNumId="378">
    <w:nsid w:val="70A42016"/>
    <w:multiLevelType w:val="hybridMultilevel"/>
    <w:lvl w:ilvl="0">
      <w:lvlJc w:val="left"/>
      <w:lvlText w:val="(%1)"/>
      <w:numFmt w:val="lowerLetter"/>
      <w:start w:val="1"/>
    </w:lvl>
    <w:lvl w:ilvl="1">
      <w:lvlJc w:val="left"/>
      <w:lvlText w:val="(%2)"/>
      <w:numFmt w:val="lowerRoman"/>
      <w:start w:val="1"/>
    </w:lvl>
  </w:abstractNum>
  <w:abstractNum w:abstractNumId="379">
    <w:nsid w:val="161BC243"/>
    <w:multiLevelType w:val="hybridMultilevel"/>
    <w:lvl w:ilvl="0">
      <w:lvlJc w:val="left"/>
      <w:lvlText w:val="(%1)"/>
      <w:numFmt w:val="lowerRoman"/>
      <w:start w:val="3"/>
    </w:lvl>
  </w:abstractNum>
  <w:abstractNum w:abstractNumId="380">
    <w:nsid w:val="16E908C8"/>
    <w:multiLevelType w:val="hybridMultilevel"/>
    <w:lvl w:ilvl="0">
      <w:lvlJc w:val="left"/>
      <w:lvlText w:val="(%1)"/>
      <w:numFmt w:val="lowerRoman"/>
      <w:start w:val="5"/>
    </w:lvl>
  </w:abstractNum>
  <w:abstractNum w:abstractNumId="381">
    <w:nsid w:val="2E0D7671"/>
    <w:multiLevelType w:val="hybridMultilevel"/>
    <w:lvl w:ilvl="0">
      <w:lvlJc w:val="left"/>
      <w:lvlText w:val="%1"/>
      <w:numFmt w:val="upperLetter"/>
      <w:start w:val="1"/>
    </w:lvl>
    <w:lvl w:ilvl="1">
      <w:lvlJc w:val="left"/>
      <w:lvlText w:val="(%2)"/>
      <w:numFmt w:val="lowerRoman"/>
      <w:start w:val="10"/>
    </w:lvl>
  </w:abstractNum>
  <w:abstractNum w:abstractNumId="382">
    <w:nsid w:val="38B59EFF"/>
    <w:multiLevelType w:val="hybridMultilevel"/>
    <w:lvl w:ilvl="0">
      <w:lvlJc w:val="left"/>
      <w:lvlText w:val="(%1)"/>
      <w:numFmt w:val="upperLetter"/>
      <w:start w:val="2"/>
    </w:lvl>
    <w:lvl w:ilvl="1">
      <w:lvlJc w:val="left"/>
      <w:lvlText w:val="%2"/>
      <w:numFmt w:val="lowerRoman"/>
      <w:start w:val="1"/>
    </w:lvl>
  </w:abstractNum>
  <w:abstractNum w:abstractNumId="383">
    <w:nsid w:val="307995CA"/>
    <w:multiLevelType w:val="hybridMultilevel"/>
    <w:lvl w:ilvl="0">
      <w:lvlJc w:val="left"/>
      <w:lvlText w:val="(%1)"/>
      <w:numFmt w:val="upperLetter"/>
      <w:start w:val="9"/>
    </w:lvl>
    <w:lvl w:ilvl="1">
      <w:lvlJc w:val="left"/>
      <w:lvlText w:val="%2"/>
      <w:numFmt w:val="lowerRoman"/>
      <w:start w:val="1"/>
    </w:lvl>
  </w:abstractNum>
  <w:abstractNum w:abstractNumId="384">
    <w:nsid w:val="52E2024D"/>
    <w:multiLevelType w:val="hybridMultilevel"/>
    <w:lvl w:ilvl="0">
      <w:lvlJc w:val="left"/>
      <w:lvlText w:val="(%1)"/>
      <w:numFmt w:val="upperLetter"/>
      <w:start w:val="11"/>
    </w:lvl>
    <w:lvl w:ilvl="1">
      <w:lvlJc w:val="left"/>
      <w:lvlText w:val="(%2)"/>
      <w:numFmt w:val="lowerRoman"/>
      <w:start w:val="11"/>
    </w:lvl>
  </w:abstractNum>
  <w:abstractNum w:abstractNumId="385">
    <w:nsid w:val="CE344B5"/>
    <w:multiLevelType w:val="hybridMultilevel"/>
    <w:lvl w:ilvl="0">
      <w:lvlJc w:val="left"/>
      <w:lvlText w:val="(%1)"/>
      <w:numFmt w:val="decimal"/>
      <w:start w:val="1"/>
    </w:lvl>
    <w:lvl w:ilvl="1">
      <w:lvlJc w:val="left"/>
      <w:lvlText w:val="%2"/>
      <w:numFmt w:val="lowerRoman"/>
      <w:start w:val="1"/>
    </w:lvl>
  </w:abstractNum>
  <w:abstractNum w:abstractNumId="386">
    <w:nsid w:val="29B0E9A8"/>
    <w:multiLevelType w:val="hybridMultilevel"/>
    <w:lvl w:ilvl="0">
      <w:lvlJc w:val="left"/>
      <w:lvlText w:val="(%1)"/>
      <w:numFmt w:val="decimal"/>
      <w:start w:val="3"/>
    </w:lvl>
    <w:lvl w:ilvl="1">
      <w:lvlJc w:val="left"/>
      <w:lvlText w:val="(%2)"/>
      <w:numFmt w:val="lowerRoman"/>
      <w:start w:val="12"/>
    </w:lvl>
  </w:abstractNum>
  <w:abstractNum w:abstractNumId="387">
    <w:nsid w:val="6F49CD8A"/>
    <w:multiLevelType w:val="hybridMultilevel"/>
    <w:lvl w:ilvl="0">
      <w:lvlJc w:val="left"/>
      <w:lvlText w:val="(%1)"/>
      <w:numFmt w:val="lowerLetter"/>
      <w:start w:val="2"/>
    </w:lvl>
  </w:abstractNum>
  <w:abstractNum w:abstractNumId="388">
    <w:nsid w:val="4DC5D907"/>
    <w:multiLevelType w:val="hybridMultilevel"/>
    <w:lvl w:ilvl="0">
      <w:lvlJc w:val="left"/>
      <w:lvlText w:val="(%1)"/>
      <w:numFmt w:val="lowerLetter"/>
      <w:start w:val="6"/>
    </w:lvl>
  </w:abstractNum>
  <w:abstractNum w:abstractNumId="389">
    <w:nsid w:val="D55945E"/>
    <w:multiLevelType w:val="hybridMultilevel"/>
    <w:lvl w:ilvl="0">
      <w:lvlJc w:val="left"/>
      <w:lvlText w:val="%1"/>
      <w:numFmt w:val="lowerLetter"/>
      <w:start w:val="1"/>
    </w:lvl>
    <w:lvl w:ilvl="1">
      <w:lvlJc w:val="left"/>
      <w:lvlText w:val="(%2)"/>
      <w:numFmt w:val="lowerLetter"/>
      <w:start w:val="7"/>
    </w:lvl>
  </w:abstractNum>
  <w:abstractNum w:abstractNumId="390">
    <w:nsid w:val="672417E1"/>
    <w:multiLevelType w:val="hybridMultilevel"/>
    <w:lvl w:ilvl="0">
      <w:lvlJc w:val="left"/>
      <w:lvlText w:val="(%1)"/>
      <w:numFmt w:val="lowerLetter"/>
      <w:start w:val="61"/>
    </w:lvl>
    <w:lvl w:ilvl="1">
      <w:lvlJc w:val="left"/>
      <w:lvlText w:val="(%2)"/>
      <w:numFmt w:val="lowerLetter"/>
      <w:start w:val="9"/>
    </w:lvl>
  </w:abstractNum>
  <w:abstractNum w:abstractNumId="391">
    <w:nsid w:val="5FF6CA09"/>
    <w:multiLevelType w:val="hybridMultilevel"/>
    <w:lvl w:ilvl="0">
      <w:lvlJc w:val="left"/>
      <w:lvlText w:val="(%1)"/>
      <w:numFmt w:val="lowerLetter"/>
      <w:start w:val="1"/>
    </w:lvl>
  </w:abstractNum>
  <w:abstractNum w:abstractNumId="392">
    <w:nsid w:val="330B1333"/>
    <w:multiLevelType w:val="hybridMultilevel"/>
    <w:lvl w:ilvl="0">
      <w:lvlJc w:val="left"/>
      <w:lvlText w:val="(%1)"/>
      <w:numFmt w:val="lowerLetter"/>
      <w:start w:val="2"/>
    </w:lvl>
  </w:abstractNum>
  <w:abstractNum w:abstractNumId="393">
    <w:nsid w:val="2EF32EA6"/>
    <w:multiLevelType w:val="hybridMultilevel"/>
    <w:lvl w:ilvl="0">
      <w:lvlJc w:val="left"/>
      <w:lvlText w:val="(%1)"/>
      <w:numFmt w:val="lowerLetter"/>
      <w:start w:val="1"/>
    </w:lvl>
  </w:abstractNum>
  <w:abstractNum w:abstractNumId="394">
    <w:nsid w:val="32766A55"/>
    <w:multiLevelType w:val="hybridMultilevel"/>
    <w:lvl w:ilvl="0">
      <w:lvlJc w:val="left"/>
      <w:lvlText w:val="(%1)"/>
      <w:numFmt w:val="lowerLetter"/>
      <w:start w:val="2"/>
    </w:lvl>
  </w:abstractNum>
  <w:abstractNum w:abstractNumId="395">
    <w:nsid w:val="22D71957"/>
    <w:multiLevelType w:val="hybridMultilevel"/>
    <w:lvl w:ilvl="0">
      <w:lvlJc w:val="left"/>
      <w:lvlText w:val="(%1)"/>
      <w:numFmt w:val="lowerLetter"/>
      <w:start w:val="1"/>
    </w:lvl>
  </w:abstractNum>
  <w:abstractNum w:abstractNumId="396">
    <w:nsid w:val="4CC1263B"/>
    <w:multiLevelType w:val="hybridMultilevel"/>
    <w:lvl w:ilvl="0">
      <w:lvlJc w:val="left"/>
      <w:lvlText w:val="(%1)"/>
      <w:numFmt w:val="lowerLetter"/>
      <w:start w:val="1"/>
    </w:lvl>
  </w:abstractNum>
  <w:abstractNum w:abstractNumId="397">
    <w:nsid w:val="8BBEB1D"/>
    <w:multiLevelType w:val="hybridMultilevel"/>
    <w:lvl w:ilvl="0">
      <w:lvlJc w:val="left"/>
      <w:lvlText w:val="(%1)"/>
      <w:numFmt w:val="lowerLetter"/>
      <w:start w:val="1"/>
    </w:lvl>
  </w:abstractNum>
  <w:abstractNum w:abstractNumId="398">
    <w:nsid w:val="7365F1EE"/>
    <w:multiLevelType w:val="hybridMultilevel"/>
    <w:lvl w:ilvl="0">
      <w:lvlJc w:val="left"/>
      <w:lvlText w:val="(%1)"/>
      <w:numFmt w:val="lowerLetter"/>
      <w:start w:val="1"/>
    </w:lvl>
  </w:abstractNum>
  <w:abstractNum w:abstractNumId="399">
    <w:nsid w:val="37524CF0"/>
    <w:multiLevelType w:val="hybridMultilevel"/>
    <w:lvl w:ilvl="0">
      <w:lvlJc w:val="left"/>
      <w:lvlText w:val="(%1)"/>
      <w:numFmt w:val="lowerLetter"/>
      <w:start w:val="2"/>
    </w:lvl>
  </w:abstractNum>
  <w:abstractNum w:abstractNumId="400">
    <w:nsid w:val="70CC332F"/>
    <w:multiLevelType w:val="hybridMultilevel"/>
    <w:lvl w:ilvl="0">
      <w:lvlJc w:val="left"/>
      <w:lvlText w:val="(%1)"/>
      <w:numFmt w:val="lowerLetter"/>
      <w:start w:val="1"/>
    </w:lvl>
  </w:abstractNum>
  <w:abstractNum w:abstractNumId="401">
    <w:nsid w:val="5661786E"/>
    <w:multiLevelType w:val="hybridMultilevel"/>
    <w:lvl w:ilvl="0">
      <w:lvlJc w:val="left"/>
      <w:lvlText w:val="(%1)"/>
      <w:numFmt w:val="lowerLetter"/>
      <w:start w:val="1"/>
    </w:lvl>
    <w:lvl w:ilvl="1">
      <w:lvlJc w:val="left"/>
      <w:lvlText w:val="(%2)"/>
      <w:numFmt w:val="lowerRoman"/>
      <w:start w:val="1"/>
    </w:lvl>
  </w:abstractNum>
  <w:abstractNum w:abstractNumId="402">
    <w:nsid w:val="3AF6A220"/>
    <w:multiLevelType w:val="hybridMultilevel"/>
    <w:lvl w:ilvl="0">
      <w:lvlJc w:val="left"/>
      <w:lvlText w:val="%1"/>
      <w:numFmt w:val="lowerLetter"/>
      <w:start w:val="1"/>
    </w:lvl>
    <w:lvl w:ilvl="1">
      <w:lvlJc w:val="left"/>
      <w:lvlText w:val="(%2)"/>
      <w:numFmt w:val="lowerRoman"/>
      <w:start w:val="4"/>
    </w:lvl>
  </w:abstractNum>
  <w:abstractNum w:abstractNumId="403">
    <w:nsid w:val="3C5EA902"/>
    <w:multiLevelType w:val="hybridMultilevel"/>
    <w:lvl w:ilvl="0">
      <w:lvlJc w:val="left"/>
      <w:lvlText w:val="(%1)"/>
      <w:numFmt w:val="lowerLetter"/>
      <w:start w:val="2"/>
    </w:lvl>
    <w:lvl w:ilvl="1">
      <w:lvlJc w:val="left"/>
      <w:lvlText w:val="%2"/>
      <w:numFmt w:val="lowerRoman"/>
      <w:start w:val="1"/>
    </w:lvl>
  </w:abstractNum>
  <w:abstractNum w:abstractNumId="404">
    <w:nsid w:val="256E6749"/>
    <w:multiLevelType w:val="hybridMultilevel"/>
    <w:lvl w:ilvl="0">
      <w:lvlJc w:val="left"/>
      <w:lvlText w:val="(%1)"/>
      <w:numFmt w:val="lowerLetter"/>
      <w:start w:val="1"/>
    </w:lvl>
  </w:abstractNum>
  <w:abstractNum w:abstractNumId="405">
    <w:nsid w:val="1CB9A581"/>
    <w:multiLevelType w:val="hybridMultilevel"/>
    <w:lvl w:ilvl="0">
      <w:lvlJc w:val="left"/>
      <w:lvlText w:val="(%1)"/>
      <w:numFmt w:val="lowerLetter"/>
      <w:start w:val="3"/>
    </w:lvl>
    <w:lvl w:ilvl="1">
      <w:lvlJc w:val="left"/>
      <w:lvlText w:val="(%2)"/>
      <w:numFmt w:val="lowerRoman"/>
      <w:start w:val="1"/>
    </w:lvl>
  </w:abstractNum>
  <w:abstractNum w:abstractNumId="406">
    <w:nsid w:val="1F7F42E2"/>
    <w:multiLevelType w:val="hybridMultilevel"/>
    <w:lvl w:ilvl="0">
      <w:lvlJc w:val="left"/>
      <w:lvlText w:val="(%1)"/>
      <w:numFmt w:val="lowerLetter"/>
      <w:start w:val="5"/>
    </w:lvl>
  </w:abstractNum>
  <w:abstractNum w:abstractNumId="407">
    <w:nsid w:val="49D1FEA0"/>
    <w:multiLevelType w:val="hybridMultilevel"/>
    <w:lvl w:ilvl="0">
      <w:lvlJc w:val="left"/>
      <w:lvlText w:val="(%1)"/>
      <w:numFmt w:val="lowerRoman"/>
      <w:start w:val="1"/>
    </w:lvl>
  </w:abstractNum>
  <w:abstractNum w:abstractNumId="408">
    <w:nsid w:val="268CB37F"/>
    <w:multiLevelType w:val="hybridMultilevel"/>
    <w:lvl w:ilvl="0">
      <w:lvlJc w:val="left"/>
      <w:lvlText w:val="(%1)"/>
      <w:numFmt w:val="lowerLetter"/>
      <w:start w:val="7"/>
    </w:lvl>
  </w:abstractNum>
  <w:abstractNum w:abstractNumId="409">
    <w:nsid w:val="102362F8"/>
    <w:multiLevelType w:val="hybridMultilevel"/>
    <w:lvl w:ilvl="0">
      <w:lvlJc w:val="left"/>
      <w:lvlText w:val="(%1)"/>
      <w:numFmt w:val="lowerLetter"/>
      <w:start w:val="9"/>
    </w:lvl>
  </w:abstractNum>
  <w:abstractNum w:abstractNumId="410">
    <w:nsid w:val="5FEDC0E3"/>
    <w:multiLevelType w:val="hybridMultilevel"/>
    <w:lvl w:ilvl="0">
      <w:lvlJc w:val="left"/>
      <w:lvlText w:val="(%1)"/>
      <w:numFmt w:val="lowerRoman"/>
      <w:start w:val="1"/>
    </w:lvl>
  </w:abstractNum>
  <w:abstractNum w:abstractNumId="411">
    <w:nsid w:val="3D75BC47"/>
    <w:multiLevelType w:val="hybridMultilevel"/>
    <w:lvl w:ilvl="0">
      <w:lvlJc w:val="left"/>
      <w:lvlText w:val="(%1)"/>
      <w:numFmt w:val="lowerLetter"/>
      <w:start w:val="1"/>
    </w:lvl>
  </w:abstractNum>
  <w:abstractNum w:abstractNumId="412">
    <w:nsid w:val="3E30D969"/>
    <w:multiLevelType w:val="hybridMultilevel"/>
    <w:lvl w:ilvl="0">
      <w:lvlJc w:val="left"/>
      <w:lvlText w:val="(%1)"/>
      <w:numFmt w:val="lowerLetter"/>
      <w:start w:val="2"/>
    </w:lvl>
  </w:abstractNum>
  <w:abstractNum w:abstractNumId="413">
    <w:nsid w:val="18A35FE3"/>
    <w:multiLevelType w:val="hybridMultilevel"/>
    <w:lvl w:ilvl="0">
      <w:lvlJc w:val="left"/>
      <w:lvlText w:val="(%1)"/>
      <w:numFmt w:val="lowerLetter"/>
      <w:start w:val="5"/>
    </w:lvl>
  </w:abstractNum>
  <w:abstractNum w:abstractNumId="414">
    <w:nsid w:val="6DEF5211"/>
    <w:multiLevelType w:val="hybridMultilevel"/>
    <w:lvl w:ilvl="0">
      <w:lvlJc w:val="left"/>
      <w:lvlText w:val="(%1)"/>
      <w:numFmt w:val="lowerLetter"/>
      <w:start w:val="6"/>
    </w:lvl>
  </w:abstractNum>
  <w:abstractNum w:abstractNumId="415">
    <w:nsid w:val="1112DBB6"/>
    <w:multiLevelType w:val="hybridMultilevel"/>
    <w:lvl w:ilvl="0">
      <w:lvlJc w:val="left"/>
      <w:lvlText w:val="(%1)"/>
      <w:numFmt w:val="lowerLetter"/>
      <w:start w:val="1"/>
    </w:lvl>
  </w:abstractNum>
  <w:abstractNum w:abstractNumId="416">
    <w:nsid w:val="2586A498"/>
    <w:multiLevelType w:val="hybridMultilevel"/>
    <w:lvl w:ilvl="0">
      <w:lvlJc w:val="left"/>
      <w:lvlText w:val="%1"/>
      <w:numFmt w:val="lowerLetter"/>
      <w:start w:val="1"/>
    </w:lvl>
    <w:lvl w:ilvl="1">
      <w:lvlJc w:val="left"/>
      <w:lvlText w:val="(%2)"/>
      <w:numFmt w:val="lowerLetter"/>
      <w:start w:val="2"/>
    </w:lvl>
  </w:abstractNum>
  <w:abstractNum w:abstractNumId="417">
    <w:nsid w:val="17A03BB9"/>
    <w:multiLevelType w:val="hybridMultilevel"/>
    <w:lvl w:ilvl="0">
      <w:lvlJc w:val="left"/>
      <w:lvlText w:val="(%1)"/>
      <w:numFmt w:val="lowerLetter"/>
      <w:start w:val="9"/>
    </w:lvl>
    <w:lvl w:ilvl="1">
      <w:lvlJc w:val="left"/>
      <w:lvlText w:val="(%2)"/>
      <w:numFmt w:val="lowerLetter"/>
      <w:start w:val="4"/>
    </w:lvl>
  </w:abstractNum>
  <w:abstractNum w:abstractNumId="418">
    <w:nsid w:val="5CA941"/>
    <w:multiLevelType w:val="hybridMultilevel"/>
    <w:lvl w:ilvl="0">
      <w:lvlJc w:val="left"/>
      <w:lvlText w:val="(%1)"/>
      <w:numFmt w:val="lowerLetter"/>
      <w:start w:val="9"/>
    </w:lvl>
    <w:lvl w:ilvl="1">
      <w:lvlJc w:val="left"/>
      <w:lvlText w:val="(%2)"/>
      <w:numFmt w:val="lowerLetter"/>
      <w:start w:val="5"/>
    </w:lvl>
  </w:abstractNum>
  <w:abstractNum w:abstractNumId="419">
    <w:nsid w:val="734C7D9F"/>
    <w:multiLevelType w:val="hybridMultilevel"/>
    <w:lvl w:ilvl="0">
      <w:lvlJc w:val="left"/>
      <w:lvlText w:val="(%1)"/>
      <w:numFmt w:val="lowerLetter"/>
      <w:start w:val="6"/>
    </w:lvl>
  </w:abstractNum>
  <w:abstractNum w:abstractNumId="420">
    <w:nsid w:val="24F5D018"/>
    <w:multiLevelType w:val="hybridMultilevel"/>
    <w:lvl w:ilvl="0">
      <w:lvlJc w:val="left"/>
      <w:lvlText w:val="%1"/>
      <w:numFmt w:val="lowerLetter"/>
      <w:start w:val="1"/>
    </w:lvl>
    <w:lvl w:ilvl="1">
      <w:lvlJc w:val="left"/>
      <w:lvlText w:val="(%2)"/>
      <w:numFmt w:val="lowerLetter"/>
      <w:start w:val="1"/>
    </w:lvl>
  </w:abstractNum>
  <w:abstractNum w:abstractNumId="421">
    <w:nsid w:val="6780C122"/>
    <w:multiLevelType w:val="hybridMultilevel"/>
    <w:lvl w:ilvl="0">
      <w:lvlJc w:val="left"/>
      <w:lvlText w:val="(%1)"/>
      <w:numFmt w:val="lowerLetter"/>
      <w:start w:val="9"/>
    </w:lvl>
    <w:lvl w:ilvl="1">
      <w:lvlJc w:val="left"/>
      <w:lvlText w:val="(%2)"/>
      <w:numFmt w:val="lowerLetter"/>
      <w:start w:val="2"/>
    </w:lvl>
  </w:abstractNum>
  <w:abstractNum w:abstractNumId="422">
    <w:nsid w:val="534347A8"/>
    <w:multiLevelType w:val="hybridMultilevel"/>
    <w:lvl w:ilvl="0">
      <w:lvlJc w:val="left"/>
      <w:lvlText w:val="(%1)"/>
      <w:numFmt w:val="lowerLetter"/>
      <w:start w:val="1"/>
    </w:lvl>
    <w:lvl w:ilvl="1">
      <w:lvlJc w:val="left"/>
      <w:lvlText w:val="(%2)"/>
      <w:numFmt w:val="lowerRoman"/>
      <w:start w:val="1"/>
    </w:lvl>
  </w:abstractNum>
  <w:abstractNum w:abstractNumId="423">
    <w:nsid w:val="5800E34B"/>
    <w:multiLevelType w:val="hybridMultilevel"/>
    <w:lvl w:ilvl="0">
      <w:lvlJc w:val="left"/>
      <w:lvlText w:val="(%1)"/>
      <w:numFmt w:val="lowerLetter"/>
      <w:start w:val="1"/>
    </w:lvl>
  </w:abstractNum>
  <w:abstractNum w:abstractNumId="424">
    <w:nsid w:val="1673EFC8"/>
    <w:multiLevelType w:val="hybridMultilevel"/>
    <w:lvl w:ilvl="0">
      <w:lvlJc w:val="left"/>
      <w:lvlText w:val="(%1)"/>
      <w:numFmt w:val="lowerLetter"/>
      <w:start w:val="3"/>
    </w:lvl>
  </w:abstractNum>
  <w:abstractNum w:abstractNumId="425">
    <w:nsid w:val="5B9B1FD"/>
    <w:multiLevelType w:val="hybridMultilevel"/>
    <w:lvl w:ilvl="0">
      <w:lvlJc w:val="left"/>
      <w:lvlText w:val="(%1)"/>
      <w:numFmt w:val="lowerLetter"/>
      <w:start w:val="6"/>
    </w:lvl>
  </w:abstractNum>
  <w:abstractNum w:abstractNumId="426">
    <w:nsid w:val="7AD7FCA2"/>
    <w:multiLevelType w:val="hybridMultilevel"/>
    <w:lvl w:ilvl="0">
      <w:lvlJc w:val="left"/>
      <w:lvlText w:val="%1"/>
      <w:numFmt w:val="lowerLetter"/>
      <w:start w:val="1"/>
    </w:lvl>
    <w:lvl w:ilvl="1">
      <w:lvlJc w:val="left"/>
      <w:lvlText w:val="(%2)"/>
      <w:numFmt w:val="lowerLetter"/>
      <w:start w:val="10"/>
    </w:lvl>
  </w:abstractNum>
  <w:abstractNum w:abstractNumId="427">
    <w:nsid w:val="63351604"/>
    <w:multiLevelType w:val="hybridMultilevel"/>
    <w:lvl w:ilvl="0">
      <w:lvlJc w:val="left"/>
      <w:lvlText w:val="(%1)"/>
      <w:numFmt w:val="lowerLetter"/>
      <w:start w:val="35"/>
    </w:lvl>
    <w:lvl w:ilvl="1">
      <w:lvlJc w:val="left"/>
      <w:lvlText w:val="(%2)"/>
      <w:numFmt w:val="lowerLetter"/>
      <w:start w:val="11"/>
    </w:lvl>
  </w:abstractNum>
  <w:abstractNum w:abstractNumId="428">
    <w:nsid w:val="E759D1A"/>
    <w:multiLevelType w:val="hybridMultilevel"/>
    <w:lvl w:ilvl="0">
      <w:lvlJc w:val="left"/>
      <w:lvlText w:val="(%1)"/>
      <w:numFmt w:val="lowerLetter"/>
      <w:start w:val="15"/>
    </w:lvl>
  </w:abstractNum>
  <w:abstractNum w:abstractNumId="429">
    <w:nsid w:val="6E3DEE90"/>
    <w:multiLevelType w:val="hybridMultilevel"/>
    <w:lvl w:ilvl="0">
      <w:lvlJc w:val="left"/>
      <w:lvlText w:val="(%1)"/>
      <w:numFmt w:val="lowerLetter"/>
      <w:start w:val="1"/>
    </w:lvl>
  </w:abstractNum>
  <w:abstractNum w:abstractNumId="430">
    <w:nsid w:val="1A8762F4"/>
    <w:multiLevelType w:val="hybridMultilevel"/>
    <w:lvl w:ilvl="0">
      <w:lvlJc w:val="left"/>
      <w:lvlText w:val="(%1)"/>
      <w:numFmt w:val="lowerLetter"/>
      <w:start w:val="2"/>
    </w:lvl>
  </w:abstractNum>
  <w:abstractNum w:abstractNumId="431">
    <w:nsid w:val="7F41D049"/>
    <w:multiLevelType w:val="hybridMultilevel"/>
    <w:lvl w:ilvl="0">
      <w:lvlJc w:val="left"/>
      <w:lvlText w:val="(%1)"/>
      <w:numFmt w:val="lowerLetter"/>
      <w:start w:val="1"/>
    </w:lvl>
  </w:abstractNum>
  <w:abstractNum w:abstractNumId="432">
    <w:nsid w:val="449F66FE"/>
    <w:multiLevelType w:val="hybridMultilevel"/>
    <w:lvl w:ilvl="0">
      <w:lvlJc w:val="left"/>
      <w:lvlText w:val="(%1)"/>
      <w:numFmt w:val="lowerLetter"/>
      <w:start w:val="3"/>
    </w:lvl>
  </w:abstractNum>
  <w:abstractNum w:abstractNumId="433">
    <w:nsid w:val="557E0515"/>
    <w:multiLevelType w:val="hybridMultilevel"/>
    <w:lvl w:ilvl="0">
      <w:lvlJc w:val="left"/>
      <w:lvlText w:val="(%1)"/>
      <w:numFmt w:val="lowerLetter"/>
      <w:start w:val="1"/>
    </w:lvl>
  </w:abstractNum>
  <w:abstractNum w:abstractNumId="434">
    <w:nsid w:val="3BA0794B"/>
    <w:multiLevelType w:val="hybridMultilevel"/>
    <w:lvl w:ilvl="0">
      <w:lvlJc w:val="left"/>
      <w:lvlText w:val="(%1)"/>
      <w:numFmt w:val="lowerLetter"/>
      <w:start w:val="61"/>
    </w:lvl>
    <w:lvl w:ilvl="1">
      <w:lvlJc w:val="left"/>
      <w:lvlText w:val="(%2)"/>
      <w:numFmt w:val="lowerLetter"/>
      <w:start w:val="5"/>
    </w:lvl>
  </w:abstractNum>
  <w:abstractNum w:abstractNumId="435">
    <w:nsid w:val="6A0DCE48"/>
    <w:multiLevelType w:val="hybridMultilevel"/>
    <w:lvl w:ilvl="0">
      <w:lvlJc w:val="left"/>
      <w:lvlText w:val="(%1)"/>
      <w:numFmt w:val="lowerLetter"/>
      <w:start w:val="11"/>
    </w:lvl>
  </w:abstractNum>
  <w:abstractNum w:abstractNumId="436">
    <w:nsid w:val="7237AA96"/>
    <w:multiLevelType w:val="hybridMultilevel"/>
    <w:lvl w:ilvl="0">
      <w:lvlJc w:val="left"/>
      <w:lvlText w:val="(%1)"/>
      <w:numFmt w:val="lowerLetter"/>
      <w:start w:val="13"/>
    </w:lvl>
  </w:abstractNum>
  <w:abstractNum w:abstractNumId="437">
    <w:nsid w:val="5B1FBC2D"/>
    <w:multiLevelType w:val="hybridMultilevel"/>
    <w:lvl w:ilvl="0">
      <w:lvlJc w:val="left"/>
      <w:lvlText w:val="(%1)"/>
      <w:numFmt w:val="lowerLetter"/>
      <w:start w:val="1"/>
    </w:lvl>
  </w:abstractNum>
  <w:abstractNum w:abstractNumId="438">
    <w:nsid w:val="33DFCCE8"/>
    <w:multiLevelType w:val="hybridMultilevel"/>
    <w:lvl w:ilvl="0">
      <w:lvlJc w:val="left"/>
      <w:lvlText w:val="(%1)"/>
      <w:numFmt w:val="lowerLetter"/>
      <w:start w:val="7"/>
    </w:lvl>
  </w:abstractNum>
  <w:abstractNum w:abstractNumId="439">
    <w:nsid w:val="18C45E15"/>
    <w:multiLevelType w:val="hybridMultilevel"/>
    <w:lvl w:ilvl="0">
      <w:lvlJc w:val="left"/>
      <w:lvlText w:val="(%1)"/>
      <w:numFmt w:val="lowerLetter"/>
      <w:start w:val="13"/>
    </w:lvl>
  </w:abstractNum>
  <w:abstractNum w:abstractNumId="440">
    <w:nsid w:val="6B431F25"/>
    <w:multiLevelType w:val="hybridMultilevel"/>
    <w:lvl w:ilvl="0">
      <w:lvlJc w:val="left"/>
      <w:lvlText w:val="(%1)"/>
      <w:numFmt w:val="lowerLetter"/>
      <w:start w:val="1"/>
    </w:lvl>
  </w:abstractNum>
  <w:abstractNum w:abstractNumId="441">
    <w:nsid w:val="13CD8DCB"/>
    <w:multiLevelType w:val="hybridMultilevel"/>
    <w:lvl w:ilvl="0">
      <w:lvlJc w:val="left"/>
      <w:lvlText w:val="(%1)"/>
      <w:numFmt w:val="lowerLetter"/>
      <w:start w:val="2"/>
    </w:lvl>
  </w:abstractNum>
  <w:abstractNum w:abstractNumId="442">
    <w:nsid w:val="563A1A5C"/>
    <w:multiLevelType w:val="hybridMultilevel"/>
    <w:lvl w:ilvl="0">
      <w:lvlJc w:val="left"/>
      <w:lvlText w:val="(%1)"/>
      <w:numFmt w:val="lowerLetter"/>
      <w:start w:val="9"/>
    </w:lvl>
    <w:lvl w:ilvl="1">
      <w:lvlJc w:val="left"/>
      <w:lvlText w:val="(%2)"/>
      <w:numFmt w:val="lowerLetter"/>
      <w:start w:val="7"/>
    </w:lvl>
  </w:abstractNum>
  <w:abstractNum w:abstractNumId="443">
    <w:nsid w:val="2973F88F"/>
    <w:multiLevelType w:val="hybridMultilevel"/>
    <w:lvl w:ilvl="0">
      <w:lvlJc w:val="left"/>
      <w:lvlText w:val="%1"/>
      <w:numFmt w:val="lowerLetter"/>
      <w:start w:val="1"/>
    </w:lvl>
    <w:lvl w:ilvl="1">
      <w:lvlJc w:val="left"/>
      <w:lvlText w:val="(%2)"/>
      <w:numFmt w:val="lowerLetter"/>
      <w:start w:val="10"/>
    </w:lvl>
  </w:abstractNum>
  <w:abstractNum w:abstractNumId="444">
    <w:nsid w:val="2C70EDAE"/>
    <w:multiLevelType w:val="hybridMultilevel"/>
    <w:lvl w:ilvl="0">
      <w:lvlJc w:val="left"/>
      <w:lvlText w:val="(%1)"/>
      <w:numFmt w:val="lowerLetter"/>
      <w:start w:val="35"/>
    </w:lvl>
    <w:lvl w:ilvl="1">
      <w:lvlJc w:val="left"/>
      <w:lvlText w:val="%2"/>
      <w:numFmt w:val="lowerLetter"/>
      <w:start w:val="1"/>
    </w:lvl>
  </w:abstractNum>
  <w:abstractNum w:abstractNumId="445">
    <w:nsid w:val="44296C6D"/>
    <w:multiLevelType w:val="hybridMultilevel"/>
    <w:lvl w:ilvl="0">
      <w:lvlJc w:val="left"/>
      <w:lvlText w:val="(%1)"/>
      <w:numFmt w:val="lowerLetter"/>
      <w:start w:val="1"/>
    </w:lvl>
  </w:abstractNum>
  <w:abstractNum w:abstractNumId="446">
    <w:nsid w:val="3A86D445"/>
    <w:multiLevelType w:val="hybridMultilevel"/>
    <w:lvl w:ilvl="0">
      <w:lvlJc w:val="left"/>
      <w:lvlText w:val="(%1)"/>
      <w:numFmt w:val="lowerLetter"/>
      <w:start w:val="1"/>
    </w:lvl>
  </w:abstractNum>
  <w:abstractNum w:abstractNumId="447">
    <w:nsid w:val="51F79246"/>
    <w:multiLevelType w:val="hybridMultilevel"/>
    <w:lvl w:ilvl="0">
      <w:lvlJc w:val="left"/>
      <w:lvlText w:val="(%1)"/>
      <w:numFmt w:val="lowerLetter"/>
      <w:start w:val="4"/>
    </w:lvl>
  </w:abstractNum>
  <w:abstractNum w:abstractNumId="448">
    <w:nsid w:val="5BC9A827"/>
    <w:multiLevelType w:val="hybridMultilevel"/>
    <w:lvl w:ilvl="0">
      <w:lvlJc w:val="left"/>
      <w:lvlText w:val="(%1)"/>
      <w:numFmt w:val="lowerLetter"/>
      <w:start w:val="8"/>
    </w:lvl>
  </w:abstractNum>
  <w:abstractNum w:abstractNumId="449">
    <w:nsid w:val="3AE37D86"/>
    <w:multiLevelType w:val="hybridMultilevel"/>
    <w:lvl w:ilvl="0">
      <w:lvlJc w:val="left"/>
      <w:lvlText w:val="(%1)"/>
      <w:numFmt w:val="lowerLetter"/>
      <w:start w:val="1"/>
    </w:lvl>
  </w:abstractNum>
  <w:abstractNum w:abstractNumId="450">
    <w:nsid w:val="45440FE5"/>
    <w:multiLevelType w:val="hybridMultilevel"/>
    <w:lvl w:ilvl="0">
      <w:lvlJc w:val="left"/>
      <w:lvlText w:val="(%1)"/>
      <w:numFmt w:val="lowerLetter"/>
      <w:start w:val="1"/>
    </w:lvl>
  </w:abstractNum>
  <w:abstractNum w:abstractNumId="451">
    <w:nsid w:val="BF783F"/>
    <w:multiLevelType w:val="hybridMultilevel"/>
    <w:lvl w:ilvl="0">
      <w:lvlJc w:val="left"/>
      <w:lvlText w:val="%1"/>
      <w:numFmt w:val="lowerLetter"/>
      <w:start w:val="1"/>
    </w:lvl>
    <w:lvl w:ilvl="1">
      <w:lvlJc w:val="left"/>
      <w:lvlText w:val="(%2)"/>
      <w:numFmt w:val="lowerLetter"/>
      <w:start w:val="4"/>
    </w:lvl>
  </w:abstractNum>
  <w:abstractNum w:abstractNumId="452">
    <w:nsid w:val="22643EA9"/>
    <w:multiLevelType w:val="hybridMultilevel"/>
    <w:lvl w:ilvl="0">
      <w:lvlJc w:val="left"/>
      <w:lvlText w:val="(%1)"/>
      <w:numFmt w:val="lowerLetter"/>
      <w:start w:val="35"/>
    </w:lvl>
    <w:lvl w:ilvl="1">
      <w:lvlJc w:val="left"/>
      <w:lvlText w:val="(%2)"/>
      <w:numFmt w:val="lowerLetter"/>
      <w:start w:val="8"/>
    </w:lvl>
  </w:abstractNum>
  <w:abstractNum w:abstractNumId="453">
    <w:nsid w:val="1887578D"/>
    <w:multiLevelType w:val="hybridMultilevel"/>
    <w:lvl w:ilvl="0">
      <w:lvlJc w:val="left"/>
      <w:lvlText w:val="(%1)"/>
      <w:numFmt w:val="lowerLetter"/>
      <w:start w:val="35"/>
    </w:lvl>
    <w:lvl w:ilvl="1">
      <w:lvlJc w:val="left"/>
      <w:lvlText w:val="%2"/>
      <w:numFmt w:val="lowerLetter"/>
      <w:start w:val="1"/>
    </w:lvl>
  </w:abstractNum>
  <w:abstractNum w:abstractNumId="454">
    <w:nsid w:val="58C05B8A"/>
    <w:multiLevelType w:val="hybridMultilevel"/>
    <w:lvl w:ilvl="0">
      <w:lvlJc w:val="left"/>
      <w:lvlText w:val="(%1)"/>
      <w:numFmt w:val="lowerLetter"/>
      <w:start w:val="10"/>
    </w:lvl>
  </w:abstractNum>
  <w:abstractNum w:abstractNumId="455">
    <w:nsid w:val="38D82E71"/>
    <w:multiLevelType w:val="hybridMultilevel"/>
    <w:lvl w:ilvl="0">
      <w:lvlJc w:val="left"/>
      <w:lvlText w:val="(%1)"/>
      <w:numFmt w:val="lowerLetter"/>
      <w:start w:val="12"/>
    </w:lvl>
  </w:abstractNum>
  <w:abstractNum w:abstractNumId="456">
    <w:nsid w:val="1E41098A"/>
    <w:multiLevelType w:val="hybridMultilevel"/>
    <w:lvl w:ilvl="0">
      <w:lvlJc w:val="left"/>
      <w:lvlText w:val="(%1)"/>
      <w:numFmt w:val="lowerLetter"/>
      <w:start w:val="14"/>
    </w:lvl>
  </w:abstractNum>
  <w:abstractNum w:abstractNumId="457">
    <w:nsid w:val="5398582C"/>
    <w:multiLevelType w:val="hybridMultilevel"/>
    <w:lvl w:ilvl="0">
      <w:lvlJc w:val="left"/>
      <w:lvlText w:val="(%1)"/>
      <w:numFmt w:val="lowerRoman"/>
      <w:start w:val="1"/>
    </w:lvl>
  </w:abstractNum>
  <w:abstractNum w:abstractNumId="458">
    <w:nsid w:val="1C0D4475"/>
    <w:multiLevelType w:val="hybridMultilevel"/>
    <w:lvl w:ilvl="0">
      <w:lvlJc w:val="left"/>
      <w:lvlText w:val="(%1)"/>
      <w:numFmt w:val="lowerRoman"/>
      <w:start w:val="10"/>
    </w:lvl>
  </w:abstractNum>
  <w:abstractNum w:abstractNumId="459">
    <w:nsid w:val="2CB6A6A4"/>
    <w:multiLevelType w:val="hybridMultilevel"/>
    <w:lvl w:ilvl="0">
      <w:lvlJc w:val="left"/>
      <w:lvlText w:val="(%1)"/>
      <w:numFmt w:val="lowerLetter"/>
      <w:start w:val="1"/>
    </w:lvl>
  </w:abstractNum>
  <w:abstractNum w:abstractNumId="460">
    <w:nsid w:val="41D646BC"/>
    <w:multiLevelType w:val="hybridMultilevel"/>
    <w:lvl w:ilvl="0">
      <w:lvlJc w:val="left"/>
      <w:lvlText w:val="(%1)"/>
      <w:numFmt w:val="lowerLetter"/>
      <w:start w:val="2"/>
    </w:lvl>
  </w:abstractNum>
  <w:abstractNum w:abstractNumId="461">
    <w:nsid w:val="3694A76A"/>
    <w:multiLevelType w:val="hybridMultilevel"/>
    <w:lvl w:ilvl="0">
      <w:lvlJc w:val="left"/>
      <w:lvlText w:val="(%1)"/>
      <w:numFmt w:val="lowerLetter"/>
      <w:start w:val="1"/>
    </w:lvl>
  </w:abstractNum>
  <w:abstractNum w:abstractNumId="462">
    <w:nsid w:val="2BF876EE"/>
    <w:multiLevelType w:val="hybridMultilevel"/>
    <w:lvl w:ilvl="0">
      <w:lvlJc w:val="left"/>
      <w:lvlText w:val="(%1)"/>
      <w:numFmt w:val="lowerLetter"/>
      <w:start w:val="2"/>
    </w:lvl>
  </w:abstractNum>
  <w:abstractNum w:abstractNumId="463">
    <w:nsid w:val="675ADBA"/>
    <w:multiLevelType w:val="hybridMultilevel"/>
    <w:lvl w:ilvl="0">
      <w:lvlJc w:val="left"/>
      <w:lvlText w:val="%1"/>
      <w:numFmt w:val="lowerLetter"/>
      <w:start w:val="1"/>
    </w:lvl>
    <w:lvl w:ilvl="1">
      <w:lvlJc w:val="left"/>
      <w:lvlText w:val="(%2)"/>
      <w:numFmt w:val="lowerLetter"/>
      <w:start w:val="1"/>
    </w:lvl>
  </w:abstractNum>
  <w:abstractNum w:abstractNumId="464">
    <w:nsid w:val="C12AC7F"/>
    <w:multiLevelType w:val="hybridMultilevel"/>
    <w:lvl w:ilvl="0">
      <w:lvlJc w:val="left"/>
      <w:lvlText w:val="(%1)"/>
      <w:numFmt w:val="lowerLetter"/>
      <w:start w:val="35"/>
    </w:lvl>
    <w:lvl w:ilvl="1">
      <w:lvlJc w:val="left"/>
      <w:lvlText w:val="(%2)"/>
      <w:numFmt w:val="lowerLetter"/>
      <w:start w:val="3"/>
    </w:lvl>
  </w:abstractNum>
  <w:abstractNum w:abstractNumId="465">
    <w:nsid w:val="6798F039"/>
    <w:multiLevelType w:val="hybridMultilevel"/>
    <w:lvl w:ilvl="0">
      <w:lvlJc w:val="left"/>
      <w:lvlText w:val="(%1)"/>
      <w:numFmt w:val="lowerLetter"/>
      <w:start w:val="1"/>
    </w:lvl>
  </w:abstractNum>
  <w:abstractNum w:abstractNumId="466">
    <w:nsid w:val="70837C02"/>
    <w:multiLevelType w:val="hybridMultilevel"/>
    <w:lvl w:ilvl="0">
      <w:lvlJc w:val="left"/>
      <w:lvlText w:val="(%1)"/>
      <w:numFmt w:val="lowerLetter"/>
      <w:start w:val="1"/>
    </w:lvl>
  </w:abstractNum>
  <w:abstractNum w:abstractNumId="467">
    <w:nsid w:val="7E4A5715"/>
    <w:multiLevelType w:val="hybridMultilevel"/>
    <w:lvl w:ilvl="0">
      <w:lvlJc w:val="left"/>
      <w:lvlText w:val="(%1)"/>
      <w:numFmt w:val="lowerLetter"/>
      <w:start w:val="2"/>
    </w:lvl>
  </w:abstractNum>
  <w:abstractNum w:abstractNumId="468">
    <w:nsid w:val="42B8AC67"/>
    <w:multiLevelType w:val="hybridMultilevel"/>
    <w:lvl w:ilvl="0">
      <w:lvlJc w:val="left"/>
      <w:lvlText w:val="(%1)"/>
      <w:numFmt w:val="lowerLetter"/>
      <w:start w:val="1"/>
    </w:lvl>
    <w:lvl w:ilvl="1">
      <w:lvlJc w:val="left"/>
      <w:lvlText w:val="(%2)"/>
      <w:numFmt w:val="lowerRoman"/>
      <w:start w:val="1"/>
    </w:lvl>
  </w:abstractNum>
  <w:abstractNum w:abstractNumId="469">
    <w:nsid w:val="246348EA"/>
    <w:multiLevelType w:val="hybridMultilevel"/>
    <w:lvl w:ilvl="0">
      <w:lvlJc w:val="left"/>
      <w:lvlText w:val="(%1)"/>
      <w:numFmt w:val="lowerLetter"/>
      <w:start w:val="2"/>
    </w:lvl>
  </w:abstractNum>
  <w:abstractNum w:abstractNumId="470">
    <w:nsid w:val="170EB52B"/>
    <w:multiLevelType w:val="hybridMultilevel"/>
    <w:lvl w:ilvl="0">
      <w:lvlJc w:val="left"/>
      <w:lvlText w:val="(%1)"/>
      <w:numFmt w:val="lowerRoman"/>
      <w:start w:val="1"/>
    </w:lvl>
  </w:abstractNum>
  <w:abstractNum w:abstractNumId="471">
    <w:nsid w:val="2DFBCB8C"/>
    <w:multiLevelType w:val="hybridMultilevel"/>
    <w:lvl w:ilvl="0">
      <w:lvlJc w:val="left"/>
      <w:lvlText w:val="(%1)"/>
      <w:numFmt w:val="lowerRoman"/>
      <w:start w:val="2"/>
    </w:lvl>
  </w:abstractNum>
  <w:abstractNum w:abstractNumId="472">
    <w:nsid w:val="3830D6B6"/>
    <w:multiLevelType w:val="hybridMultilevel"/>
    <w:lvl w:ilvl="0">
      <w:lvlJc w:val="left"/>
      <w:lvlText w:val="(%1)"/>
      <w:numFmt w:val="lowerRoman"/>
      <w:start w:val="3"/>
    </w:lvl>
  </w:abstractNum>
  <w:abstractNum w:abstractNumId="473">
    <w:nsid w:val="6D48CF87"/>
    <w:multiLevelType w:val="hybridMultilevel"/>
    <w:lvl w:ilvl="0">
      <w:lvlJc w:val="left"/>
      <w:lvlText w:val="(%1)"/>
      <w:numFmt w:val="lowerLetter"/>
      <w:start w:val="1"/>
    </w:lvl>
    <w:lvl w:ilvl="1">
      <w:lvlJc w:val="left"/>
      <w:lvlText w:val="(%2)"/>
      <w:numFmt w:val="lowerRoman"/>
      <w:start w:val="1"/>
    </w:lvl>
  </w:abstractNum>
  <w:abstractNum w:abstractNumId="474">
    <w:nsid w:val="576FC41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475">
    <w:nsid w:val="64A1C464"/>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476">
    <w:nsid w:val="31723BF5"/>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477">
    <w:nsid w:val="11F69861"/>
    <w:multiLevelType w:val="hybridMultilevel"/>
    <w:lvl w:ilvl="0">
      <w:lvlJc w:val="left"/>
      <w:lvlText w:val="(%1)"/>
      <w:numFmt w:val="lowerLetter"/>
      <w:start w:val="3"/>
    </w:lvl>
  </w:abstractNum>
  <w:abstractNum w:abstractNumId="478">
    <w:nsid w:val="369956AB"/>
    <w:multiLevelType w:val="hybridMultilevel"/>
    <w:lvl w:ilvl="0">
      <w:lvlJc w:val="left"/>
      <w:lvlText w:val="(%1)"/>
      <w:numFmt w:val="lowerLetter"/>
      <w:start w:val="1"/>
    </w:lvl>
  </w:abstractNum>
  <w:abstractNum w:abstractNumId="479">
    <w:nsid w:val="D3BE41C"/>
    <w:multiLevelType w:val="hybridMultilevel"/>
    <w:lvl w:ilvl="0">
      <w:lvlJc w:val="left"/>
      <w:lvlText w:val="(%1)"/>
      <w:numFmt w:val="lowerLetter"/>
      <w:start w:val="3"/>
    </w:lvl>
  </w:abstractNum>
  <w:abstractNum w:abstractNumId="480">
    <w:nsid w:val="4CDA15E7"/>
    <w:multiLevelType w:val="hybridMultilevel"/>
    <w:lvl w:ilvl="0">
      <w:lvlJc w:val="left"/>
      <w:lvlText w:val="%1"/>
      <w:numFmt w:val="lowerLetter"/>
      <w:start w:val="1"/>
    </w:lvl>
    <w:lvl w:ilvl="1">
      <w:lvlJc w:val="left"/>
      <w:lvlText w:val="(%2)"/>
      <w:numFmt w:val="lowerLetter"/>
      <w:start w:val="4"/>
    </w:lvl>
  </w:abstractNum>
  <w:abstractNum w:abstractNumId="481">
    <w:nsid w:val="7BDD6690"/>
    <w:multiLevelType w:val="hybridMultilevel"/>
    <w:lvl w:ilvl="0">
      <w:lvlJc w:val="left"/>
      <w:lvlText w:val="(%1)"/>
      <w:numFmt w:val="lowerLetter"/>
      <w:start w:val="9"/>
    </w:lvl>
    <w:lvl w:ilvl="1">
      <w:lvlJc w:val="left"/>
      <w:lvlText w:val="%2"/>
      <w:numFmt w:val="lowerLetter"/>
      <w:start w:val="1"/>
    </w:lvl>
  </w:abstractNum>
  <w:abstractNum w:abstractNumId="482">
    <w:nsid w:val="DFB5C5B"/>
    <w:multiLevelType w:val="hybridMultilevel"/>
    <w:lvl w:ilvl="0">
      <w:lvlJc w:val="left"/>
      <w:lvlText w:val="(%1)"/>
      <w:numFmt w:val="lowerLetter"/>
      <w:start w:val="5"/>
    </w:lvl>
  </w:abstractNum>
  <w:abstractNum w:abstractNumId="483">
    <w:nsid w:val="6F3E5490"/>
    <w:multiLevelType w:val="hybridMultilevel"/>
    <w:lvl w:ilvl="0">
      <w:lvlJc w:val="left"/>
      <w:lvlText w:val="(%1)"/>
      <w:numFmt w:val="lowerLetter"/>
      <w:start w:val="1"/>
    </w:lvl>
  </w:abstractNum>
  <w:abstractNum w:abstractNumId="484">
    <w:nsid w:val="1464BE1E"/>
    <w:multiLevelType w:val="hybridMultilevel"/>
    <w:lvl w:ilvl="0">
      <w:lvlJc w:val="left"/>
      <w:lvlText w:val="(%1)"/>
      <w:numFmt w:val="lowerRoman"/>
      <w:start w:val="1"/>
    </w:lvl>
  </w:abstractNum>
  <w:abstractNum w:abstractNumId="485">
    <w:nsid w:val="66BBB7E5"/>
    <w:multiLevelType w:val="hybridMultilevel"/>
    <w:lvl w:ilvl="0">
      <w:lvlJc w:val="left"/>
      <w:lvlText w:val="(%1)"/>
      <w:numFmt w:val="lowerRoman"/>
      <w:start w:val="2"/>
    </w:lvl>
  </w:abstractNum>
  <w:abstractNum w:abstractNumId="486">
    <w:nsid w:val="28168302"/>
    <w:multiLevelType w:val="hybridMultilevel"/>
    <w:lvl w:ilvl="0">
      <w:lvlJc w:val="left"/>
      <w:lvlText w:val="(%1)"/>
      <w:numFmt w:val="lowerRoman"/>
      <w:start w:val="3"/>
    </w:lvl>
  </w:abstractNum>
  <w:abstractNum w:abstractNumId="487">
    <w:nsid w:val="32A5C7A8"/>
    <w:multiLevelType w:val="hybridMultilevel"/>
    <w:lvl w:ilvl="0">
      <w:lvlJc w:val="left"/>
      <w:lvlText w:val="(%1)"/>
      <w:numFmt w:val="lowerRoman"/>
      <w:start w:val="4"/>
    </w:lvl>
  </w:abstractNum>
  <w:abstractNum w:abstractNumId="488">
    <w:nsid w:val="3A541011"/>
    <w:multiLevelType w:val="hybridMultilevel"/>
    <w:lvl w:ilvl="0">
      <w:lvlJc w:val="left"/>
      <w:lvlText w:val="(%1)"/>
      <w:numFmt w:val="lowerLetter"/>
      <w:start w:val="2"/>
    </w:lvl>
  </w:abstractNum>
  <w:abstractNum w:abstractNumId="489">
    <w:nsid w:val="4423C777"/>
    <w:multiLevelType w:val="hybridMultilevel"/>
    <w:lvl w:ilvl="0">
      <w:lvlJc w:val="left"/>
      <w:lvlText w:val="(%1)"/>
      <w:numFmt w:val="lowerLetter"/>
      <w:start w:val="3"/>
    </w:lvl>
    <w:lvl w:ilvl="1">
      <w:lvlJc w:val="left"/>
      <w:lvlText w:val="(%2)"/>
      <w:numFmt w:val="lowerRoman"/>
      <w:start w:val="1"/>
    </w:lvl>
  </w:abstractNum>
  <w:abstractNum w:abstractNumId="490">
    <w:nsid w:val="5F5C6E4D"/>
    <w:multiLevelType w:val="hybridMultilevel"/>
    <w:lvl w:ilvl="0">
      <w:lvlJc w:val="left"/>
      <w:lvlText w:val="(%1)"/>
      <w:numFmt w:val="lowerLetter"/>
      <w:start w:val="1"/>
    </w:lvl>
  </w:abstractNum>
  <w:abstractNum w:abstractNumId="491">
    <w:nsid w:val="7C2A56CD"/>
    <w:multiLevelType w:val="hybridMultilevel"/>
    <w:lvl w:ilvl="0">
      <w:lvlJc w:val="left"/>
      <w:lvlText w:val="(%1)"/>
      <w:numFmt w:val="lowerLetter"/>
      <w:start w:val="2"/>
    </w:lvl>
  </w:abstractNum>
  <w:abstractNum w:abstractNumId="492">
    <w:nsid w:val="7AB86EE1"/>
    <w:multiLevelType w:val="hybridMultilevel"/>
    <w:lvl w:ilvl="0">
      <w:lvlJc w:val="left"/>
      <w:lvlText w:val="(%1)"/>
      <w:numFmt w:val="lowerLetter"/>
      <w:start w:val="4"/>
    </w:lvl>
  </w:abstractNum>
  <w:abstractNum w:abstractNumId="493">
    <w:nsid w:val="B54E53B"/>
    <w:multiLevelType w:val="hybridMultilevel"/>
    <w:lvl w:ilvl="0">
      <w:lvlJc w:val="left"/>
      <w:lvlText w:val="(%1)"/>
      <w:numFmt w:val="lowerLetter"/>
      <w:start w:val="1"/>
    </w:lvl>
    <w:lvl w:ilvl="1">
      <w:lvlJc w:val="left"/>
      <w:lvlText w:val="(%2)"/>
      <w:numFmt w:val="upperLetter"/>
      <w:start w:val="1"/>
    </w:lvl>
  </w:abstractNum>
  <w:abstractNum w:abstractNumId="494">
    <w:nsid w:val="2A00487"/>
    <w:multiLevelType w:val="hybridMultilevel"/>
    <w:lvl w:ilvl="0">
      <w:lvlJc w:val="left"/>
      <w:lvlText w:val="(%1)"/>
      <w:numFmt w:val="upperLetter"/>
      <w:start w:val="3"/>
    </w:lvl>
  </w:abstractNum>
  <w:abstractNum w:abstractNumId="495">
    <w:nsid w:val="6CB1B60"/>
    <w:multiLevelType w:val="hybridMultilevel"/>
    <w:lvl w:ilvl="0">
      <w:lvlJc w:val="left"/>
      <w:lvlText w:val="(%1)"/>
      <w:numFmt w:val="lowerRoman"/>
      <w:start w:val="2"/>
    </w:lvl>
  </w:abstractNum>
  <w:abstractNum w:abstractNumId="496">
    <w:nsid w:val="72EDD574"/>
    <w:multiLevelType w:val="hybridMultilevel"/>
    <w:lvl w:ilvl="0">
      <w:lvlJc w:val="left"/>
      <w:lvlText w:val="(%1)"/>
      <w:numFmt w:val="upperLetter"/>
      <w:start w:val="1"/>
    </w:lvl>
  </w:abstractNum>
  <w:abstractNum w:abstractNumId="497">
    <w:nsid w:val="7323808A"/>
    <w:multiLevelType w:val="hybridMultilevel"/>
    <w:lvl w:ilvl="0">
      <w:lvlJc w:val="left"/>
      <w:lvlText w:val="(%1)"/>
      <w:numFmt w:val="upperLetter"/>
      <w:start w:val="7"/>
    </w:lvl>
  </w:abstractNum>
  <w:abstractNum w:abstractNumId="498">
    <w:nsid w:val="5157276"/>
    <w:multiLevelType w:val="hybridMultilevel"/>
    <w:lvl w:ilvl="0">
      <w:lvlJc w:val="left"/>
      <w:lvlText w:val="(%1)"/>
      <w:numFmt w:val="lowerRoman"/>
      <w:start w:val="3"/>
    </w:lvl>
  </w:abstractNum>
  <w:abstractNum w:abstractNumId="499">
    <w:nsid w:val="35A681DB"/>
    <w:multiLevelType w:val="hybridMultilevel"/>
    <w:lvl w:ilvl="0">
      <w:lvlJc w:val="left"/>
      <w:lvlText w:val="%1"/>
      <w:numFmt w:val="lowerLetter"/>
      <w:start w:val="1"/>
    </w:lvl>
    <w:lvl w:ilvl="1">
      <w:lvlJc w:val="left"/>
      <w:lvlText w:val="(%2)"/>
      <w:numFmt w:val="lowerRoman"/>
      <w:start w:val="4"/>
    </w:lvl>
  </w:abstractNum>
  <w:abstractNum w:abstractNumId="500">
    <w:nsid w:val="1786C974"/>
    <w:multiLevelType w:val="hybridMultilevel"/>
    <w:lvl w:ilvl="0">
      <w:lvlJc w:val="left"/>
      <w:lvlText w:val="(%1)"/>
      <w:numFmt w:val="lowerLetter"/>
      <w:start w:val="3"/>
    </w:lvl>
    <w:lvl w:ilvl="1">
      <w:lvlJc w:val="left"/>
      <w:lvlText w:val="%2"/>
      <w:numFmt w:val="lowerRoman"/>
      <w:start w:val="1"/>
    </w:lvl>
  </w:abstractNum>
  <w:abstractNum w:abstractNumId="501">
    <w:nsid w:val="1C2427A1"/>
    <w:multiLevelType w:val="hybridMultilevel"/>
    <w:lvl w:ilvl="0">
      <w:lvlJc w:val="left"/>
      <w:lvlText w:val="%1"/>
      <w:numFmt w:val="lowerLetter"/>
      <w:start w:val="1"/>
    </w:lvl>
    <w:lvl w:ilvl="1">
      <w:lvlJc w:val="left"/>
      <w:lvlText w:val="(%2)"/>
      <w:numFmt w:val="lowerLetter"/>
      <w:start w:val="35"/>
    </w:lvl>
  </w:abstractNum>
  <w:abstractNum w:abstractNumId="502">
    <w:nsid w:val="63A24D68"/>
    <w:multiLevelType w:val="hybridMultilevel"/>
    <w:lvl w:ilvl="0">
      <w:lvlJc w:val="left"/>
      <w:lvlText w:val="(%1)"/>
      <w:numFmt w:val="lowerLetter"/>
      <w:start w:val="4"/>
    </w:lvl>
    <w:lvl w:ilvl="1">
      <w:lvlJc w:val="left"/>
      <w:lvlText w:val="%2"/>
      <w:numFmt w:val="lowerLetter"/>
      <w:start w:val="1"/>
    </w:lvl>
  </w:abstractNum>
  <w:abstractNum w:abstractNumId="503">
    <w:nsid w:val="4FB7A02A"/>
    <w:multiLevelType w:val="hybridMultilevel"/>
    <w:lvl w:ilvl="0">
      <w:lvlJc w:val="left"/>
      <w:lvlText w:val="(%1)"/>
      <w:numFmt w:val="lowerLetter"/>
      <w:start w:val="1"/>
    </w:lvl>
  </w:abstractNum>
  <w:abstractNum w:abstractNumId="504">
    <w:nsid w:val="96CF728"/>
    <w:multiLevelType w:val="hybridMultilevel"/>
    <w:lvl w:ilvl="0">
      <w:lvlJc w:val="left"/>
      <w:lvlText w:val="(%1)"/>
      <w:numFmt w:val="lowerLetter"/>
      <w:start w:val="2"/>
    </w:lvl>
  </w:abstractNum>
  <w:abstractNum w:abstractNumId="505">
    <w:nsid w:val="3B121183"/>
    <w:multiLevelType w:val="hybridMultilevel"/>
    <w:lvl w:ilvl="0">
      <w:lvlJc w:val="left"/>
      <w:lvlText w:val="(%1)"/>
      <w:numFmt w:val="lowerLetter"/>
      <w:start w:val="6"/>
    </w:lvl>
  </w:abstractNum>
  <w:abstractNum w:abstractNumId="506">
    <w:nsid w:val="3459648F"/>
    <w:multiLevelType w:val="hybridMultilevel"/>
    <w:lvl w:ilvl="0">
      <w:lvlJc w:val="left"/>
      <w:lvlText w:val="(%1)"/>
      <w:numFmt w:val="lowerLetter"/>
      <w:start w:val="1"/>
    </w:lvl>
  </w:abstractNum>
  <w:abstractNum w:abstractNumId="507">
    <w:nsid w:val="3ADF331D"/>
    <w:multiLevelType w:val="hybridMultilevel"/>
    <w:lvl w:ilvl="0">
      <w:lvlJc w:val="left"/>
      <w:lvlText w:val="(%1)"/>
      <w:numFmt w:val="lowerLetter"/>
      <w:start w:val="1"/>
    </w:lvl>
    <w:lvl w:ilvl="1">
      <w:lvlJc w:val="left"/>
      <w:lvlText w:val="(%2)"/>
      <w:numFmt w:val="lowerRoman"/>
      <w:start w:val="1"/>
    </w:lvl>
  </w:abstractNum>
  <w:abstractNum w:abstractNumId="508">
    <w:nsid w:val="4D08A9E4"/>
    <w:multiLevelType w:val="hybridMultilevel"/>
    <w:lvl w:ilvl="0">
      <w:lvlJc w:val="left"/>
      <w:lvlText w:val="(%1)"/>
      <w:numFmt w:val="lowerLetter"/>
      <w:start w:val="1"/>
    </w:lvl>
    <w:lvl w:ilvl="1">
      <w:lvlJc w:val="left"/>
      <w:lvlText w:val="(%2)"/>
      <w:numFmt w:val="lowerRoman"/>
      <w:start w:val="1"/>
    </w:lvl>
  </w:abstractNum>
  <w:abstractNum w:abstractNumId="509">
    <w:nsid w:val="6AF2BB3A"/>
    <w:multiLevelType w:val="hybridMultilevel"/>
    <w:lvl w:ilvl="0">
      <w:lvlJc w:val="left"/>
      <w:lvlText w:val="·"/>
      <w:numFmt w:val="bullet"/>
      <w:start w:val="1"/>
    </w:lvl>
  </w:abstractNum>
  <w:abstractNum w:abstractNumId="510">
    <w:nsid w:val="481B1739"/>
    <w:multiLevelType w:val="hybridMultilevel"/>
    <w:lvl w:ilvl="0">
      <w:lvlJc w:val="left"/>
      <w:lvlText w:val="·"/>
      <w:numFmt w:val="bullet"/>
      <w:start w:val="1"/>
    </w:lvl>
  </w:abstractNum>
  <w:abstractNum w:abstractNumId="511">
    <w:nsid w:val="19E2BFCC"/>
    <w:multiLevelType w:val="hybridMultilevel"/>
    <w:lvl w:ilvl="0">
      <w:lvlJc w:val="left"/>
      <w:lvlText w:val="%1."/>
      <w:numFmt w:val="upperLetter"/>
      <w:start w:val="1"/>
    </w:lvl>
    <w:lvl w:ilvl="1">
      <w:lvlJc w:val="left"/>
      <w:lvlText w:val="%2."/>
      <w:numFmt w:val="decimal"/>
      <w:start w:val="1"/>
    </w:lvl>
  </w:abstractNum>
  <w:abstractNum w:abstractNumId="512">
    <w:nsid w:val="66D021CA"/>
    <w:multiLevelType w:val="hybridMultilevel"/>
    <w:lvl w:ilvl="0">
      <w:lvlJc w:val="left"/>
      <w:lvlText w:val="%1"/>
      <w:numFmt w:val="upperLetter"/>
      <w:start w:val="1"/>
    </w:lvl>
    <w:lvl w:ilvl="1">
      <w:lvlJc w:val="left"/>
      <w:lvlText w:val="%2."/>
      <w:numFmt w:val="decimal"/>
      <w:start w:val="2"/>
    </w:lvl>
  </w:abstractNum>
  <w:abstractNum w:abstractNumId="513">
    <w:nsid w:val="56167394"/>
    <w:multiLevelType w:val="hybridMultilevel"/>
    <w:lvl w:ilvl="0">
      <w:lvlJc w:val="left"/>
      <w:lvlText w:val="%1."/>
      <w:numFmt w:val="upperLetter"/>
      <w:start w:val="2"/>
    </w:lvl>
    <w:lvl w:ilvl="1">
      <w:lvlJc w:val="left"/>
      <w:lvlText w:val="%2"/>
      <w:numFmt w:val="decimal"/>
      <w:start w:val="1"/>
    </w:lvl>
  </w:abstractNum>
  <w:abstractNum w:abstractNumId="514">
    <w:nsid w:val="921145C"/>
    <w:multiLevelType w:val="hybridMultilevel"/>
    <w:lvl w:ilvl="0">
      <w:lvlJc w:val="left"/>
      <w:lvlText w:val="%1."/>
      <w:numFmt w:val="upperLetter"/>
      <w:start w:val="3"/>
    </w:lvl>
  </w:abstractNum>
  <w:abstractNum w:abstractNumId="515">
    <w:nsid w:val="7B34DFE8"/>
    <w:multiLevelType w:val="hybridMultilevel"/>
    <w:lvl w:ilvl="0">
      <w:lvlJc w:val="left"/>
      <w:lvlText w:val="(%1)"/>
      <w:numFmt w:val="lowerLetter"/>
      <w:start w:val="2"/>
    </w:lvl>
  </w:abstractNum>
  <w:abstractNum w:abstractNumId="516">
    <w:nsid w:val="3CD22B79"/>
    <w:multiLevelType w:val="hybridMultilevel"/>
    <w:lvl w:ilvl="0">
      <w:lvlJc w:val="left"/>
      <w:lvlText w:val="%1."/>
      <w:numFmt w:val="decimal"/>
      <w:start w:val="1"/>
    </w:lvl>
  </w:abstractNum>
  <w:abstractNum w:abstractNumId="517">
    <w:nsid w:val="3137975E"/>
    <w:multiLevelType w:val="hybridMultilevel"/>
    <w:lvl w:ilvl="0">
      <w:lvlJc w:val="left"/>
      <w:lvlText w:val="."/>
      <w:numFmt w:val="bullet"/>
      <w:start w:val="1"/>
    </w:lvl>
  </w:abstractNum>
  <w:abstractNum w:abstractNumId="518">
    <w:nsid w:val="2DDAA791"/>
    <w:multiLevelType w:val="hybridMultilevel"/>
    <w:lvl w:ilvl="0">
      <w:lvlJc w:val="left"/>
      <w:lvlText w:val="(%1)"/>
      <w:numFmt w:val="lowerLetter"/>
      <w:start w:val="2"/>
    </w:lvl>
  </w:abstractNum>
  <w:abstractNum w:abstractNumId="519">
    <w:nsid w:val="77263B8A"/>
    <w:multiLevelType w:val="hybridMultilevel"/>
    <w:lvl w:ilvl="0">
      <w:lvlJc w:val="left"/>
      <w:lvlText w:val="(%1)"/>
      <w:numFmt w:val="lowerLetter"/>
      <w:start w:val="3"/>
    </w:lvl>
  </w:abstractNum>
  <w:abstractNum w:abstractNumId="520">
    <w:nsid w:val="755B5ED6"/>
    <w:multiLevelType w:val="hybridMultilevel"/>
    <w:lvl w:ilvl="0">
      <w:lvlJc w:val="left"/>
      <w:lvlText w:val="(%1)"/>
      <w:numFmt w:val="lowerLetter"/>
      <w:start w:val="1"/>
    </w:lvl>
  </w:abstractNum>
  <w:abstractNum w:abstractNumId="521">
    <w:nsid w:val="D3715DE"/>
    <w:multiLevelType w:val="hybridMultilevel"/>
    <w:lvl w:ilvl="0">
      <w:lvlJc w:val="left"/>
      <w:lvlText w:val="(%1)"/>
      <w:numFmt w:val="lowerLetter"/>
      <w:start w:val="9"/>
    </w:lvl>
  </w:abstractNum>
  <w:abstractNum w:abstractNumId="522">
    <w:nsid w:val="73509257"/>
    <w:multiLevelType w:val="hybridMultilevel"/>
    <w:lvl w:ilvl="0">
      <w:lvlJc w:val="left"/>
      <w:lvlText w:val="(%1)"/>
      <w:numFmt w:val="lowerRoman"/>
      <w:start w:val="2"/>
    </w:lvl>
  </w:abstractNum>
  <w:abstractNum w:abstractNumId="523">
    <w:nsid w:val="7013CDB7"/>
    <w:multiLevelType w:val="hybridMultilevel"/>
    <w:lvl w:ilvl="0">
      <w:lvlJc w:val="left"/>
      <w:lvlText w:val="(%1)"/>
      <w:numFmt w:val="lowerRoman"/>
      <w:start w:val="1"/>
    </w:lvl>
  </w:abstractNum>
  <w:abstractNum w:abstractNumId="524">
    <w:nsid w:val="188BFB19"/>
    <w:multiLevelType w:val="hybridMultilevel"/>
    <w:lvl w:ilvl="0">
      <w:lvlJc w:val="left"/>
      <w:lvlText w:val="(%1)"/>
      <w:numFmt w:val="lowerRoman"/>
      <w:start w:val="4"/>
    </w:lvl>
  </w:abstractNum>
  <w:abstractNum w:abstractNumId="525">
    <w:nsid w:val="75F096DF"/>
    <w:multiLevelType w:val="hybridMultilevel"/>
    <w:lvl w:ilvl="0">
      <w:lvlJc w:val="left"/>
      <w:lvlText w:val="(%1)"/>
      <w:numFmt w:val="lowerRoman"/>
      <w:start w:val="1"/>
    </w:lvl>
  </w:abstractNum>
  <w:abstractNum w:abstractNumId="526">
    <w:nsid w:val="76DEE918"/>
    <w:multiLevelType w:val="hybridMultilevel"/>
    <w:lvl w:ilvl="0">
      <w:lvlJc w:val="left"/>
      <w:lvlText w:val="(%1)"/>
      <w:numFmt w:val="lowerRoman"/>
      <w:start w:val="3"/>
    </w:lvl>
  </w:abstractNum>
  <w:abstractNum w:abstractNumId="527">
    <w:nsid w:val="B79D08D"/>
    <w:multiLevelType w:val="hybridMultilevel"/>
    <w:lvl w:ilvl="0">
      <w:lvlJc w:val="left"/>
      <w:lvlText w:val="(%1)"/>
      <w:numFmt w:val="lowerRoman"/>
      <w:start w:val="4"/>
    </w:lvl>
  </w:abstractNum>
  <w:abstractNum w:abstractNumId="528">
    <w:nsid w:val="69141769"/>
    <w:multiLevelType w:val="hybridMultilevel"/>
    <w:lvl w:ilvl="0">
      <w:lvlJc w:val="left"/>
      <w:lvlText w:val="(%1)"/>
      <w:numFmt w:val="lowerLetter"/>
      <w:start w:val="1"/>
    </w:lvl>
  </w:abstractNum>
  <w:abstractNum w:abstractNumId="529">
    <w:nsid w:val="7BF45B8E"/>
    <w:multiLevelType w:val="hybridMultilevel"/>
    <w:lvl w:ilvl="0">
      <w:lvlJc w:val="left"/>
      <w:lvlText w:val="(%1)"/>
      <w:numFmt w:val="lowerLetter"/>
      <w:start w:val="2"/>
    </w:lvl>
  </w:abstractNum>
  <w:abstractNum w:abstractNumId="530">
    <w:nsid w:val="41205269"/>
    <w:multiLevelType w:val="hybridMultilevel"/>
    <w:lvl w:ilvl="0">
      <w:lvlJc w:val="left"/>
      <w:lvlText w:val="%1."/>
      <w:numFmt w:val="decimal"/>
      <w:start w:val="1"/>
    </w:lvl>
    <w:lvl w:ilvl="1">
      <w:lvlJc w:val="left"/>
      <w:lvlText w:val="·"/>
      <w:numFmt w:val="bullet"/>
      <w:start w:val="1"/>
    </w:lvl>
  </w:abstractNum>
  <w:abstractNum w:abstractNumId="531">
    <w:nsid w:val="9AE0DD"/>
    <w:multiLevelType w:val="hybridMultilevel"/>
    <w:lvl w:ilvl="0">
      <w:lvlJc w:val="left"/>
      <w:lvlText w:val="%1."/>
      <w:numFmt w:val="decimal"/>
      <w:start w:val="3"/>
    </w:lvl>
    <w:lvl w:ilvl="1">
      <w:lvlJc w:val="left"/>
      <w:lvlText w:val="·"/>
      <w:numFmt w:val="bullet"/>
      <w:start w:val="1"/>
    </w:lvl>
  </w:abstractNum>
  <w:abstractNum w:abstractNumId="532">
    <w:nsid w:val="1818832F"/>
    <w:multiLevelType w:val="hybridMultilevel"/>
    <w:lvl w:ilvl="0">
      <w:lvlJc w:val="left"/>
      <w:lvlText w:val="(%1)"/>
      <w:numFmt w:val="lowerLetter"/>
      <w:start w:val="1"/>
    </w:lvl>
  </w:abstractNum>
  <w:abstractNum w:abstractNumId="533">
    <w:nsid w:val="24C29FD1"/>
    <w:multiLevelType w:val="hybridMultilevel"/>
    <w:lvl w:ilvl="0">
      <w:lvlJc w:val="left"/>
      <w:lvlText w:val="(%1)"/>
      <w:numFmt w:val="lowerLetter"/>
      <w:start w:val="5"/>
    </w:lvl>
    <w:lvl w:ilvl="1">
      <w:lvlJc w:val="left"/>
      <w:lvlText w:val="(%2)"/>
      <w:numFmt w:val="lowerRoman"/>
      <w:start w:val="1"/>
    </w:lvl>
  </w:abstractNum>
  <w:abstractNum w:abstractNumId="534">
    <w:nsid w:val="50528108"/>
    <w:multiLevelType w:val="hybridMultilevel"/>
    <w:lvl w:ilvl="0">
      <w:lvlJc w:val="left"/>
      <w:lvlText w:val="(%1)"/>
      <w:numFmt w:val="lowerRoman"/>
      <w:start w:val="1"/>
    </w:lvl>
  </w:abstractNum>
  <w:abstractNum w:abstractNumId="535">
    <w:nsid w:val="21857A57"/>
    <w:multiLevelType w:val="hybridMultilevel"/>
    <w:lvl w:ilvl="0">
      <w:lvlJc w:val="left"/>
      <w:lvlText w:val="(%1)"/>
      <w:numFmt w:val="lowerRoman"/>
      <w:start w:val="3"/>
    </w:lvl>
  </w:abstractNum>
  <w:abstractNum w:abstractNumId="536">
    <w:nsid w:val="5FD4B154"/>
    <w:multiLevelType w:val="hybridMultilevel"/>
    <w:lvl w:ilvl="0">
      <w:lvlJc w:val="left"/>
      <w:lvlText w:val="(%1)"/>
      <w:numFmt w:val="lowerRoman"/>
      <w:start w:val="12"/>
    </w:lvl>
  </w:abstractNum>
  <w:abstractNum w:abstractNumId="537">
    <w:nsid w:val="4ABE597"/>
    <w:multiLevelType w:val="hybridMultilevel"/>
    <w:lvl w:ilvl="0">
      <w:lvlJc w:val="left"/>
      <w:lvlText w:val="(%1)"/>
      <w:numFmt w:val="lowerLetter"/>
      <w:start w:val="1"/>
    </w:lvl>
    <w:lvl w:ilvl="1">
      <w:lvlJc w:val="left"/>
      <w:lvlText w:val="(%2)"/>
      <w:numFmt w:val="lowerLetter"/>
      <w:start w:val="9"/>
    </w:lvl>
  </w:abstractNum>
  <w:abstractNum w:abstractNumId="538">
    <w:nsid w:val="5C64AD75"/>
    <w:multiLevelType w:val="hybridMultilevel"/>
    <w:lvl w:ilvl="0">
      <w:lvlJc w:val="left"/>
      <w:lvlText w:val="(%1)"/>
      <w:numFmt w:val="lowerRoman"/>
      <w:start w:val="2"/>
    </w:lvl>
  </w:abstractNum>
  <w:abstractNum w:abstractNumId="539">
    <w:nsid w:val="2CDD5B39"/>
    <w:multiLevelType w:val="hybridMultilevel"/>
    <w:lvl w:ilvl="0">
      <w:lvlJc w:val="left"/>
      <w:lvlText w:val="(%1)"/>
      <w:numFmt w:val="lowerLetter"/>
      <w:start w:val="3"/>
    </w:lvl>
  </w:abstractNum>
  <w:abstractNum w:abstractNumId="540">
    <w:nsid w:val="6F9EA0D1"/>
    <w:multiLevelType w:val="hybridMultilevel"/>
    <w:lvl w:ilvl="0">
      <w:lvlJc w:val="left"/>
      <w:lvlText w:val="(%1)"/>
      <w:numFmt w:val="lowerLetter"/>
      <w:start w:val="4"/>
    </w:lvl>
  </w:abstractNum>
  <w:abstractNum w:abstractNumId="541">
    <w:nsid w:val="247FC4AE"/>
    <w:multiLevelType w:val="hybridMultilevel"/>
    <w:lvl w:ilvl="0">
      <w:lvlJc w:val="left"/>
      <w:lvlText w:val="(%1)"/>
      <w:numFmt w:val="lowerLetter"/>
      <w:start w:val="1"/>
    </w:lvl>
    <w:lvl w:ilvl="1">
      <w:lvlJc w:val="left"/>
      <w:lvlText w:val="(%2)"/>
      <w:numFmt w:val="lowerRoman"/>
      <w:start w:val="1"/>
    </w:lvl>
  </w:abstractNum>
  <w:abstractNum w:abstractNumId="542">
    <w:nsid w:val="46C01B05"/>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543">
    <w:nsid w:val="566EC29B"/>
    <w:multiLevelType w:val="hybridMultilevel"/>
    <w:lvl w:ilvl="0">
      <w:lvlJc w:val="left"/>
      <w:lvlText w:val="(%1)"/>
      <w:numFmt w:val="lowerLetter"/>
      <w:start w:val="1"/>
    </w:lvl>
    <w:lvl w:ilvl="1">
      <w:lvlJc w:val="left"/>
      <w:lvlText w:val="(%2)"/>
      <w:numFmt w:val="lowerRoman"/>
      <w:start w:val="1"/>
    </w:lvl>
  </w:abstractNum>
  <w:abstractNum w:abstractNumId="544">
    <w:nsid w:val="7A963843"/>
    <w:multiLevelType w:val="hybridMultilevel"/>
    <w:lvl w:ilvl="0">
      <w:lvlJc w:val="left"/>
      <w:lvlText w:val="(%1)"/>
      <w:numFmt w:val="lowerLetter"/>
      <w:start w:val="1"/>
    </w:lvl>
    <w:lvl w:ilvl="1">
      <w:lvlJc w:val="left"/>
      <w:lvlText w:val="(%2)"/>
      <w:numFmt w:val="lowerRoman"/>
      <w:start w:val="1"/>
    </w:lvl>
  </w:abstractNum>
  <w:abstractNum w:abstractNumId="545">
    <w:nsid w:val="4FE12F61"/>
    <w:multiLevelType w:val="hybridMultilevel"/>
    <w:lvl w:ilvl="0">
      <w:lvlJc w:val="left"/>
      <w:lvlText w:val="(%1)"/>
      <w:numFmt w:val="lowerLetter"/>
      <w:start w:val="3"/>
    </w:lvl>
    <w:lvl w:ilvl="1">
      <w:lvlJc w:val="left"/>
      <w:lvlText w:val="(%2)"/>
      <w:numFmt w:val="lowerRoman"/>
      <w:start w:val="1"/>
    </w:lvl>
  </w:abstractNum>
  <w:abstractNum w:abstractNumId="546">
    <w:nsid w:val="51A3A284"/>
    <w:multiLevelType w:val="hybridMultilevel"/>
    <w:lvl w:ilvl="0">
      <w:lvlJc w:val="left"/>
      <w:lvlText w:val="(%1)"/>
      <w:numFmt w:val="lowerRoman"/>
      <w:start w:val="3"/>
    </w:lvl>
  </w:abstractNum>
  <w:abstractNum w:abstractNumId="547">
    <w:nsid w:val="376863BC"/>
    <w:multiLevelType w:val="hybridMultilevel"/>
    <w:lvl w:ilvl="0">
      <w:lvlJc w:val="left"/>
      <w:lvlText w:val="(%1)"/>
      <w:numFmt w:val="lowerLetter"/>
      <w:start w:val="1"/>
    </w:lvl>
  </w:abstractNum>
  <w:abstractNum w:abstractNumId="548">
    <w:nsid w:val="118C6C0"/>
    <w:multiLevelType w:val="hybridMultilevel"/>
    <w:lvl w:ilvl="0">
      <w:lvlJc w:val="left"/>
      <w:lvlText w:val="(%1)"/>
      <w:numFmt w:val="lowerLetter"/>
      <w:start w:val="4"/>
    </w:lvl>
  </w:abstractNum>
  <w:abstractNum w:abstractNumId="549">
    <w:nsid w:val="7F7E4A15"/>
    <w:multiLevelType w:val="hybridMultilevel"/>
    <w:lvl w:ilvl="0">
      <w:lvlJc w:val="left"/>
      <w:lvlText w:val="%1"/>
      <w:numFmt w:val="upperLetter"/>
      <w:start w:val="1"/>
    </w:lvl>
    <w:lvl w:ilvl="1">
      <w:lvlJc w:val="left"/>
      <w:lvlText w:val="(%2)"/>
      <w:numFmt w:val="lowerLetter"/>
      <w:start w:val="7"/>
    </w:lvl>
  </w:abstractNum>
  <w:abstractNum w:abstractNumId="550">
    <w:nsid w:val="2E8E9F47"/>
    <w:multiLevelType w:val="hybridMultilevel"/>
    <w:lvl w:ilvl="0">
      <w:lvlJc w:val="left"/>
      <w:lvlText w:val="(%1)"/>
      <w:numFmt w:val="upperLetter"/>
      <w:start w:val="2"/>
    </w:lvl>
    <w:lvl w:ilvl="1">
      <w:lvlJc w:val="left"/>
      <w:lvlText w:val="%2"/>
      <w:numFmt w:val="lowerLetter"/>
      <w:start w:val="1"/>
    </w:lvl>
  </w:abstractNum>
  <w:abstractNum w:abstractNumId="551">
    <w:nsid w:val="7674259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552">
    <w:nsid w:val="CB55FF3"/>
    <w:multiLevelType w:val="hybridMultilevel"/>
    <w:lvl w:ilvl="0">
      <w:lvlJc w:val="left"/>
      <w:lvlText w:val="(%1)"/>
      <w:numFmt w:val="lowerRoman"/>
      <w:start w:val="3"/>
    </w:lvl>
  </w:abstractNum>
  <w:abstractNum w:abstractNumId="553">
    <w:nsid w:val="21DF319E"/>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2019-12-28T19:55:58Z</dcterms:created>
  <dcterms:modified xsi:type="dcterms:W3CDTF">2019-12-28T19:55:58Z</dcterms:modified>
</cp:coreProperties>
</file>